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版本号：CTSD2026-FW-01120260727001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宣传部跨线桥广告项目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CTSD2026-FW-011</w:t>
      </w:r>
      <w:r>
        <w:br/>
      </w:r>
      <w:r>
        <w:br/>
      </w:r>
      <w:r>
        <w:br/>
      </w:r>
    </w:p>
    <w:p>
      <w:pPr>
        <w:pStyle w:val="null3"/>
        <w:jc w:val="center"/>
        <w:outlineLvl w:val="2"/>
      </w:pPr>
      <w:r>
        <w:rPr>
          <w:rFonts w:ascii="仿宋_GB2312" w:hAnsi="仿宋_GB2312" w:cs="仿宋_GB2312" w:eastAsia="仿宋_GB2312"/>
          <w:sz w:val="28"/>
          <w:b/>
        </w:rPr>
        <w:t>中国共产党合阳县委员会宣传部</w:t>
      </w:r>
    </w:p>
    <w:p>
      <w:pPr>
        <w:pStyle w:val="null3"/>
        <w:jc w:val="center"/>
        <w:outlineLvl w:val="2"/>
      </w:pPr>
      <w:r>
        <w:rPr>
          <w:rFonts w:ascii="仿宋_GB2312" w:hAnsi="仿宋_GB2312" w:cs="仿宋_GB2312" w:eastAsia="仿宋_GB2312"/>
          <w:sz w:val="28"/>
          <w:b/>
        </w:rPr>
        <w:t>城投时代（陕西）项目管理有限公司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城投时代（陕西）项目管理有限公司</w:t>
      </w:r>
      <w:r>
        <w:rPr>
          <w:rFonts w:ascii="仿宋_GB2312" w:hAnsi="仿宋_GB2312" w:cs="仿宋_GB2312" w:eastAsia="仿宋_GB2312"/>
        </w:rPr>
        <w:t>（以下简称“代理机构”）受</w:t>
      </w:r>
      <w:r>
        <w:rPr>
          <w:rFonts w:ascii="仿宋_GB2312" w:hAnsi="仿宋_GB2312" w:cs="仿宋_GB2312" w:eastAsia="仿宋_GB2312"/>
        </w:rPr>
        <w:t>中国共产党合阳县委员会宣传部</w:t>
      </w:r>
      <w:r>
        <w:rPr>
          <w:rFonts w:ascii="仿宋_GB2312" w:hAnsi="仿宋_GB2312" w:cs="仿宋_GB2312" w:eastAsia="仿宋_GB2312"/>
        </w:rPr>
        <w:t>委托，拟对</w:t>
      </w:r>
      <w:r>
        <w:rPr>
          <w:rFonts w:ascii="仿宋_GB2312" w:hAnsi="仿宋_GB2312" w:cs="仿宋_GB2312" w:eastAsia="仿宋_GB2312"/>
        </w:rPr>
        <w:t>宣传部跨线桥广告项目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CTSD2026-FW-011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宣传部跨线桥广告项目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宣传部跨线桥广告项目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采购包1（宣传部跨前桥广告项目）：属于专门面向中小企业采购。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1、法人及授权委托：法定代表人直接参加磋商的，须出具法定代表人身份证明；法定代表人授权代表参加磋商的，须出具法定代表人授权委托书；</w:t>
      </w:r>
    </w:p>
    <w:p>
      <w:pPr>
        <w:pStyle w:val="null3"/>
      </w:pPr>
      <w:r>
        <w:rPr>
          <w:rFonts w:ascii="仿宋_GB2312" w:hAnsi="仿宋_GB2312" w:cs="仿宋_GB2312" w:eastAsia="仿宋_GB2312"/>
        </w:rPr>
        <w:t>2、信用查询：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中国共产党合阳县委员会宣传部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合阳县东新街09号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同桦桦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13759630096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城投时代（陕西）项目管理有限公司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陕西省西安市未央区陕西省西安市经济技术开发区凤城七路联益中心5楼501室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朱媛媛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15309212796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成文强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13409130025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 [2002]1980号）和国家发展和改革委员会办公厅印发的《关于招标代理服务收费有关问题的通知》（发改办价格[2003]857号）的有关规定计取。 银行户名：城投时代（陕西）项目管理有限公司 开户银行：平安银行西安经济技术开发区支行 账号：15014069400074 联系电话：029-89160083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中国共产党合阳县委员会宣传部</w:t>
      </w:r>
      <w:r>
        <w:rPr>
          <w:rFonts w:ascii="仿宋_GB2312" w:hAnsi="仿宋_GB2312" w:cs="仿宋_GB2312" w:eastAsia="仿宋_GB2312"/>
        </w:rPr>
        <w:t>和</w:t>
      </w:r>
      <w:r>
        <w:rPr>
          <w:rFonts w:ascii="仿宋_GB2312" w:hAnsi="仿宋_GB2312" w:cs="仿宋_GB2312" w:eastAsia="仿宋_GB2312"/>
        </w:rPr>
        <w:t>城投时代（陕西）项目管理有限公司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中国共产党合阳县委员会宣传部</w:t>
      </w:r>
      <w:r>
        <w:rPr>
          <w:rFonts w:ascii="仿宋_GB2312" w:hAnsi="仿宋_GB2312" w:cs="仿宋_GB2312" w:eastAsia="仿宋_GB2312"/>
        </w:rPr>
        <w:t>负责解释。除上述磋商文件内容，其他内容由</w:t>
      </w:r>
      <w:r>
        <w:rPr>
          <w:rFonts w:ascii="仿宋_GB2312" w:hAnsi="仿宋_GB2312" w:cs="仿宋_GB2312" w:eastAsia="仿宋_GB2312"/>
        </w:rPr>
        <w:t>城投时代（陕西）项目管理有限公司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中国共产党合阳县委员会宣传部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城投时代（陕西）项目管理有限公司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项目要达到国家现行行业验收规范“合格”标准。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城投时代（陕西）项目管理有限公司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城投时代（陕西）项目管理有限公司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城投时代（陕西）项目管理有限公司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联系人：朱媛媛</w:t>
      </w:r>
    </w:p>
    <w:p>
      <w:pPr>
        <w:pStyle w:val="null3"/>
      </w:pPr>
      <w:r>
        <w:rPr>
          <w:rFonts w:ascii="仿宋_GB2312" w:hAnsi="仿宋_GB2312" w:cs="仿宋_GB2312" w:eastAsia="仿宋_GB2312"/>
        </w:rPr>
        <w:t>联系电话：029-89160083</w:t>
      </w:r>
    </w:p>
    <w:p>
      <w:pPr>
        <w:pStyle w:val="null3"/>
      </w:pPr>
      <w:r>
        <w:rPr>
          <w:rFonts w:ascii="仿宋_GB2312" w:hAnsi="仿宋_GB2312" w:cs="仿宋_GB2312" w:eastAsia="仿宋_GB2312"/>
        </w:rPr>
        <w:t>地址：陕西省西安市未央区陕西省西安市经济技术开发区凤城七路联益中心5楼501室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宣传部跨线桥广告项目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宣传部跨线桥广告项目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标的名称：宣传部跨线桥广告项目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rPr>
              <w:t>一、广告牌制作</w:t>
            </w:r>
          </w:p>
          <w:tbl>
            <w:tblPr>
              <w:tblInd w:type="dxa" w:w="135"/>
              <w:tblBorders>
                <w:top w:val="none" w:color="000000" w:sz="4"/>
                <w:left w:val="none" w:color="000000" w:sz="4"/>
                <w:bottom w:val="none" w:color="000000" w:sz="4"/>
                <w:right w:val="none" w:color="000000" w:sz="4"/>
                <w:insideH w:val="none"/>
                <w:insideV w:val="none"/>
              </w:tblBorders>
            </w:tblPr>
            <w:tblGrid>
              <w:gridCol w:w="207"/>
              <w:gridCol w:w="372"/>
              <w:gridCol w:w="350"/>
              <w:gridCol w:w="1146"/>
              <w:gridCol w:w="233"/>
              <w:gridCol w:w="233"/>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b/>
                      <w:color w:val="000000"/>
                    </w:rPr>
                    <w:t>高速类别</w:t>
                  </w:r>
                </w:p>
              </w:tc>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b/>
                      <w:color w:val="000000"/>
                    </w:rPr>
                    <w:t>媒体位置</w:t>
                  </w:r>
                </w:p>
              </w:tc>
              <w:tc>
                <w:tcPr>
                  <w:tcW w:type="dxa" w:w="1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规格</w:t>
                  </w:r>
                </w:p>
              </w:tc>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rFonts w:ascii="仿宋_GB2312" w:hAnsi="仿宋_GB2312" w:cs="仿宋_GB2312" w:eastAsia="仿宋_GB2312"/>
                      <w:sz w:val="22"/>
                      <w:b/>
                      <w:color w:val="000000"/>
                    </w:rPr>
                    <w:t>单位</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西</w:t>
                  </w:r>
                  <w:r>
                    <w:rPr>
                      <w:rFonts w:ascii="仿宋_GB2312" w:hAnsi="仿宋_GB2312" w:cs="仿宋_GB2312" w:eastAsia="仿宋_GB2312"/>
                      <w:sz w:val="22"/>
                      <w:color w:val="000000"/>
                    </w:rPr>
                    <w:t>临</w:t>
                  </w:r>
                  <w:r>
                    <w:rPr>
                      <w:rFonts w:ascii="仿宋_GB2312" w:hAnsi="仿宋_GB2312" w:cs="仿宋_GB2312" w:eastAsia="仿宋_GB2312"/>
                      <w:sz w:val="22"/>
                      <w:color w:val="000000"/>
                    </w:rPr>
                    <w:t>高速</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临潼区域</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1.广告牌骨架材质：角钢搭骨架，全部做防锈漆两遍，方钢与镀锌钢管支撑，镀锌铁皮全包围</w:t>
                  </w:r>
                </w:p>
                <w:p>
                  <w:pPr>
                    <w:pStyle w:val="null3"/>
                    <w:jc w:val="both"/>
                  </w:pPr>
                  <w:r>
                    <w:rPr>
                      <w:rFonts w:ascii="仿宋_GB2312" w:hAnsi="仿宋_GB2312" w:cs="仿宋_GB2312" w:eastAsia="仿宋_GB2312"/>
                      <w:sz w:val="22"/>
                      <w:color w:val="000000"/>
                    </w:rPr>
                    <w:t>2.布料材质：户外高清喷绘材料</w:t>
                  </w:r>
                </w:p>
                <w:p>
                  <w:pPr>
                    <w:pStyle w:val="null3"/>
                    <w:jc w:val="both"/>
                  </w:pPr>
                  <w:r>
                    <w:rPr>
                      <w:rFonts w:ascii="仿宋_GB2312" w:hAnsi="仿宋_GB2312" w:cs="仿宋_GB2312" w:eastAsia="仿宋_GB2312"/>
                      <w:sz w:val="22"/>
                      <w:color w:val="000000"/>
                    </w:rPr>
                    <w:t>3.固定方式：</w:t>
                  </w:r>
                  <w:r>
                    <w:rPr>
                      <w:rFonts w:ascii="仿宋_GB2312" w:hAnsi="仿宋_GB2312" w:cs="仿宋_GB2312" w:eastAsia="仿宋_GB2312"/>
                      <w:sz w:val="22"/>
                      <w:color w:val="000000"/>
                    </w:rPr>
                    <w:t>喷绘画面上边缘双层折叠打孔，采用双铁丝双重绑扎固定，抗风性能好。安装稳固。</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座</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西禹高速</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富平区域</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1.广告牌骨架材质：角钢搭骨架，全部做防锈漆两遍，方钢与镀锌钢管支撑，镀锌铁皮全包围</w:t>
                  </w:r>
                </w:p>
                <w:p>
                  <w:pPr>
                    <w:pStyle w:val="null3"/>
                    <w:jc w:val="both"/>
                  </w:pPr>
                  <w:r>
                    <w:rPr>
                      <w:rFonts w:ascii="仿宋_GB2312" w:hAnsi="仿宋_GB2312" w:cs="仿宋_GB2312" w:eastAsia="仿宋_GB2312"/>
                      <w:sz w:val="22"/>
                      <w:color w:val="000000"/>
                    </w:rPr>
                    <w:t>2.布料材质：户外高清喷绘材料</w:t>
                  </w:r>
                </w:p>
                <w:p>
                  <w:pPr>
                    <w:pStyle w:val="null3"/>
                    <w:jc w:val="both"/>
                  </w:pPr>
                  <w:r>
                    <w:rPr>
                      <w:rFonts w:ascii="仿宋_GB2312" w:hAnsi="仿宋_GB2312" w:cs="仿宋_GB2312" w:eastAsia="仿宋_GB2312"/>
                      <w:sz w:val="22"/>
                      <w:color w:val="000000"/>
                    </w:rPr>
                    <w:t>3.固定方式：</w:t>
                  </w:r>
                  <w:r>
                    <w:rPr>
                      <w:rFonts w:ascii="仿宋_GB2312" w:hAnsi="仿宋_GB2312" w:cs="仿宋_GB2312" w:eastAsia="仿宋_GB2312"/>
                      <w:sz w:val="22"/>
                      <w:color w:val="000000"/>
                    </w:rPr>
                    <w:t>喷绘画面上边缘双层折叠打孔，采用双铁丝双重绑扎固定，抗风性能好。安装稳固。</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座</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渭蒲</w:t>
                  </w:r>
                  <w:r>
                    <w:rPr>
                      <w:rFonts w:ascii="仿宋_GB2312" w:hAnsi="仿宋_GB2312" w:cs="仿宋_GB2312" w:eastAsia="仿宋_GB2312"/>
                      <w:sz w:val="22"/>
                      <w:color w:val="000000"/>
                    </w:rPr>
                    <w:t>高速</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渭南区域</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1.广告牌骨架材质：角钢搭骨架，全部做防锈漆两遍，方钢与镀锌钢管支撑，镀锌铁皮全包围</w:t>
                  </w:r>
                </w:p>
                <w:p>
                  <w:pPr>
                    <w:pStyle w:val="null3"/>
                    <w:jc w:val="both"/>
                  </w:pPr>
                  <w:r>
                    <w:rPr>
                      <w:rFonts w:ascii="仿宋_GB2312" w:hAnsi="仿宋_GB2312" w:cs="仿宋_GB2312" w:eastAsia="仿宋_GB2312"/>
                      <w:sz w:val="22"/>
                      <w:color w:val="000000"/>
                    </w:rPr>
                    <w:t>2.布料材质：户外高清喷绘材料</w:t>
                  </w:r>
                </w:p>
                <w:p>
                  <w:pPr>
                    <w:pStyle w:val="null3"/>
                    <w:jc w:val="both"/>
                  </w:pPr>
                  <w:r>
                    <w:rPr>
                      <w:rFonts w:ascii="仿宋_GB2312" w:hAnsi="仿宋_GB2312" w:cs="仿宋_GB2312" w:eastAsia="仿宋_GB2312"/>
                      <w:sz w:val="22"/>
                      <w:color w:val="000000"/>
                    </w:rPr>
                    <w:t>3.固定方式：</w:t>
                  </w:r>
                  <w:r>
                    <w:rPr>
                      <w:rFonts w:ascii="仿宋_GB2312" w:hAnsi="仿宋_GB2312" w:cs="仿宋_GB2312" w:eastAsia="仿宋_GB2312"/>
                      <w:sz w:val="22"/>
                      <w:color w:val="000000"/>
                    </w:rPr>
                    <w:t>喷绘画面上边缘双层折叠打孔，采用双铁丝双重绑扎固定，抗风性能好。安装稳固。</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座</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渭蒲高速</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蒲城区域</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1.广告牌骨架材质：角钢搭骨架，全部做防锈漆两遍，方钢与镀锌钢管支撑，镀锌铁皮全包围</w:t>
                  </w:r>
                </w:p>
                <w:p>
                  <w:pPr>
                    <w:pStyle w:val="null3"/>
                    <w:jc w:val="both"/>
                  </w:pPr>
                  <w:r>
                    <w:rPr>
                      <w:rFonts w:ascii="仿宋_GB2312" w:hAnsi="仿宋_GB2312" w:cs="仿宋_GB2312" w:eastAsia="仿宋_GB2312"/>
                      <w:sz w:val="22"/>
                      <w:color w:val="000000"/>
                    </w:rPr>
                    <w:t>2.布料材质：户外高清喷绘材料</w:t>
                  </w:r>
                </w:p>
                <w:p>
                  <w:pPr>
                    <w:pStyle w:val="null3"/>
                    <w:jc w:val="both"/>
                  </w:pPr>
                  <w:r>
                    <w:rPr>
                      <w:rFonts w:ascii="仿宋_GB2312" w:hAnsi="仿宋_GB2312" w:cs="仿宋_GB2312" w:eastAsia="仿宋_GB2312"/>
                      <w:sz w:val="22"/>
                      <w:color w:val="000000"/>
                    </w:rPr>
                    <w:t>3.固定方式：</w:t>
                  </w:r>
                  <w:r>
                    <w:rPr>
                      <w:rFonts w:ascii="仿宋_GB2312" w:hAnsi="仿宋_GB2312" w:cs="仿宋_GB2312" w:eastAsia="仿宋_GB2312"/>
                      <w:sz w:val="22"/>
                      <w:color w:val="000000"/>
                    </w:rPr>
                    <w:t>喷绘画面上边缘双层折叠打孔，采用双铁丝双重绑扎固定，抗风性能好。安装稳固。</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座</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西禹</w:t>
                  </w:r>
                  <w:r>
                    <w:rPr>
                      <w:rFonts w:ascii="仿宋_GB2312" w:hAnsi="仿宋_GB2312" w:cs="仿宋_GB2312" w:eastAsia="仿宋_GB2312"/>
                      <w:sz w:val="22"/>
                      <w:color w:val="000000"/>
                    </w:rPr>
                    <w:t>高速</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蒲城区域</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1.广告牌骨架材质：角钢搭骨架，全部做防锈漆两遍，方钢与镀锌钢管支撑，镀锌铁皮全包围</w:t>
                  </w:r>
                </w:p>
                <w:p>
                  <w:pPr>
                    <w:pStyle w:val="null3"/>
                    <w:jc w:val="both"/>
                  </w:pPr>
                  <w:r>
                    <w:rPr>
                      <w:rFonts w:ascii="仿宋_GB2312" w:hAnsi="仿宋_GB2312" w:cs="仿宋_GB2312" w:eastAsia="仿宋_GB2312"/>
                      <w:sz w:val="22"/>
                      <w:color w:val="000000"/>
                    </w:rPr>
                    <w:t>2.布料材质：户外高清喷绘材料</w:t>
                  </w:r>
                </w:p>
                <w:p>
                  <w:pPr>
                    <w:pStyle w:val="null3"/>
                    <w:jc w:val="both"/>
                  </w:pPr>
                  <w:r>
                    <w:rPr>
                      <w:rFonts w:ascii="仿宋_GB2312" w:hAnsi="仿宋_GB2312" w:cs="仿宋_GB2312" w:eastAsia="仿宋_GB2312"/>
                      <w:sz w:val="22"/>
                      <w:color w:val="000000"/>
                    </w:rPr>
                    <w:t>3.固定方式：</w:t>
                  </w:r>
                  <w:r>
                    <w:rPr>
                      <w:rFonts w:ascii="仿宋_GB2312" w:hAnsi="仿宋_GB2312" w:cs="仿宋_GB2312" w:eastAsia="仿宋_GB2312"/>
                      <w:sz w:val="22"/>
                      <w:color w:val="000000"/>
                    </w:rPr>
                    <w:t>喷绘画面上边缘双层折叠打孔，采用双铁丝双重绑扎固定，抗风性能好。安装稳固。</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座</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韦罗高速</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大荔区域</w:t>
                  </w:r>
                </w:p>
              </w:tc>
              <w:tc>
                <w:tcPr>
                  <w:tcW w:type="dxa" w:w="11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1.广告牌骨架材质：角钢搭骨架，全部做防锈漆两遍，方钢与镀锌钢管支撑，镀锌铁皮全包围</w:t>
                  </w:r>
                </w:p>
                <w:p>
                  <w:pPr>
                    <w:pStyle w:val="null3"/>
                    <w:jc w:val="both"/>
                  </w:pPr>
                  <w:r>
                    <w:rPr>
                      <w:rFonts w:ascii="仿宋_GB2312" w:hAnsi="仿宋_GB2312" w:cs="仿宋_GB2312" w:eastAsia="仿宋_GB2312"/>
                      <w:sz w:val="22"/>
                      <w:color w:val="000000"/>
                    </w:rPr>
                    <w:t>2.布料材质：户外高清喷绘材料</w:t>
                  </w:r>
                </w:p>
                <w:p>
                  <w:pPr>
                    <w:pStyle w:val="null3"/>
                    <w:jc w:val="both"/>
                  </w:pPr>
                  <w:r>
                    <w:rPr>
                      <w:rFonts w:ascii="仿宋_GB2312" w:hAnsi="仿宋_GB2312" w:cs="仿宋_GB2312" w:eastAsia="仿宋_GB2312"/>
                      <w:sz w:val="22"/>
                      <w:color w:val="000000"/>
                    </w:rPr>
                    <w:t>3.固定方式：</w:t>
                  </w:r>
                  <w:r>
                    <w:rPr>
                      <w:rFonts w:ascii="仿宋_GB2312" w:hAnsi="仿宋_GB2312" w:cs="仿宋_GB2312" w:eastAsia="仿宋_GB2312"/>
                      <w:sz w:val="22"/>
                      <w:color w:val="000000"/>
                    </w:rPr>
                    <w:t>喷绘画面上边缘双层折叠打孔，采用双铁丝双重绑扎固定，抗风性能好。安装稳固。</w:t>
                  </w:r>
                </w:p>
              </w:tc>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座</w:t>
                  </w:r>
                </w:p>
              </w:tc>
            </w:tr>
          </w:tbl>
          <w:p>
            <w:pPr>
              <w:pStyle w:val="null3"/>
              <w:jc w:val="left"/>
            </w:pPr>
            <w:r>
              <w:rPr>
                <w:rFonts w:ascii="仿宋_GB2312" w:hAnsi="仿宋_GB2312" w:cs="仿宋_GB2312" w:eastAsia="仿宋_GB2312"/>
                <w:sz w:val="24"/>
                <w:b/>
                <w:color w:val="000000"/>
              </w:rPr>
              <w:t>二、广告牌宣传服务</w:t>
            </w:r>
          </w:p>
          <w:p>
            <w:pPr>
              <w:pStyle w:val="null3"/>
              <w:jc w:val="both"/>
            </w:pPr>
            <w:r>
              <w:rPr>
                <w:rFonts w:ascii="仿宋_GB2312" w:hAnsi="仿宋_GB2312" w:cs="仿宋_GB2312" w:eastAsia="仿宋_GB2312"/>
                <w:sz w:val="22"/>
                <w:color w:val="000000"/>
              </w:rPr>
              <w:t>1.为期一年的广告牌宣传服务</w:t>
            </w:r>
          </w:p>
          <w:p>
            <w:pPr>
              <w:pStyle w:val="null3"/>
              <w:jc w:val="both"/>
            </w:pPr>
            <w:r>
              <w:rPr>
                <w:rFonts w:ascii="仿宋_GB2312" w:hAnsi="仿宋_GB2312" w:cs="仿宋_GB2312" w:eastAsia="仿宋_GB2312"/>
                <w:sz w:val="22"/>
                <w:color w:val="000000"/>
              </w:rPr>
              <w:t>2.广告策划：根据需求和市场情况，制定有效的广告策划方案，达到宣传效果。</w:t>
            </w:r>
          </w:p>
          <w:p>
            <w:pPr>
              <w:pStyle w:val="null3"/>
              <w:jc w:val="both"/>
            </w:pPr>
            <w:r>
              <w:rPr>
                <w:rFonts w:ascii="仿宋_GB2312" w:hAnsi="仿宋_GB2312" w:cs="仿宋_GB2312" w:eastAsia="仿宋_GB2312"/>
                <w:sz w:val="22"/>
                <w:color w:val="000000"/>
              </w:rPr>
              <w:t>3.广告创意：在广告策划方案的基础上，提供精美的广告创意设计，吸引目标用户关注。</w:t>
            </w:r>
          </w:p>
          <w:p>
            <w:pPr>
              <w:pStyle w:val="null3"/>
              <w:jc w:val="both"/>
            </w:pPr>
            <w:r>
              <w:rPr>
                <w:rFonts w:ascii="仿宋_GB2312" w:hAnsi="仿宋_GB2312" w:cs="仿宋_GB2312" w:eastAsia="仿宋_GB2312"/>
                <w:sz w:val="22"/>
                <w:color w:val="000000"/>
              </w:rPr>
              <w:t>4.广告投放：根据需求投放广告，确保广告投放效果最大化。</w:t>
            </w:r>
          </w:p>
          <w:p>
            <w:pPr>
              <w:pStyle w:val="null3"/>
              <w:jc w:val="both"/>
            </w:pPr>
            <w:r>
              <w:rPr>
                <w:rFonts w:ascii="仿宋_GB2312" w:hAnsi="仿宋_GB2312" w:cs="仿宋_GB2312" w:eastAsia="仿宋_GB2312"/>
                <w:sz w:val="22"/>
                <w:color w:val="000000"/>
              </w:rPr>
              <w:t>5.定期维护：提供定期维护服务，包括广告牌清洁、结构检查等，确保广告牌长期保持良好状态。</w:t>
            </w:r>
          </w:p>
          <w:p>
            <w:pPr>
              <w:pStyle w:val="null3"/>
              <w:jc w:val="both"/>
            </w:pPr>
            <w:r>
              <w:rPr>
                <w:rFonts w:ascii="仿宋_GB2312" w:hAnsi="仿宋_GB2312" w:cs="仿宋_GB2312" w:eastAsia="仿宋_GB2312"/>
                <w:sz w:val="22"/>
                <w:color w:val="000000"/>
              </w:rPr>
              <w:t>6.遇到自然灾害导致广告牌破损，则可无偿更换。</w:t>
            </w:r>
          </w:p>
          <w:p>
            <w:pPr>
              <w:pStyle w:val="null3"/>
              <w:jc w:val="both"/>
            </w:pPr>
            <w:r>
              <w:rPr>
                <w:rFonts w:ascii="仿宋_GB2312" w:hAnsi="仿宋_GB2312" w:cs="仿宋_GB2312" w:eastAsia="仿宋_GB2312"/>
                <w:sz w:val="22"/>
                <w:color w:val="000000"/>
              </w:rPr>
              <w:t>7.对甲方反馈的问题进行快速响应和处理，确保甲方满意度。</w:t>
            </w:r>
          </w:p>
          <w:p>
            <w:pPr>
              <w:pStyle w:val="null3"/>
              <w:jc w:val="both"/>
            </w:pPr>
            <w:r>
              <w:rPr>
                <w:rFonts w:ascii="仿宋_GB2312" w:hAnsi="仿宋_GB2312" w:cs="仿宋_GB2312" w:eastAsia="仿宋_GB2312"/>
                <w:sz w:val="22"/>
                <w:color w:val="000000"/>
              </w:rPr>
              <w:t>8.紧密围绕甲方需求，灵活应对市场变化，通过精准的市场分析、创新的广告策略、高效的执行计划、科学的监测与优化，以及优质的服务与支持，为甲方提供量身定制的广告宣传解决方案。</w:t>
            </w:r>
          </w:p>
          <w:p>
            <w:pPr>
              <w:pStyle w:val="null3"/>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采购人根据合同要求进行验收,验收依据为合同文本、竞争性磋商文件、响应文件。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进度款，合同签定后支付合同总金额，达到付款条件起30个工作日内，支付合同总金额的40.0%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进度款，安装验收后支付合同款项，达到付款条件起30个工作日内，支付合同总金额的30.0%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进度款，服务完毕且验收合格后，达到付款条件起30个工作日内，支付合同总金额的30.0%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因签订合同及合同有关事项发生的争议，由甲乙双方友好协商解决。协商不成时，可以向有关组织申请调解。合同一方或双方不愿调解或调解不成的，可以通过仲裁或诉讼的方式解决争议。</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1.关于符合本国产品标准的声明函 （1）政府采购活动中既有本国产品又有非本国产品参与竞争的，依法对本国产品给予 价格评审优惠，对本国产品的报价给予20%的价格扣除，用扣除后的价格参与评审。（供应商提供虚假《声明函》、虚假证 明文件谋取中标、成交的，依照《中华人民共和国政府采购法》等法律法规规定追究相应责任。） （2）当采购项目或者采购 包中含有多种产品，供应商为该采购项目或者采购包提供的符合本国产品标准的产品成本之和占该供应商提供的全部产品成本 之和的比例达到80%以上时，依法对该供应商提供的全部产品给予价格评审优惠，即对该供应商提供的全部产品的总报价给 予20%的价格扣除，用扣除后的价格参与评审。供应商提供虚假《声明函》、虚假证明文件谋取中标、成交的，依照《中华 人民共和国政府采购法》等法律法规规定追究相应责任。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 （2）税收缴纳证明：提供供应商自磋商前6个月以来已缴纳任意一个月完税凭证或税务机关开具的完税证明（任意税种）；依法免税的应提供相关文件证明； （3）社会保障资金缴纳证明：提供供应商自磋商前6个月以来已缴存的任意一个月的社会保障资金缴存单据或社保机构开具的社会保险参保缴费情况证明；依法不需要缴纳社会保障资金的供应商应提供相关文件证明； （4）提供供应商具备履行合同所必需的设备和专业技术能力的证明材料； （5）供应商参加本次磋商前3年内，在经营活动中没有重大违法记录的书面声明；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赋码的财务报告（包括“四表一注”，即资产负债表、利润表、现金流量表、所有者权益变动表及其附注），或者提供响应文件截止时间六个月内其基本账户开户银行出具的资信证明（附《基本存款账户信息》或《银行开户许可证》复印件）或信用担保机构出具的投标担保函，以上三种形式的资料提供任何一种即可（成立时间至提交响应文件截止时间不足一年的可提供成立后任意时段的资产负债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法人及授权委托</w:t>
            </w:r>
          </w:p>
        </w:tc>
        <w:tc>
          <w:tcPr>
            <w:tcW w:type="dxa" w:w="3322"/>
          </w:tcPr>
          <w:p>
            <w:pPr>
              <w:pStyle w:val="null3"/>
            </w:pPr>
            <w:r>
              <w:rPr>
                <w:rFonts w:ascii="仿宋_GB2312" w:hAnsi="仿宋_GB2312" w:cs="仿宋_GB2312" w:eastAsia="仿宋_GB2312"/>
              </w:rPr>
              <w:t>法定代表人直接参加磋商的，须出具法定代表人身份证明；法定代表人授权代表参加磋商的，须出具法定代表人授权委托书；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按照磋商文件规定要求签署、盖章的。</w:t>
            </w:r>
          </w:p>
        </w:tc>
        <w:tc>
          <w:tcPr>
            <w:tcW w:type="dxa" w:w="1661"/>
          </w:tcPr>
          <w:p>
            <w:pPr>
              <w:pStyle w:val="null3"/>
            </w:pPr>
            <w:r>
              <w:rPr>
                <w:rFonts w:ascii="仿宋_GB2312" w:hAnsi="仿宋_GB2312" w:cs="仿宋_GB2312" w:eastAsia="仿宋_GB2312"/>
              </w:rPr>
              <w:t>中小企业声明函 承诺书.docx 商务应答表.docx 报价表 响应文件封面 供应商应提交的相关资格证明材料.docx 残疾人福利性单位声明函 关于符合本国产品标准的声明函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关于符合本国产品标准的声明函 标的清单 服务内容及服务要求应答表.docx 商务应答表.docx 报价表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满足本磋商文件中标注的实质性条款（服务期限、服务地点、支付方式、支付约定）等要求的。</w:t>
            </w:r>
          </w:p>
        </w:tc>
        <w:tc>
          <w:tcPr>
            <w:tcW w:type="dxa" w:w="1661"/>
          </w:tcPr>
          <w:p>
            <w:pPr>
              <w:pStyle w:val="null3"/>
            </w:pPr>
            <w:r>
              <w:rPr>
                <w:rFonts w:ascii="仿宋_GB2312" w:hAnsi="仿宋_GB2312" w:cs="仿宋_GB2312" w:eastAsia="仿宋_GB2312"/>
              </w:rPr>
              <w:t>中小企业声明函 承诺书.docx 商务应答表.docx 报价表 响应文件封面 供应商应提交的相关资格证明材料.docx 残疾人福利性单位声明函 关于符合本国产品标准的声明函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是否符合法律、法规和磋商文件中规定的其他实质性要求；</w:t>
            </w:r>
          </w:p>
        </w:tc>
        <w:tc>
          <w:tcPr>
            <w:tcW w:type="dxa" w:w="1661"/>
          </w:tcPr>
          <w:p>
            <w:pPr>
              <w:pStyle w:val="null3"/>
            </w:pPr>
            <w:r>
              <w:rPr>
                <w:rFonts w:ascii="仿宋_GB2312" w:hAnsi="仿宋_GB2312" w:cs="仿宋_GB2312" w:eastAsia="仿宋_GB2312"/>
              </w:rPr>
              <w:t>中小企业声明函 承诺书.docx 商务应答表.docx 报价表 响应文件封面 供应商应提交的相关资格证明材料.docx 残疾人福利性单位声明函 关于符合本国产品标准的声明函 标的清单 服务内容及服务要求应答表.docx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针对本项目制定详细的技术方案(包括但不限于①项目实施内容（设计、制作、配送及安装）、②实施计划、③安装方案方面进行综合打分。 单项方案内容全面、合理、规范，可操作性强得6分； 单项方案内容相对全面、合理、规范，可操作性较强得5分； 单项方案内容比较全面、合理、规范，有一定的可操作性得4分； 单项方案内容不够全面、合理、规范，可操作性一般得3分； 单项方案内容不够全面、合理、规范，可操作性不强得2分； 单项方案内容简单，可操作性差得1分；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供应商针对采购需求有明确的进度安排和合理的服务计划保证措施: 具有科学的进度安排，合理明确的保证措施，对工作推进指导性强，得8分； 具有比较科学的进度安排，比较合理明确的保证措施，对工作推进指导性较强，得6分； 具有相对科学的进度安排，相对合理明确的保证措施，对工作推进指导性相对较强，得5分；具有基本科学的进度安排，基本明确的保证措施，有一定的指导性，得4分； 进度安排略有缺陷，保证措施简单，对工作推进指导性一般，得3分；进度安排存在明显缺陷，保证措施笼统，对工作推进指导性不强，得2分；进度安排不合理，保证措施不明确，指导性差，得1分； 未提供相关内容不得分。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结合本项目实际情况，有详细完整的服务质量保证措施。 措施全面、具体、可行、科学合理，得8分； 措施比较全面、具体、可行、科学合理，得6分； 措施相对全面、具体、合理，得5分； 措施基本全面、具体、合理，得4分； 措施较为笼统，合理性差，得3分； 措施存在较多缺漏，合理性较差，得2分； 措施存在严重缺漏，不具备合理性，得1分； 未提供相关内容不得分。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供应商提供针对本项目能够保障服务质量的相关举措：承诺原材料采购、生产制造、成品质量符合采购要求；承诺详细、具体，可行性强得6分； 承诺较为详细，可行性较强得5分； 承诺基本详细，有一定可行性得4分； 承诺基本详细，有可行性得3分； 承诺较简单，可行性较差得2分； 承诺有缺漏，无可行性，得1分；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供应商提供本项目应急预案，确保项目顺利实施及项目期间对突发情况的解决方案：方案完善、合理，可行性强得6分； 方案比较完善、合理，可行性较强得5分；方案相对完善、合理，可行性相对较强得4分；方案基本完善、合理，有一定的可行性得3分；方案内容简单，基本满足项目需求得2分；方案存在缺漏，可行性差得1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切实可行的售后服务方案，包括但不限于①本地化服务能力、②处理的响应时间和解决时间、③对因质次、残损等情况，④产品使用过程中出现质量问题有解决问题等内容。每个单项内容思路明晰合理、完整、科学、实用、针对性强得6分；每个单项内容思路相对明晰合理、相对完整、科学、实用、针对性相对合理得4分；每个单项内容思路欠明晰欠合理、内容不完整、实用性及针对性不强得2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主材供货保障</w:t>
            </w:r>
          </w:p>
        </w:tc>
        <w:tc>
          <w:tcPr>
            <w:tcW w:type="dxa" w:w="2492"/>
          </w:tcPr>
          <w:p>
            <w:pPr>
              <w:pStyle w:val="null3"/>
            </w:pPr>
            <w:r>
              <w:rPr>
                <w:rFonts w:ascii="仿宋_GB2312" w:hAnsi="仿宋_GB2312" w:cs="仿宋_GB2312" w:eastAsia="仿宋_GB2312"/>
              </w:rPr>
              <w:t>供应商可提供本项目拟投入广告画面、板材、五金主材合法来源证明材料（可提供进货发票、购销合同、厂家供货凭证等任一有效资料，不局限于厂商授权）；每提供一类主材有效来源证明得4分，本项最高 12 分。未提供相关内容不得分。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制作设备 配置</w:t>
            </w:r>
          </w:p>
        </w:tc>
        <w:tc>
          <w:tcPr>
            <w:tcW w:type="dxa" w:w="2492"/>
          </w:tcPr>
          <w:p>
            <w:pPr>
              <w:pStyle w:val="null3"/>
            </w:pPr>
            <w:r>
              <w:rPr>
                <w:rFonts w:ascii="仿宋_GB2312" w:hAnsi="仿宋_GB2312" w:cs="仿宋_GB2312" w:eastAsia="仿宋_GB2312"/>
              </w:rPr>
              <w:t>供应商提供自有广告制作加工设备清单 + 设备购置发票或产权证明复印件或租赁协议复印件，包含喷绘机、雕刻机、写真机、裁切设备四类：四类齐全得18分；缺一类扣4.5分，扣完为止，无材料不得分。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满足文件要求且最后报价最低的供应商的价格为基准价，其价格分为满分。其他供应商的价格分统一按照下列公式计算：报价得分=（基准价/最后报价）×价格权值×100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