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版本号：HRPDZB-2026070320260707001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西安汉中协同发展课题研究服务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HRPDZB-20260703</w:t>
      </w:r>
      <w:r>
        <w:br/>
      </w:r>
      <w:r>
        <w:br/>
      </w:r>
      <w:r>
        <w:br/>
      </w:r>
    </w:p>
    <w:p>
      <w:pPr>
        <w:pStyle w:val="null3"/>
        <w:jc w:val="center"/>
        <w:outlineLvl w:val="2"/>
      </w:pPr>
      <w:r>
        <w:rPr>
          <w:rFonts w:ascii="仿宋_GB2312" w:hAnsi="仿宋_GB2312" w:cs="仿宋_GB2312" w:eastAsia="仿宋_GB2312"/>
          <w:sz w:val="28"/>
          <w:b/>
        </w:rPr>
        <w:t>汉中市发展和改革委员会</w:t>
      </w:r>
    </w:p>
    <w:p>
      <w:pPr>
        <w:pStyle w:val="null3"/>
        <w:jc w:val="center"/>
        <w:outlineLvl w:val="2"/>
      </w:pPr>
      <w:r>
        <w:rPr>
          <w:rFonts w:ascii="仿宋_GB2312" w:hAnsi="仿宋_GB2312" w:cs="仿宋_GB2312" w:eastAsia="仿宋_GB2312"/>
          <w:sz w:val="28"/>
          <w:b/>
        </w:rPr>
        <w:t>宏睿鹏达项目管理有限公司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宏睿鹏达项目管理有限公司</w:t>
      </w:r>
      <w:r>
        <w:rPr>
          <w:rFonts w:ascii="仿宋_GB2312" w:hAnsi="仿宋_GB2312" w:cs="仿宋_GB2312" w:eastAsia="仿宋_GB2312"/>
        </w:rPr>
        <w:t>（以下简称“代理机构”）受</w:t>
      </w:r>
      <w:r>
        <w:rPr>
          <w:rFonts w:ascii="仿宋_GB2312" w:hAnsi="仿宋_GB2312" w:cs="仿宋_GB2312" w:eastAsia="仿宋_GB2312"/>
        </w:rPr>
        <w:t>汉中市发展和改革委员会</w:t>
      </w:r>
      <w:r>
        <w:rPr>
          <w:rFonts w:ascii="仿宋_GB2312" w:hAnsi="仿宋_GB2312" w:cs="仿宋_GB2312" w:eastAsia="仿宋_GB2312"/>
        </w:rPr>
        <w:t>委托，拟对</w:t>
      </w:r>
      <w:r>
        <w:rPr>
          <w:rFonts w:ascii="仿宋_GB2312" w:hAnsi="仿宋_GB2312" w:cs="仿宋_GB2312" w:eastAsia="仿宋_GB2312"/>
        </w:rPr>
        <w:t>西安汉中协同发展课题研究服务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HRPDZB-20260703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西安汉中协同发展课题研究服务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深入贯彻落实我省“双极带动、多点支撑、三区协同”战略部署，推动汉中主动融入西安都市圈，深入研判西安、汉中两市协同发展的进展、现状、问题，明确两市在产业、文旅、交通等方面深化合作的契合点，提出下一步促进协同发展的具体举措和政策建议，更好助力西安汉中协同发展走深走实</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采购包1（西安汉中协同发展课题研究服务）：属于专门面向小微企业采购。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汉中市发展和改革委员会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陕西省汉中市汉台区东塔北路中段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黄泽卿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0916-2639557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宏睿鹏达项目管理有限公司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陕西省西安市雁塔区陕西省西安市雁塔区雁翔路99号博源科技广场C座西交一八九六孵化器2046号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19916164724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代理服务费收费标准：代理服务费参照《招标代理服务收费管理暂行办法》计价[2002]1980号和《国家发改委办公厅关于招标代理服务收费有关问题的通知》（发改办价格〔2003〕857号）文件服务类标准计算。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汉中市发展和改革委员会</w:t>
      </w:r>
      <w:r>
        <w:rPr>
          <w:rFonts w:ascii="仿宋_GB2312" w:hAnsi="仿宋_GB2312" w:cs="仿宋_GB2312" w:eastAsia="仿宋_GB2312"/>
        </w:rPr>
        <w:t>和</w:t>
      </w:r>
      <w:r>
        <w:rPr>
          <w:rFonts w:ascii="仿宋_GB2312" w:hAnsi="仿宋_GB2312" w:cs="仿宋_GB2312" w:eastAsia="仿宋_GB2312"/>
        </w:rPr>
        <w:t>宏睿鹏达项目管理有限公司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汉中市发展和改革委员会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宏睿鹏达项目管理有限公司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汉中市发展和改革委员会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宏睿鹏达项目管理有限公司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为履行本项目义务所形成的服务成果的知识产权、数据所有权等归采购人所有。本项目不会引起任何已申请、登记的知识产权所有权的转移。2.供应商保证向采购人提供的服务成果是其独立实施完成，不存在任何侵犯第三方专利权、商标权、著作权等合法权益。</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联系人：马先生</w:t>
      </w:r>
    </w:p>
    <w:p>
      <w:pPr>
        <w:pStyle w:val="null3"/>
      </w:pPr>
      <w:r>
        <w:rPr>
          <w:rFonts w:ascii="仿宋_GB2312" w:hAnsi="仿宋_GB2312" w:cs="仿宋_GB2312" w:eastAsia="仿宋_GB2312"/>
        </w:rPr>
        <w:t>联系电话：19916164724</w:t>
      </w:r>
    </w:p>
    <w:p>
      <w:pPr>
        <w:pStyle w:val="null3"/>
      </w:pPr>
      <w:r>
        <w:rPr>
          <w:rFonts w:ascii="仿宋_GB2312" w:hAnsi="仿宋_GB2312" w:cs="仿宋_GB2312" w:eastAsia="仿宋_GB2312"/>
        </w:rPr>
        <w:t>地址：陕西省汉中市汉台区北关街道办事处西新街紫薇公馆30号楼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深入贯彻落实我省“双极带动、多点支撑、三区协同”战略部署，推动汉中主动融入西安都市圈，深入研判西安、汉中两市协同发展的进展、现状、问题，明确两市在产业、文旅、交通等方面深化合作的契合点，提出下一步促进协同发展的具体举措和政策建议，更好助力西安汉中协同发展走深走实</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西安汉中协同发展课题研究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标的名称：西安汉中协同发展课题研究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深入贯彻落实我省</w:t>
            </w:r>
            <w:r>
              <w:rPr>
                <w:rFonts w:ascii="仿宋_GB2312" w:hAnsi="仿宋_GB2312" w:cs="仿宋_GB2312" w:eastAsia="仿宋_GB2312"/>
                <w:sz w:val="24"/>
              </w:rPr>
              <w:t>“双极带动、多点支撑、三区协同”战略部署，推动汉中主动融入西安都市圈，深入研判西安、汉中两市协同发展的进展、现状、问题，明确两市在产业、文旅、交通等方面深化合作的契合点，提出下一步促进协同发展的具体举措和政策建议，更好助力西安汉中协同发展走深走实</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、项目验收</w:t>
            </w:r>
          </w:p>
          <w:p>
            <w:pPr>
              <w:pStyle w:val="null3"/>
              <w:ind w:firstLine="482"/>
              <w:jc w:val="both"/>
            </w:pPr>
            <w:r>
              <w:rPr>
                <w:rFonts w:ascii="仿宋_GB2312" w:hAnsi="仿宋_GB2312" w:cs="仿宋_GB2312" w:eastAsia="仿宋_GB2312"/>
                <w:sz w:val="24"/>
                <w:b/>
              </w:rPr>
              <w:t xml:space="preserve"> </w:t>
            </w:r>
            <w:r>
              <w:rPr>
                <w:rFonts w:ascii="仿宋_GB2312" w:hAnsi="仿宋_GB2312" w:cs="仿宋_GB2312" w:eastAsia="仿宋_GB2312"/>
                <w:sz w:val="24"/>
                <w:b/>
              </w:rPr>
              <w:t>1.交付成果：</w:t>
            </w:r>
          </w:p>
          <w:p>
            <w:pPr>
              <w:pStyle w:val="null3"/>
              <w:ind w:firstLine="480"/>
              <w:jc w:val="both"/>
            </w:pPr>
            <w:r>
              <w:rPr>
                <w:rFonts w:ascii="仿宋_GB2312" w:hAnsi="仿宋_GB2312" w:cs="仿宋_GB2312" w:eastAsia="仿宋_GB2312"/>
              </w:rPr>
              <w:t xml:space="preserve">  </w:t>
            </w:r>
            <w:r>
              <w:rPr>
                <w:rFonts w:ascii="仿宋_GB2312" w:hAnsi="仿宋_GB2312" w:cs="仿宋_GB2312" w:eastAsia="仿宋_GB2312"/>
                <w:sz w:val="24"/>
              </w:rPr>
              <w:t>《西安汉中协同发展课题研究》</w:t>
            </w:r>
            <w:r>
              <w:rPr>
                <w:rFonts w:ascii="仿宋_GB2312" w:hAnsi="仿宋_GB2312" w:cs="仿宋_GB2312" w:eastAsia="仿宋_GB2312"/>
                <w:sz w:val="24"/>
              </w:rPr>
              <w:t>正式稿纸质版</w:t>
            </w:r>
            <w:r>
              <w:rPr>
                <w:rFonts w:ascii="仿宋_GB2312" w:hAnsi="仿宋_GB2312" w:cs="仿宋_GB2312" w:eastAsia="仿宋_GB2312"/>
                <w:sz w:val="24"/>
              </w:rPr>
              <w:t>10份</w:t>
            </w:r>
            <w:r>
              <w:rPr>
                <w:rFonts w:ascii="仿宋_GB2312" w:hAnsi="仿宋_GB2312" w:cs="仿宋_GB2312" w:eastAsia="仿宋_GB2312"/>
                <w:sz w:val="24"/>
              </w:rPr>
              <w:t>，</w:t>
            </w:r>
            <w:r>
              <w:rPr>
                <w:rFonts w:ascii="仿宋_GB2312" w:hAnsi="仿宋_GB2312" w:cs="仿宋_GB2312" w:eastAsia="仿宋_GB2312"/>
                <w:sz w:val="24"/>
              </w:rPr>
              <w:t>电子版</w:t>
            </w:r>
            <w:r>
              <w:rPr>
                <w:rFonts w:ascii="仿宋_GB2312" w:hAnsi="仿宋_GB2312" w:cs="仿宋_GB2312" w:eastAsia="仿宋_GB2312"/>
                <w:sz w:val="24"/>
              </w:rPr>
              <w:t>1份</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rPr>
              <w:t xml:space="preserve">  </w:t>
            </w:r>
            <w:r>
              <w:rPr>
                <w:rFonts w:ascii="仿宋_GB2312" w:hAnsi="仿宋_GB2312" w:cs="仿宋_GB2312" w:eastAsia="仿宋_GB2312"/>
                <w:sz w:val="24"/>
                <w:b/>
              </w:rPr>
              <w:t>2.验收标准：</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①成果内容符合采购需求；</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②文稿格式规范，数据准确，无重大遗漏或错误；</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③按时交付全部成果。</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b/>
              </w:rPr>
              <w:t>三、完成时间：</w:t>
            </w:r>
            <w:r>
              <w:rPr>
                <w:rFonts w:ascii="仿宋_GB2312" w:hAnsi="仿宋_GB2312" w:cs="仿宋_GB2312" w:eastAsia="仿宋_GB2312"/>
                <w:sz w:val="24"/>
              </w:rPr>
              <w:t>自合同签订之日起开始实施，至</w:t>
            </w:r>
            <w:r>
              <w:rPr>
                <w:rFonts w:ascii="仿宋_GB2312" w:hAnsi="仿宋_GB2312" w:cs="仿宋_GB2312" w:eastAsia="仿宋_GB2312"/>
                <w:sz w:val="24"/>
              </w:rPr>
              <w:t>2026年8月31日结束服务。</w:t>
            </w:r>
          </w:p>
          <w:p>
            <w:pPr>
              <w:pStyle w:val="null3"/>
              <w:jc w:val="both"/>
            </w:pPr>
            <w:r>
              <w:rPr>
                <w:rFonts w:ascii="仿宋_GB2312" w:hAnsi="仿宋_GB2312" w:cs="仿宋_GB2312" w:eastAsia="仿宋_GB2312"/>
                <w:sz w:val="24"/>
                <w:b/>
              </w:rPr>
              <w:t>四、保密要求</w:t>
            </w:r>
          </w:p>
          <w:p>
            <w:pPr>
              <w:pStyle w:val="null3"/>
              <w:ind w:firstLine="480"/>
              <w:jc w:val="both"/>
            </w:pPr>
            <w:r>
              <w:rPr>
                <w:rFonts w:ascii="仿宋_GB2312" w:hAnsi="仿宋_GB2312" w:cs="仿宋_GB2312" w:eastAsia="仿宋_GB2312"/>
                <w:sz w:val="24"/>
              </w:rPr>
              <w:t>供应商应对本项目涉及的所有资料、数据、过程文件及成果内容承担保密责任，未经采购人书面同意，不得向任何第三方泄露或用于其他用途。保密期限自合同签订之日起不少于</w:t>
            </w:r>
            <w:r>
              <w:rPr>
                <w:rFonts w:ascii="仿宋_GB2312" w:hAnsi="仿宋_GB2312" w:cs="仿宋_GB2312" w:eastAsia="仿宋_GB2312"/>
                <w:sz w:val="24"/>
              </w:rPr>
              <w:t>5年。</w:t>
            </w:r>
          </w:p>
          <w:p>
            <w:pPr>
              <w:pStyle w:val="null3"/>
              <w:jc w:val="both"/>
            </w:pPr>
            <w:r>
              <w:rPr>
                <w:rFonts w:ascii="仿宋_GB2312" w:hAnsi="仿宋_GB2312" w:cs="仿宋_GB2312" w:eastAsia="仿宋_GB2312"/>
                <w:sz w:val="24"/>
                <w:b/>
              </w:rPr>
              <w:t>五、成果归属</w:t>
            </w:r>
          </w:p>
          <w:p>
            <w:pPr>
              <w:pStyle w:val="null3"/>
              <w:ind w:firstLine="480"/>
              <w:jc w:val="both"/>
            </w:pPr>
            <w:r>
              <w:rPr>
                <w:rFonts w:ascii="仿宋_GB2312" w:hAnsi="仿宋_GB2312" w:cs="仿宋_GB2312" w:eastAsia="仿宋_GB2312"/>
                <w:sz w:val="24"/>
              </w:rPr>
              <w:t>1.供应商为履行本项目义务所形成的服务成果的知识产权、数据所有权等归采购人所有。本项目不会引起任何已申请、登记的知识产权所有权的转移。</w:t>
            </w:r>
          </w:p>
          <w:p>
            <w:pPr>
              <w:pStyle w:val="null3"/>
              <w:jc w:val="both"/>
            </w:pPr>
            <w:r>
              <w:rPr>
                <w:rFonts w:ascii="仿宋_GB2312" w:hAnsi="仿宋_GB2312" w:cs="仿宋_GB2312" w:eastAsia="仿宋_GB2312"/>
                <w:sz w:val="24"/>
              </w:rPr>
              <w:t>2.供应商保证向采购人提供的服务成果是其独立实施完成，不存在任何侵犯第三方专利权、商标权、著作权等合法权益。</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自合同签订之日起开始实施，至2026年8月31日结束服务。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采购热指定地方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预付款，签订合同后，达到付款条件起7个工作日内，支付合同总金额的60.0%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进度款，项目终稿提交后，达到付款条件起7个工作日内，支付合同总金额的40.0%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1、报价唯一；2、报价货币符合磋商文件要求;3、未超出采购预算或磋商文件规定的最高限价。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中小企业声明函 商务应答表 服务内容及服务要求应答表 报价表 响应文件封面 政府采购供应商拒绝政府采购领域商业贿赂承诺书.docx 供应商应提交的相关资格证明材料.docx 残疾人福利性单位声明函 服务方案 标的清单 响应函 监狱企业的证明文件 供应商认为需要补充的其他内容.pdf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响应文件有效期满足磋商文件的要求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完全响应竞争性磋商文件要求的各项技术（服务）条款、商务实质性条款</w:t>
            </w:r>
          </w:p>
        </w:tc>
        <w:tc>
          <w:tcPr>
            <w:tcW w:type="dxa" w:w="1661"/>
          </w:tcPr>
          <w:p>
            <w:pPr>
              <w:pStyle w:val="null3"/>
            </w:pPr>
            <w:r>
              <w:rPr>
                <w:rFonts w:ascii="仿宋_GB2312" w:hAnsi="仿宋_GB2312" w:cs="仿宋_GB2312" w:eastAsia="仿宋_GB2312"/>
              </w:rPr>
              <w:t>商务应答表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项目的理解</w:t>
            </w:r>
          </w:p>
        </w:tc>
        <w:tc>
          <w:tcPr>
            <w:tcW w:type="dxa" w:w="2492"/>
          </w:tcPr>
          <w:p>
            <w:pPr>
              <w:pStyle w:val="null3"/>
            </w:pPr>
            <w:r>
              <w:rPr>
                <w:rFonts w:ascii="仿宋_GB2312" w:hAnsi="仿宋_GB2312" w:cs="仿宋_GB2312" w:eastAsia="仿宋_GB2312"/>
              </w:rPr>
              <w:t>评审内容： 1.背景解读；2.政策分析。评审依据：方案各部分内容全面详细、阐述条理清晰详尽符合本项需求得 8 分； 以上评审内容每缺一项扣4分；每一项评审内容有缺陷扣 2分。 （缺陷是指：内容粗略、逻辑混乱、描述过于简单、与项目特点不匹配、凭空编造、逻辑漏洞、出现常识性错误、存在不适用项目实际情况的情形或只有标题没有实质性内容等）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课题研究实施方案</w:t>
            </w:r>
          </w:p>
        </w:tc>
        <w:tc>
          <w:tcPr>
            <w:tcW w:type="dxa" w:w="2492"/>
          </w:tcPr>
          <w:p>
            <w:pPr>
              <w:pStyle w:val="null3"/>
            </w:pPr>
            <w:r>
              <w:rPr>
                <w:rFonts w:ascii="仿宋_GB2312" w:hAnsi="仿宋_GB2312" w:cs="仿宋_GB2312" w:eastAsia="仿宋_GB2312"/>
              </w:rPr>
              <w:t>评审内容：1.研究思路及理念；2.重难点分析；3.工作方法；4.内容框架；5.案例研究。评审依据：方案各部分内容全面详细、阐述条理清晰详尽符合本项需求得20分；以上评审内容每缺一项扣4分；每一项评审内容有缺陷扣3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课题研究服务方案</w:t>
            </w:r>
          </w:p>
        </w:tc>
        <w:tc>
          <w:tcPr>
            <w:tcW w:type="dxa" w:w="2492"/>
          </w:tcPr>
          <w:p>
            <w:pPr>
              <w:pStyle w:val="null3"/>
            </w:pPr>
            <w:r>
              <w:rPr>
                <w:rFonts w:ascii="仿宋_GB2312" w:hAnsi="仿宋_GB2312" w:cs="仿宋_GB2312" w:eastAsia="仿宋_GB2312"/>
              </w:rPr>
              <w:t>评审内容： 1.调研计划；2.工作成果；3.进度安排；4.进度保障。 评审依据：方案各部分内容全面详细、阐述条理清晰详尽符合本项需求得16分；以上评审内容每缺一项扣4分；每一项评审内容有缺陷扣2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供应商提供2021年1月1日至今规划研究业绩，每份计5分，计满10分为止。以合同或中标通知书为准（时间以合同签订时间或中标通知书时间为准）。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项目组成员（除项目负责人外），具备正高级职称的每人得3分，具备副高级职称的每人得2分，具备中级职称的每人得1分，满分 10 分。 注：提供人员身份证、职称证等复印件加盖公章，否则不得分。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具备正高级职称得8分，具备副高级职称得5分，不满足要求或未提供不得分。 注：提供项目负责人身份证明、职称证等复印件加盖公章，否则不得分。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 1.管理措施；2.管理制度；3.成果质量审核标准；4.保密措施。 评审依据： 方案各部分内容全面详细、阐述条理清晰详尽符合本项需求得8分；以上评审内容每缺一项扣2分；每一项评审内容有缺陷扣0.5 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即满足磋商文件要求且磋商价格最低(通过异常低价审查)的报价为评标基准价，其价格分为满分。其他供应商的价格分统一按照下列公式计算:价格分=(评标基准价/磋商报价)x20 。注:价格得分以供应商最后报价为计算依据，结果四舍五入保留小数点后两位。本项目专门面向中小企业采购，评审时不再进行价格扣除。</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详见附件：供应商认为需要补充的其他内容.pdf</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详见附件：制式合同.docx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