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85A81">
      <w:pPr>
        <w:pStyle w:val="10"/>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拟签订采购合同文本</w:t>
      </w:r>
    </w:p>
    <w:p w14:paraId="65BE2668">
      <w:pPr>
        <w:pStyle w:val="10"/>
        <w:rPr>
          <w:rFonts w:hint="eastAsia" w:ascii="仿宋" w:hAnsi="仿宋" w:eastAsia="仿宋" w:cs="仿宋"/>
          <w:color w:val="auto"/>
          <w:highlight w:val="none"/>
        </w:rPr>
      </w:pPr>
    </w:p>
    <w:p w14:paraId="00BD918B">
      <w:pPr>
        <w:pStyle w:val="1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37091CB3">
      <w:pPr>
        <w:spacing w:line="360" w:lineRule="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合同编号:</w:t>
      </w:r>
    </w:p>
    <w:p w14:paraId="6CF76EF3">
      <w:pPr>
        <w:pStyle w:val="6"/>
        <w:ind w:firstLine="210"/>
        <w:rPr>
          <w:rFonts w:ascii="仿宋" w:hAnsi="仿宋" w:eastAsia="仿宋" w:cs="仿宋"/>
          <w:color w:val="auto"/>
          <w:highlight w:val="none"/>
        </w:rPr>
      </w:pPr>
    </w:p>
    <w:p w14:paraId="14B20820">
      <w:pPr>
        <w:rPr>
          <w:rFonts w:ascii="仿宋" w:hAnsi="仿宋" w:eastAsia="仿宋" w:cs="仿宋"/>
          <w:color w:val="auto"/>
          <w:sz w:val="28"/>
          <w:szCs w:val="28"/>
          <w:highlight w:val="none"/>
        </w:rPr>
      </w:pPr>
    </w:p>
    <w:p w14:paraId="44A1C714">
      <w:pPr>
        <w:pStyle w:val="5"/>
        <w:rPr>
          <w:color w:val="auto"/>
          <w:highlight w:val="none"/>
        </w:rPr>
      </w:pPr>
    </w:p>
    <w:p w14:paraId="07DF7C5C">
      <w:pPr>
        <w:pStyle w:val="2"/>
        <w:jc w:val="center"/>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lang w:eastAsia="zh-CN"/>
        </w:rPr>
        <w:t>西安市未央区东前进小学教育教学设备采购</w:t>
      </w:r>
    </w:p>
    <w:p w14:paraId="6F51ADBE">
      <w:pPr>
        <w:pStyle w:val="2"/>
        <w:jc w:val="center"/>
        <w:rPr>
          <w:rFonts w:ascii="仿宋" w:hAnsi="仿宋" w:eastAsia="仿宋" w:cs="仿宋"/>
          <w:b/>
          <w:color w:val="auto"/>
          <w:kern w:val="0"/>
          <w:sz w:val="28"/>
          <w:szCs w:val="28"/>
          <w:highlight w:val="none"/>
        </w:rPr>
      </w:pPr>
    </w:p>
    <w:p w14:paraId="1208EF36">
      <w:pPr>
        <w:rPr>
          <w:rFonts w:ascii="仿宋" w:hAnsi="仿宋" w:eastAsia="仿宋" w:cs="仿宋"/>
          <w:color w:val="auto"/>
          <w:highlight w:val="none"/>
        </w:rPr>
      </w:pPr>
    </w:p>
    <w:p w14:paraId="1EF63368">
      <w:pPr>
        <w:pStyle w:val="2"/>
        <w:jc w:val="center"/>
        <w:rPr>
          <w:rFonts w:ascii="仿宋" w:hAnsi="仿宋" w:eastAsia="仿宋" w:cs="仿宋"/>
          <w:b/>
          <w:color w:val="auto"/>
          <w:kern w:val="0"/>
          <w:sz w:val="44"/>
          <w:szCs w:val="44"/>
          <w:highlight w:val="none"/>
        </w:rPr>
      </w:pPr>
    </w:p>
    <w:p w14:paraId="3FBE60B8">
      <w:pPr>
        <w:pStyle w:val="2"/>
        <w:jc w:val="center"/>
        <w:rPr>
          <w:rFonts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（示范文本）</w:t>
      </w:r>
    </w:p>
    <w:p w14:paraId="1E50CBCA">
      <w:pPr>
        <w:rPr>
          <w:rFonts w:ascii="仿宋" w:hAnsi="仿宋" w:eastAsia="仿宋" w:cs="仿宋"/>
          <w:color w:val="auto"/>
          <w:sz w:val="28"/>
          <w:szCs w:val="28"/>
          <w:highlight w:val="none"/>
        </w:rPr>
      </w:pPr>
    </w:p>
    <w:p w14:paraId="23646192">
      <w:pPr>
        <w:pStyle w:val="6"/>
        <w:ind w:firstLine="210"/>
        <w:rPr>
          <w:rFonts w:ascii="仿宋" w:hAnsi="仿宋" w:eastAsia="仿宋" w:cs="仿宋"/>
          <w:color w:val="auto"/>
          <w:highlight w:val="none"/>
        </w:rPr>
      </w:pPr>
    </w:p>
    <w:p w14:paraId="336A1974">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采购人(甲方) :                              </w:t>
      </w:r>
    </w:p>
    <w:p w14:paraId="49B76D5D">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供应商(乙方) :                              </w:t>
      </w:r>
    </w:p>
    <w:p w14:paraId="13E2267D">
      <w:pPr>
        <w:ind w:firstLine="562" w:firstLineChars="200"/>
        <w:jc w:val="left"/>
        <w:rPr>
          <w:rFonts w:ascii="仿宋" w:hAnsi="仿宋" w:eastAsia="仿宋" w:cs="仿宋"/>
          <w:b/>
          <w:color w:val="auto"/>
          <w:sz w:val="28"/>
          <w:szCs w:val="28"/>
          <w:highlight w:val="none"/>
        </w:rPr>
      </w:pPr>
    </w:p>
    <w:p w14:paraId="5B4B7DA1">
      <w:pPr>
        <w:pStyle w:val="6"/>
        <w:ind w:firstLine="0" w:firstLineChars="0"/>
        <w:rPr>
          <w:rFonts w:ascii="仿宋" w:hAnsi="仿宋" w:eastAsia="仿宋" w:cs="仿宋"/>
          <w:color w:val="auto"/>
          <w:highlight w:val="none"/>
        </w:rPr>
      </w:pPr>
    </w:p>
    <w:p w14:paraId="3A4D03B6">
      <w:pPr>
        <w:pStyle w:val="7"/>
        <w:rPr>
          <w:color w:val="auto"/>
          <w:highlight w:val="none"/>
        </w:rPr>
      </w:pPr>
    </w:p>
    <w:p w14:paraId="4C82B58C">
      <w:pPr>
        <w:rPr>
          <w:rFonts w:ascii="仿宋" w:hAnsi="仿宋" w:eastAsia="仿宋" w:cs="仿宋"/>
          <w:color w:val="auto"/>
          <w:sz w:val="24"/>
          <w:highlight w:val="none"/>
        </w:rPr>
      </w:pPr>
    </w:p>
    <w:p w14:paraId="215EA47D">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合同编号：</w:t>
      </w:r>
    </w:p>
    <w:p w14:paraId="6EAA6CA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签订地点：</w:t>
      </w:r>
    </w:p>
    <w:p w14:paraId="20E22AD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签订时间：</w:t>
      </w:r>
    </w:p>
    <w:p w14:paraId="2927F1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 xml:space="preserve">采购人（甲方）： </w:t>
      </w:r>
    </w:p>
    <w:p w14:paraId="5F1597D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供应商（乙方）：</w:t>
      </w:r>
    </w:p>
    <w:p w14:paraId="098C03C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根据《中华人民共和国民法典》、《中华人民共和国政府采购法》及</w:t>
      </w:r>
      <w:r>
        <w:rPr>
          <w:rFonts w:hint="eastAsia" w:ascii="仿宋" w:hAnsi="仿宋" w:eastAsia="仿宋" w:cs="仿宋"/>
          <w:color w:val="auto"/>
          <w:sz w:val="24"/>
          <w:highlight w:val="none"/>
          <w:u w:val="single"/>
          <w:lang w:eastAsia="zh-CN"/>
        </w:rPr>
        <w:t>西安市未央区东前进小学教育教学设备采购</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u w:val="single"/>
          <w:lang w:eastAsia="zh-CN"/>
        </w:rPr>
        <w:t>SXZHZC2025-JT298</w:t>
      </w:r>
      <w:r>
        <w:rPr>
          <w:rFonts w:hint="eastAsia" w:ascii="仿宋" w:hAnsi="仿宋" w:eastAsia="仿宋" w:cs="仿宋"/>
          <w:color w:val="auto"/>
          <w:sz w:val="24"/>
          <w:highlight w:val="none"/>
        </w:rPr>
        <w:t>的《竞争性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乙方的《响应文件》及《成交通知书》），甲、乙双方同意签订本合同。详细技术说明及其化有关合同的特定信息由合同附件予以说明，合同附件及本项目的竞争性磋商文件、响应文件、《成交通知书》等均为本合同不可分割的部分。双方同意共同遵守如下条款：</w:t>
      </w:r>
    </w:p>
    <w:p w14:paraId="08133D1C">
      <w:pPr>
        <w:numPr>
          <w:ilvl w:val="0"/>
          <w:numId w:val="1"/>
        </w:num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合同标的及数量</w:t>
      </w:r>
    </w:p>
    <w:p w14:paraId="784D8D8F">
      <w:pPr>
        <w:pStyle w:val="3"/>
        <w:rPr>
          <w:rFonts w:ascii="仿宋" w:hAnsi="仿宋" w:eastAsia="仿宋" w:cs="仿宋"/>
          <w:color w:val="auto"/>
          <w:highlight w:val="none"/>
        </w:rPr>
      </w:pPr>
      <w:r>
        <w:rPr>
          <w:rFonts w:hint="eastAsia" w:ascii="仿宋" w:hAnsi="仿宋" w:eastAsia="仿宋" w:cs="仿宋"/>
          <w:color w:val="auto"/>
          <w:highlight w:val="none"/>
        </w:rPr>
        <w:t>乙方向甲方提供下列货物 (产品) ：</w:t>
      </w:r>
    </w:p>
    <w:p w14:paraId="782D978C">
      <w:pPr>
        <w:pStyle w:val="3"/>
        <w:jc w:val="center"/>
        <w:rPr>
          <w:rFonts w:ascii="仿宋" w:hAnsi="仿宋" w:eastAsia="仿宋" w:cs="仿宋"/>
          <w:b/>
          <w:bCs/>
          <w:color w:val="auto"/>
          <w:highlight w:val="none"/>
        </w:rPr>
      </w:pPr>
      <w:r>
        <w:rPr>
          <w:rFonts w:hint="eastAsia" w:ascii="仿宋" w:hAnsi="仿宋" w:eastAsia="仿宋" w:cs="仿宋"/>
          <w:b/>
          <w:bCs/>
          <w:color w:val="auto"/>
          <w:highlight w:val="none"/>
        </w:rPr>
        <w:t>供货一览表</w:t>
      </w:r>
    </w:p>
    <w:tbl>
      <w:tblPr>
        <w:tblStyle w:val="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214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ign w:val="center"/>
          </w:tcPr>
          <w:p w14:paraId="2C22FDD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dxa"/>
            <w:noWrap/>
            <w:vAlign w:val="center"/>
          </w:tcPr>
          <w:p w14:paraId="1B96B0C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货物（产品）名称</w:t>
            </w:r>
          </w:p>
        </w:tc>
        <w:tc>
          <w:tcPr>
            <w:tcW w:w="1370" w:type="dxa"/>
            <w:noWrap/>
            <w:vAlign w:val="center"/>
          </w:tcPr>
          <w:p w14:paraId="64245CB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品牌/规格型号</w:t>
            </w:r>
          </w:p>
        </w:tc>
        <w:tc>
          <w:tcPr>
            <w:tcW w:w="1232" w:type="dxa"/>
            <w:noWrap/>
            <w:vAlign w:val="center"/>
          </w:tcPr>
          <w:p w14:paraId="6ECC314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28" w:type="dxa"/>
            <w:noWrap/>
            <w:vAlign w:val="center"/>
          </w:tcPr>
          <w:p w14:paraId="16536A3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ign w:val="center"/>
          </w:tcPr>
          <w:p w14:paraId="7B3D459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w:t>
            </w:r>
          </w:p>
          <w:p w14:paraId="32AD4BE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ign w:val="center"/>
          </w:tcPr>
          <w:p w14:paraId="5FBA271F">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总价</w:t>
            </w:r>
          </w:p>
          <w:p w14:paraId="220A59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76C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53632D0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dxa"/>
            <w:noWrap/>
            <w:vAlign w:val="center"/>
          </w:tcPr>
          <w:p w14:paraId="2E4FB43F">
            <w:pPr>
              <w:spacing w:line="360" w:lineRule="auto"/>
              <w:jc w:val="center"/>
              <w:rPr>
                <w:rFonts w:ascii="仿宋" w:hAnsi="仿宋" w:eastAsia="仿宋" w:cs="仿宋"/>
                <w:color w:val="auto"/>
                <w:sz w:val="24"/>
                <w:highlight w:val="none"/>
              </w:rPr>
            </w:pPr>
          </w:p>
        </w:tc>
        <w:tc>
          <w:tcPr>
            <w:tcW w:w="1370" w:type="dxa"/>
            <w:noWrap/>
            <w:vAlign w:val="center"/>
          </w:tcPr>
          <w:p w14:paraId="41EE8A3C">
            <w:pPr>
              <w:spacing w:line="360" w:lineRule="auto"/>
              <w:jc w:val="center"/>
              <w:rPr>
                <w:rFonts w:ascii="仿宋" w:hAnsi="仿宋" w:eastAsia="仿宋" w:cs="仿宋"/>
                <w:color w:val="auto"/>
                <w:sz w:val="24"/>
                <w:highlight w:val="none"/>
              </w:rPr>
            </w:pPr>
          </w:p>
        </w:tc>
        <w:tc>
          <w:tcPr>
            <w:tcW w:w="1232" w:type="dxa"/>
            <w:noWrap/>
            <w:vAlign w:val="center"/>
          </w:tcPr>
          <w:p w14:paraId="44C00213">
            <w:pPr>
              <w:spacing w:line="360" w:lineRule="auto"/>
              <w:jc w:val="center"/>
              <w:rPr>
                <w:rFonts w:ascii="仿宋" w:hAnsi="仿宋" w:eastAsia="仿宋" w:cs="仿宋"/>
                <w:color w:val="auto"/>
                <w:sz w:val="24"/>
                <w:highlight w:val="none"/>
              </w:rPr>
            </w:pPr>
          </w:p>
        </w:tc>
        <w:tc>
          <w:tcPr>
            <w:tcW w:w="1328" w:type="dxa"/>
            <w:noWrap/>
            <w:vAlign w:val="center"/>
          </w:tcPr>
          <w:p w14:paraId="7D12ACFE">
            <w:pPr>
              <w:spacing w:line="360" w:lineRule="auto"/>
              <w:jc w:val="center"/>
              <w:rPr>
                <w:rFonts w:ascii="仿宋" w:hAnsi="仿宋" w:eastAsia="仿宋" w:cs="仿宋"/>
                <w:color w:val="auto"/>
                <w:sz w:val="24"/>
                <w:highlight w:val="none"/>
              </w:rPr>
            </w:pPr>
          </w:p>
        </w:tc>
        <w:tc>
          <w:tcPr>
            <w:tcW w:w="1200" w:type="dxa"/>
            <w:noWrap/>
            <w:vAlign w:val="center"/>
          </w:tcPr>
          <w:p w14:paraId="05F7917D">
            <w:pPr>
              <w:spacing w:line="360" w:lineRule="auto"/>
              <w:jc w:val="center"/>
              <w:rPr>
                <w:rFonts w:ascii="仿宋" w:hAnsi="仿宋" w:eastAsia="仿宋" w:cs="仿宋"/>
                <w:color w:val="auto"/>
                <w:sz w:val="24"/>
                <w:highlight w:val="none"/>
              </w:rPr>
            </w:pPr>
          </w:p>
        </w:tc>
        <w:tc>
          <w:tcPr>
            <w:tcW w:w="1342" w:type="dxa"/>
            <w:noWrap/>
            <w:vAlign w:val="center"/>
          </w:tcPr>
          <w:p w14:paraId="5DDC964D">
            <w:pPr>
              <w:spacing w:line="360" w:lineRule="auto"/>
              <w:jc w:val="center"/>
              <w:rPr>
                <w:rFonts w:ascii="仿宋" w:hAnsi="仿宋" w:eastAsia="仿宋" w:cs="仿宋"/>
                <w:color w:val="auto"/>
                <w:sz w:val="24"/>
                <w:highlight w:val="none"/>
              </w:rPr>
            </w:pPr>
          </w:p>
        </w:tc>
      </w:tr>
      <w:tr w14:paraId="0B7E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3D2FCD4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dxa"/>
            <w:noWrap/>
            <w:vAlign w:val="center"/>
          </w:tcPr>
          <w:p w14:paraId="7B650C1C">
            <w:pPr>
              <w:spacing w:line="360" w:lineRule="auto"/>
              <w:jc w:val="center"/>
              <w:rPr>
                <w:rFonts w:ascii="仿宋" w:hAnsi="仿宋" w:eastAsia="仿宋" w:cs="仿宋"/>
                <w:color w:val="auto"/>
                <w:sz w:val="24"/>
                <w:highlight w:val="none"/>
              </w:rPr>
            </w:pPr>
          </w:p>
        </w:tc>
        <w:tc>
          <w:tcPr>
            <w:tcW w:w="1370" w:type="dxa"/>
            <w:noWrap/>
            <w:vAlign w:val="center"/>
          </w:tcPr>
          <w:p w14:paraId="41F36832">
            <w:pPr>
              <w:spacing w:line="360" w:lineRule="auto"/>
              <w:jc w:val="center"/>
              <w:rPr>
                <w:rFonts w:ascii="仿宋" w:hAnsi="仿宋" w:eastAsia="仿宋" w:cs="仿宋"/>
                <w:color w:val="auto"/>
                <w:sz w:val="24"/>
                <w:highlight w:val="none"/>
              </w:rPr>
            </w:pPr>
          </w:p>
        </w:tc>
        <w:tc>
          <w:tcPr>
            <w:tcW w:w="1232" w:type="dxa"/>
            <w:noWrap/>
            <w:vAlign w:val="center"/>
          </w:tcPr>
          <w:p w14:paraId="7677DDBF">
            <w:pPr>
              <w:spacing w:line="360" w:lineRule="auto"/>
              <w:jc w:val="center"/>
              <w:rPr>
                <w:rFonts w:ascii="仿宋" w:hAnsi="仿宋" w:eastAsia="仿宋" w:cs="仿宋"/>
                <w:color w:val="auto"/>
                <w:sz w:val="24"/>
                <w:highlight w:val="none"/>
              </w:rPr>
            </w:pPr>
          </w:p>
        </w:tc>
        <w:tc>
          <w:tcPr>
            <w:tcW w:w="1328" w:type="dxa"/>
            <w:noWrap/>
            <w:vAlign w:val="center"/>
          </w:tcPr>
          <w:p w14:paraId="7F56DB55">
            <w:pPr>
              <w:spacing w:line="360" w:lineRule="auto"/>
              <w:jc w:val="center"/>
              <w:rPr>
                <w:rFonts w:ascii="仿宋" w:hAnsi="仿宋" w:eastAsia="仿宋" w:cs="仿宋"/>
                <w:color w:val="auto"/>
                <w:sz w:val="24"/>
                <w:highlight w:val="none"/>
              </w:rPr>
            </w:pPr>
          </w:p>
        </w:tc>
        <w:tc>
          <w:tcPr>
            <w:tcW w:w="1200" w:type="dxa"/>
            <w:noWrap/>
            <w:vAlign w:val="center"/>
          </w:tcPr>
          <w:p w14:paraId="530C2D5B">
            <w:pPr>
              <w:spacing w:line="360" w:lineRule="auto"/>
              <w:jc w:val="center"/>
              <w:rPr>
                <w:rFonts w:ascii="仿宋" w:hAnsi="仿宋" w:eastAsia="仿宋" w:cs="仿宋"/>
                <w:color w:val="auto"/>
                <w:sz w:val="24"/>
                <w:highlight w:val="none"/>
              </w:rPr>
            </w:pPr>
          </w:p>
        </w:tc>
        <w:tc>
          <w:tcPr>
            <w:tcW w:w="1342" w:type="dxa"/>
            <w:noWrap/>
            <w:vAlign w:val="center"/>
          </w:tcPr>
          <w:p w14:paraId="1C57CE23">
            <w:pPr>
              <w:spacing w:line="360" w:lineRule="auto"/>
              <w:jc w:val="center"/>
              <w:rPr>
                <w:rFonts w:ascii="仿宋" w:hAnsi="仿宋" w:eastAsia="仿宋" w:cs="仿宋"/>
                <w:color w:val="auto"/>
                <w:sz w:val="24"/>
                <w:highlight w:val="none"/>
              </w:rPr>
            </w:pPr>
          </w:p>
        </w:tc>
      </w:tr>
      <w:tr w14:paraId="6C63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2AEDA8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dxa"/>
            <w:noWrap/>
            <w:vAlign w:val="center"/>
          </w:tcPr>
          <w:p w14:paraId="7C7391C5">
            <w:pPr>
              <w:spacing w:line="360" w:lineRule="auto"/>
              <w:jc w:val="center"/>
              <w:rPr>
                <w:rFonts w:ascii="仿宋" w:hAnsi="仿宋" w:eastAsia="仿宋" w:cs="仿宋"/>
                <w:color w:val="auto"/>
                <w:sz w:val="24"/>
                <w:highlight w:val="none"/>
              </w:rPr>
            </w:pPr>
          </w:p>
        </w:tc>
        <w:tc>
          <w:tcPr>
            <w:tcW w:w="1370" w:type="dxa"/>
            <w:noWrap/>
            <w:vAlign w:val="center"/>
          </w:tcPr>
          <w:p w14:paraId="28D9C3EC">
            <w:pPr>
              <w:spacing w:line="360" w:lineRule="auto"/>
              <w:jc w:val="center"/>
              <w:rPr>
                <w:rFonts w:ascii="仿宋" w:hAnsi="仿宋" w:eastAsia="仿宋" w:cs="仿宋"/>
                <w:color w:val="auto"/>
                <w:sz w:val="24"/>
                <w:highlight w:val="none"/>
              </w:rPr>
            </w:pPr>
          </w:p>
        </w:tc>
        <w:tc>
          <w:tcPr>
            <w:tcW w:w="1232" w:type="dxa"/>
            <w:noWrap/>
            <w:vAlign w:val="center"/>
          </w:tcPr>
          <w:p w14:paraId="3C8EBF8B">
            <w:pPr>
              <w:spacing w:line="360" w:lineRule="auto"/>
              <w:jc w:val="center"/>
              <w:rPr>
                <w:rFonts w:ascii="仿宋" w:hAnsi="仿宋" w:eastAsia="仿宋" w:cs="仿宋"/>
                <w:color w:val="auto"/>
                <w:sz w:val="24"/>
                <w:highlight w:val="none"/>
              </w:rPr>
            </w:pPr>
          </w:p>
        </w:tc>
        <w:tc>
          <w:tcPr>
            <w:tcW w:w="1328" w:type="dxa"/>
            <w:noWrap/>
            <w:vAlign w:val="center"/>
          </w:tcPr>
          <w:p w14:paraId="5DA8690A">
            <w:pPr>
              <w:spacing w:line="360" w:lineRule="auto"/>
              <w:jc w:val="center"/>
              <w:rPr>
                <w:rFonts w:ascii="仿宋" w:hAnsi="仿宋" w:eastAsia="仿宋" w:cs="仿宋"/>
                <w:color w:val="auto"/>
                <w:sz w:val="24"/>
                <w:highlight w:val="none"/>
              </w:rPr>
            </w:pPr>
          </w:p>
        </w:tc>
        <w:tc>
          <w:tcPr>
            <w:tcW w:w="1200" w:type="dxa"/>
            <w:noWrap/>
            <w:vAlign w:val="center"/>
          </w:tcPr>
          <w:p w14:paraId="1C9D1A3A">
            <w:pPr>
              <w:spacing w:line="360" w:lineRule="auto"/>
              <w:jc w:val="center"/>
              <w:rPr>
                <w:rFonts w:ascii="仿宋" w:hAnsi="仿宋" w:eastAsia="仿宋" w:cs="仿宋"/>
                <w:color w:val="auto"/>
                <w:sz w:val="24"/>
                <w:highlight w:val="none"/>
              </w:rPr>
            </w:pPr>
          </w:p>
        </w:tc>
        <w:tc>
          <w:tcPr>
            <w:tcW w:w="1342" w:type="dxa"/>
            <w:noWrap/>
            <w:vAlign w:val="center"/>
          </w:tcPr>
          <w:p w14:paraId="15C3CF2A">
            <w:pPr>
              <w:spacing w:line="360" w:lineRule="auto"/>
              <w:jc w:val="center"/>
              <w:rPr>
                <w:rFonts w:ascii="仿宋" w:hAnsi="仿宋" w:eastAsia="仿宋" w:cs="仿宋"/>
                <w:color w:val="auto"/>
                <w:sz w:val="24"/>
                <w:highlight w:val="none"/>
              </w:rPr>
            </w:pPr>
          </w:p>
        </w:tc>
      </w:tr>
      <w:tr w14:paraId="404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1E2550A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336" w:type="dxa"/>
            <w:noWrap/>
            <w:vAlign w:val="center"/>
          </w:tcPr>
          <w:p w14:paraId="04198FBA">
            <w:pPr>
              <w:spacing w:line="360" w:lineRule="auto"/>
              <w:jc w:val="center"/>
              <w:rPr>
                <w:rFonts w:ascii="仿宋" w:hAnsi="仿宋" w:eastAsia="仿宋" w:cs="仿宋"/>
                <w:color w:val="auto"/>
                <w:sz w:val="24"/>
                <w:highlight w:val="none"/>
              </w:rPr>
            </w:pPr>
          </w:p>
        </w:tc>
        <w:tc>
          <w:tcPr>
            <w:tcW w:w="1370" w:type="dxa"/>
            <w:noWrap/>
            <w:vAlign w:val="center"/>
          </w:tcPr>
          <w:p w14:paraId="2236F7BF">
            <w:pPr>
              <w:spacing w:line="360" w:lineRule="auto"/>
              <w:jc w:val="center"/>
              <w:rPr>
                <w:rFonts w:ascii="仿宋" w:hAnsi="仿宋" w:eastAsia="仿宋" w:cs="仿宋"/>
                <w:color w:val="auto"/>
                <w:sz w:val="24"/>
                <w:highlight w:val="none"/>
              </w:rPr>
            </w:pPr>
          </w:p>
        </w:tc>
        <w:tc>
          <w:tcPr>
            <w:tcW w:w="1232" w:type="dxa"/>
            <w:noWrap/>
            <w:vAlign w:val="center"/>
          </w:tcPr>
          <w:p w14:paraId="0C95AF1B">
            <w:pPr>
              <w:spacing w:line="360" w:lineRule="auto"/>
              <w:jc w:val="center"/>
              <w:rPr>
                <w:rFonts w:ascii="仿宋" w:hAnsi="仿宋" w:eastAsia="仿宋" w:cs="仿宋"/>
                <w:color w:val="auto"/>
                <w:sz w:val="24"/>
                <w:highlight w:val="none"/>
              </w:rPr>
            </w:pPr>
          </w:p>
        </w:tc>
        <w:tc>
          <w:tcPr>
            <w:tcW w:w="1328" w:type="dxa"/>
            <w:noWrap/>
            <w:vAlign w:val="center"/>
          </w:tcPr>
          <w:p w14:paraId="46FB7A03">
            <w:pPr>
              <w:spacing w:line="360" w:lineRule="auto"/>
              <w:jc w:val="center"/>
              <w:rPr>
                <w:rFonts w:ascii="仿宋" w:hAnsi="仿宋" w:eastAsia="仿宋" w:cs="仿宋"/>
                <w:color w:val="auto"/>
                <w:sz w:val="24"/>
                <w:highlight w:val="none"/>
              </w:rPr>
            </w:pPr>
          </w:p>
        </w:tc>
        <w:tc>
          <w:tcPr>
            <w:tcW w:w="1200" w:type="dxa"/>
            <w:noWrap/>
            <w:vAlign w:val="center"/>
          </w:tcPr>
          <w:p w14:paraId="533E412E">
            <w:pPr>
              <w:spacing w:line="360" w:lineRule="auto"/>
              <w:jc w:val="center"/>
              <w:rPr>
                <w:rFonts w:ascii="仿宋" w:hAnsi="仿宋" w:eastAsia="仿宋" w:cs="仿宋"/>
                <w:color w:val="auto"/>
                <w:sz w:val="24"/>
                <w:highlight w:val="none"/>
              </w:rPr>
            </w:pPr>
          </w:p>
        </w:tc>
        <w:tc>
          <w:tcPr>
            <w:tcW w:w="1342" w:type="dxa"/>
            <w:noWrap/>
            <w:vAlign w:val="center"/>
          </w:tcPr>
          <w:p w14:paraId="06BCB2A0">
            <w:pPr>
              <w:spacing w:line="360" w:lineRule="auto"/>
              <w:jc w:val="center"/>
              <w:rPr>
                <w:rFonts w:ascii="仿宋" w:hAnsi="仿宋" w:eastAsia="仿宋" w:cs="仿宋"/>
                <w:color w:val="auto"/>
                <w:sz w:val="24"/>
                <w:highlight w:val="none"/>
              </w:rPr>
            </w:pPr>
          </w:p>
        </w:tc>
      </w:tr>
      <w:tr w14:paraId="49B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05F34D0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336" w:type="dxa"/>
            <w:noWrap/>
            <w:vAlign w:val="center"/>
          </w:tcPr>
          <w:p w14:paraId="042D3556">
            <w:pPr>
              <w:spacing w:line="360" w:lineRule="auto"/>
              <w:jc w:val="center"/>
              <w:rPr>
                <w:rFonts w:ascii="仿宋" w:hAnsi="仿宋" w:eastAsia="仿宋" w:cs="仿宋"/>
                <w:color w:val="auto"/>
                <w:sz w:val="24"/>
                <w:highlight w:val="none"/>
              </w:rPr>
            </w:pPr>
          </w:p>
        </w:tc>
        <w:tc>
          <w:tcPr>
            <w:tcW w:w="1370" w:type="dxa"/>
            <w:noWrap/>
            <w:vAlign w:val="center"/>
          </w:tcPr>
          <w:p w14:paraId="6665C859">
            <w:pPr>
              <w:spacing w:line="360" w:lineRule="auto"/>
              <w:jc w:val="center"/>
              <w:rPr>
                <w:rFonts w:ascii="仿宋" w:hAnsi="仿宋" w:eastAsia="仿宋" w:cs="仿宋"/>
                <w:color w:val="auto"/>
                <w:sz w:val="24"/>
                <w:highlight w:val="none"/>
              </w:rPr>
            </w:pPr>
          </w:p>
        </w:tc>
        <w:tc>
          <w:tcPr>
            <w:tcW w:w="1232" w:type="dxa"/>
            <w:noWrap/>
            <w:vAlign w:val="center"/>
          </w:tcPr>
          <w:p w14:paraId="1CC7647E">
            <w:pPr>
              <w:spacing w:line="360" w:lineRule="auto"/>
              <w:jc w:val="center"/>
              <w:rPr>
                <w:rFonts w:ascii="仿宋" w:hAnsi="仿宋" w:eastAsia="仿宋" w:cs="仿宋"/>
                <w:color w:val="auto"/>
                <w:sz w:val="24"/>
                <w:highlight w:val="none"/>
              </w:rPr>
            </w:pPr>
          </w:p>
        </w:tc>
        <w:tc>
          <w:tcPr>
            <w:tcW w:w="1328" w:type="dxa"/>
            <w:noWrap/>
            <w:vAlign w:val="center"/>
          </w:tcPr>
          <w:p w14:paraId="1BAE11E2">
            <w:pPr>
              <w:spacing w:line="360" w:lineRule="auto"/>
              <w:jc w:val="center"/>
              <w:rPr>
                <w:rFonts w:ascii="仿宋" w:hAnsi="仿宋" w:eastAsia="仿宋" w:cs="仿宋"/>
                <w:color w:val="auto"/>
                <w:sz w:val="24"/>
                <w:highlight w:val="none"/>
              </w:rPr>
            </w:pPr>
          </w:p>
        </w:tc>
        <w:tc>
          <w:tcPr>
            <w:tcW w:w="1200" w:type="dxa"/>
            <w:noWrap/>
            <w:vAlign w:val="center"/>
          </w:tcPr>
          <w:p w14:paraId="2F35FB93">
            <w:pPr>
              <w:spacing w:line="360" w:lineRule="auto"/>
              <w:jc w:val="center"/>
              <w:rPr>
                <w:rFonts w:ascii="仿宋" w:hAnsi="仿宋" w:eastAsia="仿宋" w:cs="仿宋"/>
                <w:color w:val="auto"/>
                <w:sz w:val="24"/>
                <w:highlight w:val="none"/>
              </w:rPr>
            </w:pPr>
          </w:p>
        </w:tc>
        <w:tc>
          <w:tcPr>
            <w:tcW w:w="1342" w:type="dxa"/>
            <w:noWrap/>
            <w:vAlign w:val="center"/>
          </w:tcPr>
          <w:p w14:paraId="657D0D4F">
            <w:pPr>
              <w:spacing w:line="360" w:lineRule="auto"/>
              <w:jc w:val="center"/>
              <w:rPr>
                <w:rFonts w:ascii="仿宋" w:hAnsi="仿宋" w:eastAsia="仿宋" w:cs="仿宋"/>
                <w:color w:val="auto"/>
                <w:sz w:val="24"/>
                <w:highlight w:val="none"/>
              </w:rPr>
            </w:pPr>
          </w:p>
        </w:tc>
      </w:tr>
      <w:tr w14:paraId="6D2F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4C659AE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336" w:type="dxa"/>
            <w:noWrap/>
            <w:vAlign w:val="center"/>
          </w:tcPr>
          <w:p w14:paraId="5CA6D6F8">
            <w:pPr>
              <w:spacing w:line="360" w:lineRule="auto"/>
              <w:jc w:val="center"/>
              <w:rPr>
                <w:rFonts w:ascii="仿宋" w:hAnsi="仿宋" w:eastAsia="仿宋" w:cs="仿宋"/>
                <w:color w:val="auto"/>
                <w:sz w:val="24"/>
                <w:highlight w:val="none"/>
              </w:rPr>
            </w:pPr>
          </w:p>
        </w:tc>
        <w:tc>
          <w:tcPr>
            <w:tcW w:w="1370" w:type="dxa"/>
            <w:noWrap/>
            <w:vAlign w:val="center"/>
          </w:tcPr>
          <w:p w14:paraId="6CFE734E">
            <w:pPr>
              <w:spacing w:line="360" w:lineRule="auto"/>
              <w:jc w:val="center"/>
              <w:rPr>
                <w:rFonts w:ascii="仿宋" w:hAnsi="仿宋" w:eastAsia="仿宋" w:cs="仿宋"/>
                <w:color w:val="auto"/>
                <w:sz w:val="24"/>
                <w:highlight w:val="none"/>
              </w:rPr>
            </w:pPr>
          </w:p>
        </w:tc>
        <w:tc>
          <w:tcPr>
            <w:tcW w:w="1232" w:type="dxa"/>
            <w:noWrap/>
            <w:vAlign w:val="center"/>
          </w:tcPr>
          <w:p w14:paraId="0AE5A6BB">
            <w:pPr>
              <w:spacing w:line="360" w:lineRule="auto"/>
              <w:jc w:val="center"/>
              <w:rPr>
                <w:rFonts w:ascii="仿宋" w:hAnsi="仿宋" w:eastAsia="仿宋" w:cs="仿宋"/>
                <w:color w:val="auto"/>
                <w:sz w:val="24"/>
                <w:highlight w:val="none"/>
              </w:rPr>
            </w:pPr>
          </w:p>
        </w:tc>
        <w:tc>
          <w:tcPr>
            <w:tcW w:w="1328" w:type="dxa"/>
            <w:noWrap/>
            <w:vAlign w:val="center"/>
          </w:tcPr>
          <w:p w14:paraId="70DA8BA9">
            <w:pPr>
              <w:spacing w:line="360" w:lineRule="auto"/>
              <w:jc w:val="center"/>
              <w:rPr>
                <w:rFonts w:ascii="仿宋" w:hAnsi="仿宋" w:eastAsia="仿宋" w:cs="仿宋"/>
                <w:color w:val="auto"/>
                <w:sz w:val="24"/>
                <w:highlight w:val="none"/>
              </w:rPr>
            </w:pPr>
          </w:p>
        </w:tc>
        <w:tc>
          <w:tcPr>
            <w:tcW w:w="1200" w:type="dxa"/>
            <w:noWrap/>
            <w:vAlign w:val="center"/>
          </w:tcPr>
          <w:p w14:paraId="4AF50890">
            <w:pPr>
              <w:spacing w:line="360" w:lineRule="auto"/>
              <w:jc w:val="center"/>
              <w:rPr>
                <w:rFonts w:ascii="仿宋" w:hAnsi="仿宋" w:eastAsia="仿宋" w:cs="仿宋"/>
                <w:color w:val="auto"/>
                <w:sz w:val="24"/>
                <w:highlight w:val="none"/>
              </w:rPr>
            </w:pPr>
          </w:p>
        </w:tc>
        <w:tc>
          <w:tcPr>
            <w:tcW w:w="1342" w:type="dxa"/>
            <w:noWrap/>
            <w:vAlign w:val="center"/>
          </w:tcPr>
          <w:p w14:paraId="587DBC89">
            <w:pPr>
              <w:spacing w:line="360" w:lineRule="auto"/>
              <w:jc w:val="center"/>
              <w:rPr>
                <w:rFonts w:ascii="仿宋" w:hAnsi="仿宋" w:eastAsia="仿宋" w:cs="仿宋"/>
                <w:color w:val="auto"/>
                <w:sz w:val="24"/>
                <w:highlight w:val="none"/>
              </w:rPr>
            </w:pPr>
          </w:p>
        </w:tc>
      </w:tr>
      <w:tr w14:paraId="680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6C70E33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dxa"/>
            <w:noWrap/>
            <w:vAlign w:val="center"/>
          </w:tcPr>
          <w:p w14:paraId="641B61E6">
            <w:pPr>
              <w:spacing w:line="360" w:lineRule="auto"/>
              <w:jc w:val="center"/>
              <w:rPr>
                <w:rFonts w:ascii="仿宋" w:hAnsi="仿宋" w:eastAsia="仿宋" w:cs="仿宋"/>
                <w:color w:val="auto"/>
                <w:sz w:val="24"/>
                <w:highlight w:val="none"/>
              </w:rPr>
            </w:pPr>
          </w:p>
        </w:tc>
        <w:tc>
          <w:tcPr>
            <w:tcW w:w="1370" w:type="dxa"/>
            <w:noWrap/>
            <w:vAlign w:val="center"/>
          </w:tcPr>
          <w:p w14:paraId="04B479C9">
            <w:pPr>
              <w:spacing w:line="360" w:lineRule="auto"/>
              <w:jc w:val="center"/>
              <w:rPr>
                <w:rFonts w:ascii="仿宋" w:hAnsi="仿宋" w:eastAsia="仿宋" w:cs="仿宋"/>
                <w:color w:val="auto"/>
                <w:sz w:val="24"/>
                <w:highlight w:val="none"/>
              </w:rPr>
            </w:pPr>
          </w:p>
        </w:tc>
        <w:tc>
          <w:tcPr>
            <w:tcW w:w="1232" w:type="dxa"/>
            <w:noWrap/>
            <w:vAlign w:val="center"/>
          </w:tcPr>
          <w:p w14:paraId="4669961D">
            <w:pPr>
              <w:spacing w:line="360" w:lineRule="auto"/>
              <w:jc w:val="center"/>
              <w:rPr>
                <w:rFonts w:ascii="仿宋" w:hAnsi="仿宋" w:eastAsia="仿宋" w:cs="仿宋"/>
                <w:color w:val="auto"/>
                <w:sz w:val="24"/>
                <w:highlight w:val="none"/>
              </w:rPr>
            </w:pPr>
          </w:p>
        </w:tc>
        <w:tc>
          <w:tcPr>
            <w:tcW w:w="1328" w:type="dxa"/>
            <w:noWrap/>
            <w:vAlign w:val="center"/>
          </w:tcPr>
          <w:p w14:paraId="7D652155">
            <w:pPr>
              <w:spacing w:line="360" w:lineRule="auto"/>
              <w:jc w:val="center"/>
              <w:rPr>
                <w:rFonts w:ascii="仿宋" w:hAnsi="仿宋" w:eastAsia="仿宋" w:cs="仿宋"/>
                <w:color w:val="auto"/>
                <w:sz w:val="24"/>
                <w:highlight w:val="none"/>
              </w:rPr>
            </w:pPr>
          </w:p>
        </w:tc>
        <w:tc>
          <w:tcPr>
            <w:tcW w:w="1200" w:type="dxa"/>
            <w:noWrap/>
            <w:vAlign w:val="center"/>
          </w:tcPr>
          <w:p w14:paraId="53873F11">
            <w:pPr>
              <w:spacing w:line="360" w:lineRule="auto"/>
              <w:jc w:val="center"/>
              <w:rPr>
                <w:rFonts w:ascii="仿宋" w:hAnsi="仿宋" w:eastAsia="仿宋" w:cs="仿宋"/>
                <w:color w:val="auto"/>
                <w:sz w:val="24"/>
                <w:highlight w:val="none"/>
              </w:rPr>
            </w:pPr>
          </w:p>
        </w:tc>
        <w:tc>
          <w:tcPr>
            <w:tcW w:w="1342" w:type="dxa"/>
            <w:noWrap/>
            <w:vAlign w:val="center"/>
          </w:tcPr>
          <w:p w14:paraId="4F86E38D">
            <w:pPr>
              <w:spacing w:line="360" w:lineRule="auto"/>
              <w:jc w:val="center"/>
              <w:rPr>
                <w:rFonts w:ascii="仿宋" w:hAnsi="仿宋" w:eastAsia="仿宋" w:cs="仿宋"/>
                <w:color w:val="auto"/>
                <w:sz w:val="24"/>
                <w:highlight w:val="none"/>
              </w:rPr>
            </w:pPr>
          </w:p>
        </w:tc>
      </w:tr>
      <w:tr w14:paraId="753D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ign w:val="center"/>
          </w:tcPr>
          <w:p w14:paraId="2544768A">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ign w:val="center"/>
          </w:tcPr>
          <w:p w14:paraId="001EE144">
            <w:pPr>
              <w:spacing w:line="360" w:lineRule="auto"/>
              <w:jc w:val="center"/>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rPr>
              <w:t>¥元；大写：</w:t>
            </w:r>
          </w:p>
        </w:tc>
      </w:tr>
    </w:tbl>
    <w:p w14:paraId="56EC731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6E8BF1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，即RMB￥</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合同总价已包括货物设计、材料、制造、保管、运输、保险费以及安装、调试、检验费(含设备安装验收取证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14AB6D6E">
      <w:pPr>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三、交货期限与地点</w:t>
      </w:r>
    </w:p>
    <w:p w14:paraId="16F080D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Cs/>
          <w:color w:val="auto"/>
          <w:sz w:val="24"/>
          <w:highlight w:val="none"/>
        </w:rPr>
        <w:t>交货期限：</w:t>
      </w:r>
      <w:r>
        <w:rPr>
          <w:rFonts w:hint="eastAsia" w:ascii="仿宋" w:hAnsi="仿宋" w:eastAsia="仿宋" w:cs="仿宋"/>
          <w:color w:val="auto"/>
          <w:sz w:val="24"/>
          <w:highlight w:val="none"/>
        </w:rPr>
        <w:t xml:space="preserve">自合同签订之日起 </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 xml:space="preserve"> 日历天内完成所有产品的供货、安装、调试工作。</w:t>
      </w:r>
    </w:p>
    <w:p w14:paraId="2CCB5B79">
      <w:pPr>
        <w:pStyle w:val="3"/>
        <w:spacing w:line="360" w:lineRule="auto"/>
        <w:rPr>
          <w:rFonts w:ascii="仿宋" w:hAnsi="仿宋" w:eastAsia="仿宋" w:cs="仿宋"/>
          <w:color w:val="auto"/>
          <w:highlight w:val="none"/>
        </w:rPr>
      </w:pPr>
      <w:r>
        <w:rPr>
          <w:rFonts w:hint="eastAsia" w:ascii="仿宋" w:hAnsi="仿宋" w:eastAsia="仿宋" w:cs="仿宋"/>
          <w:color w:val="auto"/>
          <w:sz w:val="24"/>
          <w:highlight w:val="none"/>
        </w:rPr>
        <w:t xml:space="preserve">    2、供货地点：甲方指定地点。</w:t>
      </w:r>
    </w:p>
    <w:p w14:paraId="568A36F2">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四、付款方式</w:t>
      </w:r>
    </w:p>
    <w:p w14:paraId="39B68211">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（1）结算方式：银行转账。</w:t>
      </w:r>
    </w:p>
    <w:p w14:paraId="775D913B">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（2）付款方式：</w:t>
      </w:r>
    </w:p>
    <w:p w14:paraId="55A622B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2.1终验收合格后支付。</w:t>
      </w:r>
    </w:p>
    <w:p w14:paraId="6CB5475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2.2由采购人负责结算，在付款前，供应商必须开具相应金额发票给采购人（附详细清单）。  </w:t>
      </w:r>
    </w:p>
    <w:p w14:paraId="5DAE2F2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五、货物验收</w:t>
      </w:r>
    </w:p>
    <w:p w14:paraId="41047B4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1.货物验收由甲方组织，乙方配合，并按下列程序进行：</w:t>
      </w:r>
    </w:p>
    <w:p w14:paraId="233307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797309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到货验收：货物到达后，按合同第一条款的货物清单和装箱单经行逐一核对， 同时检查货物外观，是否有划痕或破损的，并做好相应记录；</w:t>
      </w:r>
    </w:p>
    <w:p w14:paraId="227419F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按乙方承诺的产品包装环保材料进行验收，必要时乙方需提供检测报告，甲方发现虚假承诺时，将扣除总货款的5%作为处罚。</w:t>
      </w:r>
    </w:p>
    <w:p w14:paraId="4D76629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供应商应及时进行整改或免费更换，直至检测合格后再进行设备终验。</w:t>
      </w:r>
    </w:p>
    <w:p w14:paraId="1834A67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质量验收合格，双方签署质量验收报告。</w:t>
      </w:r>
    </w:p>
    <w:p w14:paraId="1F6DE54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2.货物验收依据：</w:t>
      </w:r>
    </w:p>
    <w:p w14:paraId="0F11B3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竞争性磋商文件；</w:t>
      </w:r>
    </w:p>
    <w:p w14:paraId="6E2379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响应文件；</w:t>
      </w:r>
    </w:p>
    <w:p w14:paraId="3BD8A5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采购合同及补充协议；</w:t>
      </w:r>
    </w:p>
    <w:p w14:paraId="6B62674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 质检部门抽样检查货物(产品)合格的检测报告。 </w:t>
      </w:r>
    </w:p>
    <w:p w14:paraId="3321077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3.货物验收时发现问题的处理办法：</w:t>
      </w:r>
    </w:p>
    <w:p w14:paraId="6584647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乙方提供不符合招标文件和本合同规定的货物(产品)，甲方有权拒绝接受；</w:t>
      </w:r>
    </w:p>
    <w:p w14:paraId="7A856E4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176671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如货物经乙方</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次维修仍不能达到合同约定的质量标准，甲方有权退货，并视作乙方 不能交付货物而须支付违约赔偿金给甲方，甲方还可依法追究乙方的违约责任；</w:t>
      </w:r>
    </w:p>
    <w:p w14:paraId="1F1BDA8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货物安装完成后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日内，甲方无故不进行验收工作并已使用货物的，视同已安装调试完成并验收合格；</w:t>
      </w:r>
    </w:p>
    <w:p w14:paraId="404273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 乙方不能完整交付货物及本条第一款规定的单证和工具的，必须负责补齐，否则视为未按合同约定供货。</w:t>
      </w:r>
    </w:p>
    <w:p w14:paraId="776F752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六、质量要求</w:t>
      </w:r>
    </w:p>
    <w:p w14:paraId="4B92537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1、乙方须提供全新的货物、未使用过的合格正品货物（含零部件、配件等），表面无划伤、无碰撞痕迹，且权属清楚，不得侵害他人的知识产权。</w:t>
      </w:r>
    </w:p>
    <w:p w14:paraId="168D02E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2、乙方提供的节能和环保产品必须是列入节能、环保标志产品品目清单中的产品。</w:t>
      </w:r>
    </w:p>
    <w:p w14:paraId="393D56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3、质量标准按照最新颁布的国家标准、行业标准或制造商企业标准确定，上述标准不一致的，以严格标准为准。</w:t>
      </w:r>
    </w:p>
    <w:p w14:paraId="2111A8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4、货物制造质量出现问题，乙方应负责三包（包修、包换、包退），费用由乙方负担，甲方有权到乙方生产场地检查货物质量和生产进度。</w:t>
      </w:r>
    </w:p>
    <w:p w14:paraId="44AE1C0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5、乙方所提供货物还应符合国家和陕西省有关安全、环保、节能之规定，“3C”认证的货物（产品）应加贴“3C”认证标志。 </w:t>
      </w:r>
    </w:p>
    <w:p w14:paraId="033D2E94">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6、质保期：质保期大于等于</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年，且不得低于产品生产商对产品保修期标准。</w:t>
      </w:r>
    </w:p>
    <w:p w14:paraId="2DFFE11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7、电子产品必须具有扩展性、兼容性、稳定性以及能与学校现有的市区网络设备和平台相匹配对接功能和端口。计算机不得是组装机。（如涉及）</w:t>
      </w:r>
    </w:p>
    <w:p w14:paraId="72A299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8、供应商</w:t>
      </w:r>
      <w:r>
        <w:rPr>
          <w:rFonts w:ascii="仿宋" w:hAnsi="仿宋" w:eastAsia="仿宋" w:cs="仿宋"/>
          <w:color w:val="auto"/>
          <w:sz w:val="24"/>
          <w:highlight w:val="none"/>
        </w:rPr>
        <w:t>提供的产品及材料必须保证质量可靠，为市场最新或主流产品，产品具有合格证，进货渠道正常，配置合理齐全，应全部满足（或高于优于）招标文件的要求，招标文件未明确要求的内容，</w:t>
      </w:r>
      <w:r>
        <w:rPr>
          <w:rFonts w:hint="eastAsia" w:ascii="仿宋" w:hAnsi="仿宋" w:eastAsia="仿宋" w:cs="仿宋"/>
          <w:color w:val="auto"/>
          <w:sz w:val="24"/>
          <w:highlight w:val="none"/>
        </w:rPr>
        <w:t>供应商</w:t>
      </w:r>
      <w:r>
        <w:rPr>
          <w:rFonts w:ascii="仿宋" w:hAnsi="仿宋" w:eastAsia="仿宋" w:cs="仿宋"/>
          <w:color w:val="auto"/>
          <w:sz w:val="24"/>
          <w:highlight w:val="none"/>
        </w:rPr>
        <w:t>必须按采购产品市场主流标准配置和采购人补充要求为准。所供产品所用原料和材料及工艺质量必须符合国家最新颁布的各项规范标准和制度要求，如发生质量问题由</w:t>
      </w:r>
      <w:r>
        <w:rPr>
          <w:rFonts w:hint="eastAsia" w:ascii="仿宋" w:hAnsi="仿宋" w:eastAsia="仿宋" w:cs="仿宋"/>
          <w:color w:val="auto"/>
          <w:sz w:val="24"/>
          <w:highlight w:val="none"/>
        </w:rPr>
        <w:t>供应商</w:t>
      </w:r>
      <w:r>
        <w:rPr>
          <w:rFonts w:ascii="仿宋" w:hAnsi="仿宋" w:eastAsia="仿宋" w:cs="仿宋"/>
          <w:color w:val="auto"/>
          <w:sz w:val="24"/>
          <w:highlight w:val="none"/>
        </w:rPr>
        <w:t>承担全部责任。</w:t>
      </w:r>
    </w:p>
    <w:p w14:paraId="3BE25DB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七、运输、安装、调试要求</w:t>
      </w:r>
    </w:p>
    <w:p w14:paraId="505004D3">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7030E1C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2、由供应商负责派技术人员到现场进行安装、调试至验收合格。供应商应在合同签订后一周内，向采购人提供安装、调试及试运行的进度计划表。</w:t>
      </w:r>
    </w:p>
    <w:p w14:paraId="30FD667A">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6207F660">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4、安装和调试期间所发生的费用均由供应商负责。</w:t>
      </w:r>
    </w:p>
    <w:p w14:paraId="760B6E6F">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5、供应商应对安装调试、整改等实施过程的安全负责，如发生人身伤亡、财产损失的由供应商负责解决并承担全部责任。</w:t>
      </w:r>
    </w:p>
    <w:p w14:paraId="242580C4">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八、技术支持</w:t>
      </w:r>
    </w:p>
    <w:p w14:paraId="42703039">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提供全年7×24小时的技术咨询服务,供应商怠于或无法提供技术支持的，采购人有权委托第三方处理，由此产生的费用和后果由供应商负责，费用直接从应付款或质保金中扣除。</w:t>
      </w:r>
    </w:p>
    <w:p w14:paraId="49AF369B">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供应商在项目实施过程中，质量保障人员、资源不足或者执力不足，给项目质量带来的风险超出采购人认定的允许范围时，采购人可终止本项目的合作并进行索赔。</w:t>
      </w:r>
    </w:p>
    <w:p w14:paraId="35DF54B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九、技术资料要求</w:t>
      </w:r>
    </w:p>
    <w:p w14:paraId="52C498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供应商应向采购人提供全套中文技术资料一套，包含但不限于以下内容：</w:t>
      </w:r>
    </w:p>
    <w:p w14:paraId="242CDFE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1、完整的产品操作使用手册、说明书和维护、修理技术文件、图纸、保修卡等；</w:t>
      </w:r>
    </w:p>
    <w:p w14:paraId="054FD1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2、制造厂的检验、测试报告、产品检验合格证书，质量保证书等文件验收时需提供；</w:t>
      </w:r>
    </w:p>
    <w:p w14:paraId="112216D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3、必须的其它技术资料；</w:t>
      </w:r>
    </w:p>
    <w:p w14:paraId="748F9F8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4、产品验收标准；</w:t>
      </w:r>
    </w:p>
    <w:p w14:paraId="2AFB6D2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5、技术说明书；</w:t>
      </w:r>
    </w:p>
    <w:p w14:paraId="53AD43D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6、零部件目录；</w:t>
      </w:r>
    </w:p>
    <w:p w14:paraId="787C6F3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7、项目完工后提供验收报告；</w:t>
      </w:r>
    </w:p>
    <w:p w14:paraId="77662C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8、合同中要求的其他文件资料。</w:t>
      </w:r>
    </w:p>
    <w:p w14:paraId="526FA329">
      <w:pPr>
        <w:tabs>
          <w:tab w:val="left" w:pos="84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十、违约责任</w:t>
      </w:r>
    </w:p>
    <w:p w14:paraId="74B59DCD">
      <w:pPr>
        <w:spacing w:line="360" w:lineRule="auto"/>
        <w:rPr>
          <w:rFonts w:ascii="仿宋" w:hAnsi="仿宋" w:eastAsia="仿宋" w:cs="仿宋"/>
          <w:color w:val="auto"/>
          <w:sz w:val="24"/>
          <w:highlight w:val="none"/>
        </w:rPr>
      </w:pPr>
      <w:r>
        <w:rPr>
          <w:rFonts w:ascii="仿宋" w:hAnsi="仿宋" w:eastAsia="仿宋" w:cs="仿宋"/>
          <w:color w:val="auto"/>
          <w:sz w:val="24"/>
          <w:highlight w:val="none"/>
        </w:rPr>
        <w:t>1. 甲方违约责任</w:t>
      </w:r>
    </w:p>
    <w:p w14:paraId="5119AE7D">
      <w:pPr>
        <w:spacing w:line="360" w:lineRule="auto"/>
        <w:ind w:left="366"/>
        <w:rPr>
          <w:rFonts w:ascii="仿宋" w:hAnsi="仿宋" w:eastAsia="仿宋" w:cs="仿宋"/>
          <w:color w:val="auto"/>
          <w:sz w:val="24"/>
          <w:highlight w:val="none"/>
        </w:rPr>
      </w:pPr>
      <w:r>
        <w:rPr>
          <w:rFonts w:ascii="仿宋" w:hAnsi="仿宋" w:eastAsia="仿宋" w:cs="仿宋"/>
          <w:color w:val="auto"/>
          <w:sz w:val="24"/>
          <w:highlight w:val="none"/>
        </w:rPr>
        <w:t>(1)甲方无正当理由拒收货物的，甲方应偿付合同总价</w:t>
      </w:r>
      <w:r>
        <w:rPr>
          <w:rFonts w:ascii="仿宋" w:hAnsi="仿宋" w:eastAsia="仿宋" w:cs="仿宋"/>
          <w:color w:val="auto"/>
          <w:sz w:val="24"/>
          <w:highlight w:val="none"/>
          <w:u w:val="single"/>
        </w:rPr>
        <w:t>3</w:t>
      </w:r>
      <w:r>
        <w:rPr>
          <w:rFonts w:ascii="仿宋" w:hAnsi="仿宋" w:eastAsia="仿宋" w:cs="仿宋"/>
          <w:color w:val="auto"/>
          <w:sz w:val="24"/>
          <w:highlight w:val="none"/>
        </w:rPr>
        <w:t>%的违约金；</w:t>
      </w:r>
    </w:p>
    <w:p w14:paraId="3AB0BDB8">
      <w:pPr>
        <w:spacing w:line="360" w:lineRule="auto"/>
        <w:ind w:left="2" w:right="2" w:firstLine="364"/>
        <w:rPr>
          <w:rFonts w:ascii="仿宋" w:hAnsi="仿宋" w:eastAsia="仿宋" w:cs="仿宋"/>
          <w:color w:val="auto"/>
          <w:sz w:val="24"/>
          <w:highlight w:val="none"/>
        </w:rPr>
      </w:pPr>
      <w:r>
        <w:rPr>
          <w:rFonts w:ascii="仿宋" w:hAnsi="仿宋" w:eastAsia="仿宋" w:cs="仿宋"/>
          <w:color w:val="auto"/>
          <w:sz w:val="24"/>
          <w:highlight w:val="none"/>
        </w:rPr>
        <w:t>(2)甲方逾期支付货款的，除应及时付足货款外，应向乙方每天支付欠款总额</w:t>
      </w:r>
      <w:r>
        <w:rPr>
          <w:rFonts w:ascii="仿宋" w:hAnsi="仿宋" w:eastAsia="仿宋" w:cs="仿宋"/>
          <w:color w:val="auto"/>
          <w:sz w:val="24"/>
          <w:highlight w:val="none"/>
          <w:u w:val="single"/>
        </w:rPr>
        <w:t>3</w:t>
      </w:r>
      <w:r>
        <w:rPr>
          <w:rFonts w:ascii="仿宋" w:hAnsi="仿宋" w:eastAsia="仿宋" w:cs="仿宋"/>
          <w:color w:val="auto"/>
          <w:sz w:val="24"/>
          <w:highlight w:val="none"/>
        </w:rPr>
        <w:t>‰的滞纳金；但累计滞纳金总额不超过欠款总额的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w:t>
      </w:r>
    </w:p>
    <w:p w14:paraId="07F07DB5">
      <w:pPr>
        <w:spacing w:line="360" w:lineRule="auto"/>
        <w:rPr>
          <w:rFonts w:ascii="仿宋" w:hAnsi="仿宋" w:eastAsia="仿宋" w:cs="仿宋"/>
          <w:color w:val="auto"/>
          <w:sz w:val="24"/>
          <w:highlight w:val="none"/>
        </w:rPr>
      </w:pPr>
      <w:r>
        <w:rPr>
          <w:rFonts w:ascii="仿宋" w:hAnsi="仿宋" w:eastAsia="仿宋" w:cs="仿宋"/>
          <w:color w:val="auto"/>
          <w:position w:val="1"/>
          <w:sz w:val="24"/>
          <w:highlight w:val="none"/>
        </w:rPr>
        <w:t>2.乙方违约责任</w:t>
      </w:r>
    </w:p>
    <w:p w14:paraId="63136E8F">
      <w:pPr>
        <w:spacing w:line="360" w:lineRule="auto"/>
        <w:ind w:right="36" w:firstLine="426"/>
        <w:rPr>
          <w:rFonts w:ascii="仿宋" w:hAnsi="仿宋" w:eastAsia="仿宋" w:cs="仿宋"/>
          <w:color w:val="auto"/>
          <w:sz w:val="24"/>
          <w:highlight w:val="none"/>
        </w:rPr>
      </w:pPr>
      <w:r>
        <w:rPr>
          <w:rFonts w:ascii="仿宋" w:hAnsi="仿宋" w:eastAsia="仿宋" w:cs="仿宋"/>
          <w:color w:val="auto"/>
          <w:sz w:val="24"/>
          <w:highlight w:val="none"/>
        </w:rPr>
        <w:t>(1) 如乙方不能交付货物，甲方有权扣留全部履约保证金；同时乙方应向甲方支付合同总价</w:t>
      </w:r>
      <w:r>
        <w:rPr>
          <w:rFonts w:ascii="仿宋" w:hAnsi="仿宋" w:eastAsia="仿宋" w:cs="仿宋"/>
          <w:color w:val="auto"/>
          <w:sz w:val="24"/>
          <w:highlight w:val="none"/>
          <w:u w:val="single"/>
        </w:rPr>
        <w:t>5</w:t>
      </w:r>
      <w:r>
        <w:rPr>
          <w:rFonts w:ascii="仿宋" w:hAnsi="仿宋" w:eastAsia="仿宋" w:cs="仿宋"/>
          <w:color w:val="auto"/>
          <w:sz w:val="24"/>
          <w:highlight w:val="none"/>
        </w:rPr>
        <w:t>％的违约金；</w:t>
      </w:r>
    </w:p>
    <w:p w14:paraId="7680E9F7">
      <w:pPr>
        <w:spacing w:line="360" w:lineRule="auto"/>
        <w:ind w:left="4" w:right="2" w:firstLine="421"/>
        <w:rPr>
          <w:rFonts w:ascii="仿宋" w:hAnsi="仿宋" w:eastAsia="仿宋" w:cs="仿宋"/>
          <w:color w:val="auto"/>
          <w:sz w:val="24"/>
          <w:highlight w:val="none"/>
        </w:rPr>
      </w:pPr>
      <w:r>
        <w:rPr>
          <w:rFonts w:ascii="仿宋" w:hAnsi="仿宋" w:eastAsia="仿宋" w:cs="仿宋"/>
          <w:color w:val="auto"/>
          <w:sz w:val="24"/>
          <w:highlight w:val="none"/>
        </w:rPr>
        <w:t>(2) 乙方逾期交付货物的，每逾期 1 天，乙方向甲方偿付逾期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部分货款总额的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‰的滞 纳金。如乙方逾期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达</w:t>
      </w:r>
      <w:r>
        <w:rPr>
          <w:rFonts w:ascii="仿宋" w:hAnsi="仿宋" w:eastAsia="仿宋" w:cs="仿宋"/>
          <w:color w:val="auto"/>
          <w:sz w:val="24"/>
          <w:highlight w:val="none"/>
          <w:u w:val="single"/>
        </w:rPr>
        <w:t>10</w:t>
      </w:r>
      <w:r>
        <w:rPr>
          <w:rFonts w:ascii="仿宋" w:hAnsi="仿宋" w:eastAsia="仿宋" w:cs="仿宋"/>
          <w:color w:val="auto"/>
          <w:sz w:val="24"/>
          <w:highlight w:val="none"/>
        </w:rPr>
        <w:t>天甲方有权解除合同，解除合同的通知自到达乙方时生效；</w:t>
      </w:r>
    </w:p>
    <w:p w14:paraId="39DAED62">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(3)乙方所交付的货物品种、型号、规格不符合合同规定的，甲方有权拒收。甲方拒收的，乙方应向甲方支付货款总额</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470CD1A5">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(4)乙方货物经甲方送交具有法定资格条件的质量技术监督机构检测后，如检测结果认定货物质量不符合本合同规定标准的，则视为乙方没有按时</w:t>
      </w:r>
      <w:r>
        <w:rPr>
          <w:rFonts w:hint="eastAsia" w:ascii="仿宋" w:hAnsi="仿宋" w:eastAsia="仿宋" w:cs="仿宋"/>
          <w:color w:val="auto"/>
          <w:sz w:val="24"/>
          <w:highlight w:val="none"/>
        </w:rPr>
        <w:t>供货</w:t>
      </w:r>
      <w:r>
        <w:rPr>
          <w:rFonts w:ascii="仿宋" w:hAnsi="仿宋" w:eastAsia="仿宋" w:cs="仿宋"/>
          <w:color w:val="auto"/>
          <w:sz w:val="24"/>
          <w:highlight w:val="none"/>
        </w:rPr>
        <w:t>而违约，乙方须在</w:t>
      </w:r>
      <w:r>
        <w:rPr>
          <w:rFonts w:ascii="仿宋" w:hAnsi="仿宋" w:eastAsia="仿宋" w:cs="仿宋"/>
          <w:color w:val="auto"/>
          <w:sz w:val="24"/>
          <w:highlight w:val="none"/>
          <w:u w:val="single"/>
        </w:rPr>
        <w:t>10</w:t>
      </w:r>
      <w:r>
        <w:rPr>
          <w:rFonts w:ascii="仿宋" w:hAnsi="仿宋" w:eastAsia="仿宋" w:cs="仿宋"/>
          <w:color w:val="auto"/>
          <w:sz w:val="24"/>
          <w:highlight w:val="none"/>
        </w:rPr>
        <w:t xml:space="preserve">天内无条件更 换合格的货物，如逾期不能更换合格的货物，甲方有权终止本合同，乙方应另向甲方支付货款总额的 </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52F2CF6A">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32259F">
      <w:pPr>
        <w:spacing w:line="360" w:lineRule="auto"/>
        <w:ind w:left="31" w:right="38" w:firstLine="397"/>
        <w:rPr>
          <w:rFonts w:ascii="仿宋" w:hAnsi="仿宋" w:eastAsia="仿宋" w:cs="仿宋"/>
          <w:color w:val="auto"/>
          <w:sz w:val="24"/>
          <w:highlight w:val="none"/>
        </w:rPr>
      </w:pPr>
      <w:r>
        <w:rPr>
          <w:rFonts w:ascii="仿宋" w:hAnsi="仿宋" w:eastAsia="仿宋" w:cs="仿宋"/>
          <w:color w:val="auto"/>
          <w:sz w:val="24"/>
          <w:highlight w:val="none"/>
        </w:rPr>
        <w:t>(6) 乙方未按本合同第十条的规定向甲方交付履约保证金的，应按应交付履约保证金的</w:t>
      </w:r>
      <w:r>
        <w:rPr>
          <w:rFonts w:ascii="仿宋" w:hAnsi="仿宋" w:eastAsia="仿宋" w:cs="仿宋"/>
          <w:color w:val="auto"/>
          <w:sz w:val="24"/>
          <w:highlight w:val="none"/>
          <w:u w:val="single"/>
        </w:rPr>
        <w:t xml:space="preserve"> 0.3 </w:t>
      </w:r>
      <w:r>
        <w:rPr>
          <w:rFonts w:ascii="仿宋" w:hAnsi="仿宋" w:eastAsia="仿宋" w:cs="仿宋"/>
          <w:color w:val="auto"/>
          <w:sz w:val="24"/>
          <w:highlight w:val="none"/>
        </w:rPr>
        <w:t>% 向甲方支付违约金，该违约金的支付不影响乙方应承担的其他违约责任；</w:t>
      </w:r>
    </w:p>
    <w:p w14:paraId="63819AC2">
      <w:pPr>
        <w:spacing w:line="360" w:lineRule="auto"/>
        <w:ind w:right="39" w:firstLine="429"/>
        <w:rPr>
          <w:rFonts w:ascii="仿宋" w:hAnsi="仿宋" w:eastAsia="仿宋" w:cs="仿宋"/>
          <w:color w:val="auto"/>
          <w:sz w:val="24"/>
          <w:highlight w:val="none"/>
        </w:rPr>
      </w:pPr>
      <w:r>
        <w:rPr>
          <w:rFonts w:ascii="仿宋" w:hAnsi="仿宋" w:eastAsia="仿宋" w:cs="仿宋"/>
          <w:color w:val="auto"/>
          <w:sz w:val="24"/>
          <w:highlight w:val="none"/>
        </w:rPr>
        <w:t xml:space="preserve">(7)乙方未按本合同的规定和“服务承诺”提供伴随服务/售后服务的，应按合同总价款的 </w:t>
      </w:r>
      <w:r>
        <w:rPr>
          <w:rFonts w:ascii="仿宋" w:hAnsi="仿宋" w:eastAsia="仿宋" w:cs="仿宋"/>
          <w:color w:val="auto"/>
          <w:sz w:val="24"/>
          <w:highlight w:val="none"/>
          <w:u w:val="single"/>
        </w:rPr>
        <w:t xml:space="preserve">0.3 </w:t>
      </w:r>
      <w:r>
        <w:rPr>
          <w:rFonts w:ascii="仿宋" w:hAnsi="仿宋" w:eastAsia="仿宋" w:cs="仿宋"/>
          <w:color w:val="auto"/>
          <w:sz w:val="24"/>
          <w:highlight w:val="none"/>
        </w:rPr>
        <w:t>%向甲方承担违约责任；</w:t>
      </w:r>
    </w:p>
    <w:p w14:paraId="4921F62C">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(8)乙方在承担上述 1-7款一项或多项违约责任后，仍应继续履行合同规定的义务 (甲方解除合同的除外)。甲方未能及时追究乙方的任何一项违约责任并不表明甲方放弃追究乙方该项或其 他违约责任；</w:t>
      </w:r>
    </w:p>
    <w:p w14:paraId="5A1DAD09">
      <w:pPr>
        <w:spacing w:line="360" w:lineRule="auto"/>
        <w:ind w:left="4" w:right="40" w:firstLine="424"/>
        <w:rPr>
          <w:color w:val="auto"/>
          <w:sz w:val="24"/>
          <w:highlight w:val="none"/>
        </w:rPr>
      </w:pPr>
      <w:r>
        <w:rPr>
          <w:rFonts w:ascii="仿宋" w:hAnsi="仿宋" w:eastAsia="仿宋" w:cs="仿宋"/>
          <w:color w:val="auto"/>
          <w:sz w:val="24"/>
          <w:highlight w:val="none"/>
        </w:rPr>
        <w:t>(9)乙方偿付的违约金不足以弥补甲方损失的，还应按甲方损失尚未弥补的部分，支付赔偿 金给甲方。</w:t>
      </w:r>
    </w:p>
    <w:p w14:paraId="394C7396">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十一、 合同的变更和终止</w:t>
      </w:r>
    </w:p>
    <w:p w14:paraId="2F96898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除《中华人民共和国政府采购法》第 49 条、第 50 条第二款规定的情形外，本合同一经签订， 甲乙双方不得擅自变更、 中止或终止合同。</w:t>
      </w:r>
    </w:p>
    <w:p w14:paraId="22BCEAA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十二、争议解决方法</w:t>
      </w:r>
    </w:p>
    <w:p w14:paraId="15E978E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1.因货物的质量问题发生争议， 由质量技术监督部门或其指定的质量鉴定机构进行质量鉴定。 货物符合标准的，鉴定费由甲方承担；货物不符合质量标准的，鉴定费由乙方承担。</w:t>
      </w:r>
    </w:p>
    <w:p w14:paraId="23798357">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2.因履行本合同引起的或与本合同有关的争议，甲、乙双方应首先通过友好协商解决，如果协商不成，则采取以下第 (1) 种方式解决争议：</w:t>
      </w:r>
    </w:p>
    <w:p w14:paraId="08CA6D8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向甲方所在地有管辖权的人民法院提起诉讼；</w:t>
      </w:r>
    </w:p>
    <w:p w14:paraId="70655A94">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向</w:t>
      </w:r>
      <w:r>
        <w:rPr>
          <w:rFonts w:hint="eastAsia" w:ascii="仿宋" w:hAnsi="仿宋" w:eastAsia="仿宋" w:cs="仿宋"/>
          <w:color w:val="auto"/>
          <w:sz w:val="24"/>
          <w:highlight w:val="none"/>
          <w:u w:val="single"/>
        </w:rPr>
        <w:t>____________</w:t>
      </w:r>
      <w:r>
        <w:rPr>
          <w:rFonts w:hint="eastAsia" w:ascii="仿宋" w:hAnsi="仿宋" w:eastAsia="仿宋" w:cs="仿宋"/>
          <w:color w:val="auto"/>
          <w:sz w:val="24"/>
          <w:highlight w:val="none"/>
        </w:rPr>
        <w:t>仲裁委员会按其仲裁规则申请仲裁。</w:t>
      </w:r>
    </w:p>
    <w:p w14:paraId="4F5F1876">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3.在仲裁期间，本合同应继续履行。</w:t>
      </w:r>
    </w:p>
    <w:p w14:paraId="6715C0A9">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十三、其他</w:t>
      </w:r>
    </w:p>
    <w:p w14:paraId="3D077BA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1、技术要求中未</w:t>
      </w:r>
      <w:r>
        <w:rPr>
          <w:rFonts w:ascii="仿宋" w:hAnsi="仿宋" w:eastAsia="仿宋" w:cs="仿宋"/>
          <w:color w:val="auto"/>
          <w:sz w:val="24"/>
          <w:highlight w:val="none"/>
        </w:rPr>
        <w:t xml:space="preserve">明确颜色的设备项目，以与学校或幼儿园装修风格相匹配为准（实际供货前由双方协商一致书面确定）；厨具设备必须使用食品级别的材料（如有）。 </w:t>
      </w:r>
    </w:p>
    <w:p w14:paraId="574F50D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2、供应商根据采购文件的规定和采购项目的实际情况，拟在成交后将成交项目的非主体、非关键性工作分包的，应当在响应文件中载明分包承担主体，分包承担主体应当具备相应资质条件且不得再次分包。</w:t>
      </w:r>
    </w:p>
    <w:p w14:paraId="1DA8DBC4">
      <w:pPr>
        <w:spacing w:line="360" w:lineRule="auto"/>
        <w:ind w:firstLine="480" w:firstLineChars="200"/>
        <w:rPr>
          <w:rFonts w:eastAsia="仿宋"/>
          <w:color w:val="auto"/>
          <w:highlight w:val="none"/>
        </w:rPr>
      </w:pPr>
      <w:r>
        <w:rPr>
          <w:rFonts w:hint="eastAsia" w:ascii="仿宋" w:hAnsi="仿宋" w:eastAsia="仿宋" w:cs="仿宋"/>
          <w:color w:val="auto"/>
          <w:sz w:val="24"/>
          <w:highlight w:val="none"/>
        </w:rPr>
        <w:t>3、如有未尽事宜，由双方依法订立补充合同。</w:t>
      </w:r>
    </w:p>
    <w:p w14:paraId="21A3CF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4、本合同一式伍份，自双方签章之日起生效。甲方贰份，乙方贰份，政府采购监督管理部门备案一份。</w:t>
      </w:r>
    </w:p>
    <w:p w14:paraId="34C1196C">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（正文完）</w:t>
      </w:r>
    </w:p>
    <w:p w14:paraId="646A8C5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    方：（盖章）                     乙    方：（盖章）</w:t>
      </w:r>
    </w:p>
    <w:p w14:paraId="5CE5AE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法定代表人（授权代表）：               法定代表人（授权代表）：</w:t>
      </w:r>
    </w:p>
    <w:p w14:paraId="60E0081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地    址：                             地    址： </w:t>
      </w:r>
    </w:p>
    <w:p w14:paraId="2847161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30C6C6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                             账    号：</w:t>
      </w:r>
    </w:p>
    <w:p w14:paraId="0DCCB28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                             电    话：</w:t>
      </w:r>
    </w:p>
    <w:p w14:paraId="19937C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                             传    真：</w:t>
      </w:r>
    </w:p>
    <w:p w14:paraId="1307DD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签约日期：     年    月    日        签约日期：     年     月    日</w:t>
      </w:r>
    </w:p>
    <w:p w14:paraId="71117D73">
      <w:r>
        <w:rPr>
          <w:rFonts w:hint="eastAsia" w:ascii="仿宋" w:hAnsi="仿宋" w:eastAsia="仿宋" w:cs="仿宋"/>
          <w:color w:val="auto"/>
          <w:kern w:val="0"/>
          <w:sz w:val="24"/>
          <w:highlight w:val="none"/>
        </w:rPr>
        <w:t>注：本合同模板仅为合同的参考文本，合同签订双方可根据项目的具体要求进行修改。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15984"/>
    <w:rsid w:val="67715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afterLines="0" w:afterAutospacing="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Indent 2"/>
    <w:basedOn w:val="1"/>
    <w:qFormat/>
    <w:uiPriority w:val="99"/>
    <w:pPr>
      <w:spacing w:line="480" w:lineRule="exact"/>
      <w:ind w:left="-1"/>
    </w:pPr>
    <w:rPr>
      <w:sz w:val="24"/>
      <w:szCs w:val="24"/>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2026-05-18T09:57:00Z</dcterms:created>
  <dc:creator>doit</dc:creator>
  <cp:lastModifiedBy>doit</cp:lastModifiedBy>
  <dcterms:modified xsi:type="dcterms:W3CDTF">2026-05-18T09:58:06Z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1FAC424F52364D03AA4805551DEA2850_11</vt:lpwstr>
  </property>
  <property fmtid="{D5CDD505-2E9C-101B-9397-08002B2CF9AE}" pid="4" name="KSOTemplateDocerSaveRecord">
    <vt:lpwstr>eyJoZGlkIjoiNjU3ZGIwMTYyN2VhMzEyODI5YTFjODYzYmY0ZTZjNzciLCJ1c2VySWQiOiI1NDQyNTk1OTUifQ==</vt:lpwstr>
  </property>
</Properties>
</file>