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版本号：DS2026-CS-02620260520001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潼关县四知街与黄河大道交通环岛改造工程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DS2026-CS-026</w:t>
      </w:r>
      <w:r>
        <w:br/>
      </w:r>
      <w:r>
        <w:br/>
      </w:r>
      <w:r>
        <w:br/>
      </w:r>
    </w:p>
    <w:p>
      <w:pPr>
        <w:pStyle w:val="null3"/>
        <w:jc w:val="center"/>
        <w:outlineLvl w:val="2"/>
      </w:pPr>
      <w:r>
        <w:rPr>
          <w:rFonts w:ascii="仿宋_GB2312" w:hAnsi="仿宋_GB2312" w:cs="仿宋_GB2312" w:eastAsia="仿宋_GB2312"/>
          <w:sz w:val="28"/>
          <w:b/>
        </w:rPr>
        <w:t>潼关县住建局</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潼关县住建局</w:t>
      </w:r>
      <w:r>
        <w:rPr>
          <w:rFonts w:ascii="仿宋_GB2312" w:hAnsi="仿宋_GB2312" w:cs="仿宋_GB2312" w:eastAsia="仿宋_GB2312"/>
        </w:rPr>
        <w:t>委托，拟对</w:t>
      </w:r>
      <w:r>
        <w:rPr>
          <w:rFonts w:ascii="仿宋_GB2312" w:hAnsi="仿宋_GB2312" w:cs="仿宋_GB2312" w:eastAsia="仿宋_GB2312"/>
        </w:rPr>
        <w:t>潼关县四知街与黄河大道交通环岛改造工程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DS2026-CS-026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潼关县四知街与黄河大道交通环岛改造工程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本项目包含市政道路工程、交通设施工程、绿化景观工程，主要建设内容为现状路面及基层拆除、土方工程、道路结构层新建、人行道铺装、路缘石安装、树池砌筑、交通标志标线、绿化栽植及养护等；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采购包1（潼关县四知街与黄河大道交通环岛改造工程）：属于专门面向中小企业采购。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1、法定代表人证明及法定代表人授权书：法定代表人直接参加磋商的提供法定代表人证明及其身份证；授权代表参与磋商的提供法定代表人授权书（附法定代表人及授权代表身份证）；非法人单位参照执行；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2、企业资质：供应商须具有市政公用工程施工总承包三级(含三级)以上资质，并具有有效的安全生产许可证；</w:t>
      </w:r>
    </w:p>
    <w:p>
      <w:pPr>
        <w:pStyle w:val="null3"/>
      </w:pPr>
      <w:r>
        <w:rPr>
          <w:rFonts w:ascii="仿宋_GB2312" w:hAnsi="仿宋_GB2312" w:cs="仿宋_GB2312" w:eastAsia="仿宋_GB2312"/>
        </w:rPr>
        <w:t>3、项目经理：拟派项目经理须具有市政公用工程二级(含二级)以上注册建造师资格并具有有效的安全生产考核合格B证，且无在建工程（提供无在建项目承诺书）；</w:t>
      </w:r>
    </w:p>
    <w:p>
      <w:pPr>
        <w:pStyle w:val="null3"/>
      </w:pPr>
      <w:r>
        <w:rPr>
          <w:rFonts w:ascii="仿宋_GB2312" w:hAnsi="仿宋_GB2312" w:cs="仿宋_GB2312" w:eastAsia="仿宋_GB2312"/>
        </w:rPr>
        <w:t>4、信用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5、供应商基本信息：供应商基本信息及项目经理的基本信息应在“ 陕西省住房和城乡建设厅网 （http://js.shaanxi.gov.cn/）”可查询。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潼关县住建局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潼关县和平路南段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17719775029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采购包1：2,535,074.92元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的通知（计价格〔2002〕1980号）、《国家发展和改⾰委员会办公厅关于招标代理服务收费有关问题的通知》（发改办价格〔2003〕857号）及（发改办价格〔2011〕534号）规定⼯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潼关县住建局</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潼关县住建局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潼关县住建局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地址：陕西省西安市雁塔区科技西路2825号绿地鸿海⼤厦7幢20704室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2,535,074.92</w:t>
      </w:r>
    </w:p>
    <w:p>
      <w:pPr>
        <w:pStyle w:val="null3"/>
      </w:pPr>
      <w:r>
        <w:rPr>
          <w:rFonts w:ascii="仿宋_GB2312" w:hAnsi="仿宋_GB2312" w:cs="仿宋_GB2312" w:eastAsia="仿宋_GB2312"/>
        </w:rPr>
        <w:t>采购包最高限价（元）: 2,535,074.92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潼关县四知街与黄河大道交通环岛改造工程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2,535,074.92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标的名称：潼关县四知街与黄河大道交通环岛改造工程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一、项目基本情况</w:t>
            </w:r>
          </w:p>
          <w:p>
            <w:pPr>
              <w:pStyle w:val="null3"/>
            </w:pPr>
            <w:r>
              <w:rPr>
                <w:rFonts w:ascii="仿宋_GB2312" w:hAnsi="仿宋_GB2312" w:cs="仿宋_GB2312" w:eastAsia="仿宋_GB2312"/>
                <w:sz w:val="18"/>
              </w:rPr>
              <w:t>1.项目概况：本项目包含市政道路工程、交通设施工程、绿化景观工程，主要建设内容为现状路面及基层拆除、土方工程、道路结构层新建、人行道铺装、路缘石安装、树池砌筑、交通标志标线、绿化栽植及养护等；</w:t>
            </w:r>
          </w:p>
          <w:p>
            <w:pPr>
              <w:pStyle w:val="null3"/>
            </w:pPr>
            <w:r>
              <w:rPr>
                <w:rFonts w:ascii="仿宋_GB2312" w:hAnsi="仿宋_GB2312" w:cs="仿宋_GB2312" w:eastAsia="仿宋_GB2312"/>
                <w:sz w:val="18"/>
              </w:rPr>
              <w:t>2.施工地点：采购人指定地点（四知街与黄河大道交叉口）；</w:t>
            </w:r>
          </w:p>
          <w:p>
            <w:pPr>
              <w:pStyle w:val="null3"/>
            </w:pPr>
            <w:r>
              <w:rPr>
                <w:rFonts w:ascii="仿宋_GB2312" w:hAnsi="仿宋_GB2312" w:cs="仿宋_GB2312" w:eastAsia="仿宋_GB2312"/>
                <w:sz w:val="18"/>
              </w:rPr>
              <w:t>3.计划工期：自合同签订之日起 15日历天内；</w:t>
            </w:r>
          </w:p>
          <w:p>
            <w:pPr>
              <w:pStyle w:val="null3"/>
            </w:pPr>
            <w:r>
              <w:rPr>
                <w:rFonts w:ascii="仿宋_GB2312" w:hAnsi="仿宋_GB2312" w:cs="仿宋_GB2312" w:eastAsia="仿宋_GB2312"/>
                <w:sz w:val="18"/>
              </w:rPr>
              <w:t>4.缺陷责任期：自竣工验收之日起1年；</w:t>
            </w:r>
          </w:p>
          <w:p>
            <w:pPr>
              <w:pStyle w:val="null3"/>
            </w:pPr>
            <w:r>
              <w:rPr>
                <w:rFonts w:ascii="仿宋_GB2312" w:hAnsi="仿宋_GB2312" w:cs="仿宋_GB2312" w:eastAsia="仿宋_GB2312"/>
                <w:sz w:val="18"/>
              </w:rPr>
              <w:t>二、编制依据</w:t>
            </w:r>
          </w:p>
          <w:p>
            <w:pPr>
              <w:pStyle w:val="null3"/>
            </w:pPr>
            <w:r>
              <w:rPr>
                <w:rFonts w:ascii="仿宋_GB2312" w:hAnsi="仿宋_GB2312" w:cs="仿宋_GB2312" w:eastAsia="仿宋_GB2312"/>
                <w:sz w:val="18"/>
              </w:rPr>
              <w:t>1.陕西省住房和城乡建设厅关于印发2025陕西省建设工程费用规则等计价依据的通知；</w:t>
            </w:r>
          </w:p>
          <w:p>
            <w:pPr>
              <w:pStyle w:val="null3"/>
            </w:pPr>
            <w:r>
              <w:rPr>
                <w:rFonts w:ascii="仿宋_GB2312" w:hAnsi="仿宋_GB2312" w:cs="仿宋_GB2312" w:eastAsia="仿宋_GB2312"/>
                <w:sz w:val="18"/>
              </w:rPr>
              <w:t>2.《建设工程工程量清单计价标准》（DB61/T5126-2025);</w:t>
            </w:r>
          </w:p>
          <w:p>
            <w:pPr>
              <w:pStyle w:val="null3"/>
            </w:pPr>
            <w:r>
              <w:rPr>
                <w:rFonts w:ascii="仿宋_GB2312" w:hAnsi="仿宋_GB2312" w:cs="仿宋_GB2312" w:eastAsia="仿宋_GB2312"/>
                <w:sz w:val="18"/>
              </w:rPr>
              <w:t>3.《市政工程工程量计算标准》（DB61/T5128-2025）</w:t>
            </w:r>
          </w:p>
          <w:p>
            <w:pPr>
              <w:pStyle w:val="null3"/>
            </w:pPr>
            <w:r>
              <w:rPr>
                <w:rFonts w:ascii="仿宋_GB2312" w:hAnsi="仿宋_GB2312" w:cs="仿宋_GB2312" w:eastAsia="仿宋_GB2312"/>
                <w:sz w:val="18"/>
              </w:rPr>
              <w:t>4.项目施工图；</w:t>
            </w:r>
          </w:p>
          <w:p>
            <w:pPr>
              <w:pStyle w:val="null3"/>
            </w:pPr>
            <w:r>
              <w:rPr>
                <w:rFonts w:ascii="仿宋_GB2312" w:hAnsi="仿宋_GB2312" w:cs="仿宋_GB2312" w:eastAsia="仿宋_GB2312"/>
                <w:sz w:val="18"/>
              </w:rPr>
              <w:t>5.设计说明、设计答疑、相关的标准图集、技术标准、施工及验收规范等；</w:t>
            </w:r>
          </w:p>
          <w:p>
            <w:pPr>
              <w:pStyle w:val="null3"/>
            </w:pPr>
            <w:r>
              <w:rPr>
                <w:rFonts w:ascii="仿宋_GB2312" w:hAnsi="仿宋_GB2312" w:cs="仿宋_GB2312" w:eastAsia="仿宋_GB2312"/>
                <w:sz w:val="18"/>
              </w:rPr>
              <w:t>三、编制范围</w:t>
            </w:r>
          </w:p>
          <w:p>
            <w:pPr>
              <w:pStyle w:val="null3"/>
            </w:pPr>
            <w:r>
              <w:rPr>
                <w:rFonts w:ascii="仿宋_GB2312" w:hAnsi="仿宋_GB2312" w:cs="仿宋_GB2312" w:eastAsia="仿宋_GB2312"/>
                <w:sz w:val="18"/>
              </w:rPr>
              <w:t>本次编制范围施工图纸所包含的全部工程内容。</w:t>
            </w:r>
          </w:p>
          <w:p>
            <w:pPr>
              <w:pStyle w:val="null3"/>
            </w:pPr>
            <w:r>
              <w:rPr>
                <w:rFonts w:ascii="仿宋_GB2312" w:hAnsi="仿宋_GB2312" w:cs="仿宋_GB2312" w:eastAsia="仿宋_GB2312"/>
                <w:sz w:val="18"/>
              </w:rPr>
              <w:t>四、其他说明</w:t>
            </w:r>
          </w:p>
          <w:p>
            <w:pPr>
              <w:pStyle w:val="null3"/>
            </w:pPr>
            <w:r>
              <w:rPr>
                <w:rFonts w:ascii="仿宋_GB2312" w:hAnsi="仿宋_GB2312" w:cs="仿宋_GB2312" w:eastAsia="仿宋_GB2312"/>
                <w:sz w:val="18"/>
              </w:rPr>
              <w:t>1.本工程造价为含增值税造价。</w:t>
            </w:r>
          </w:p>
          <w:p>
            <w:pPr>
              <w:pStyle w:val="null3"/>
            </w:pPr>
            <w:r>
              <w:rPr>
                <w:rFonts w:ascii="仿宋_GB2312" w:hAnsi="仿宋_GB2312" w:cs="仿宋_GB2312" w:eastAsia="仿宋_GB2312"/>
                <w:sz w:val="18"/>
              </w:rPr>
              <w:t>2.编制软件采用广联达云计价平台GCCP7.0，版本：7.5000.23.2。</w:t>
            </w:r>
          </w:p>
          <w:p>
            <w:pPr>
              <w:pStyle w:val="null3"/>
            </w:pPr>
            <w:r>
              <w:rPr>
                <w:rFonts w:ascii="仿宋_GB2312" w:hAnsi="仿宋_GB2312" w:cs="仿宋_GB2312" w:eastAsia="仿宋_GB2312"/>
                <w:sz w:val="18"/>
              </w:rPr>
              <w:t>3.拆除工程、废料弃置、土方外运及外购土运距按10km考虑。</w:t>
            </w:r>
          </w:p>
          <w:p>
            <w:pPr>
              <w:pStyle w:val="null3"/>
            </w:pPr>
            <w:r>
              <w:rPr>
                <w:rFonts w:ascii="仿宋_GB2312" w:hAnsi="仿宋_GB2312" w:cs="仿宋_GB2312" w:eastAsia="仿宋_GB2312"/>
                <w:sz w:val="18"/>
              </w:rPr>
              <w:t>4.绿化工程按施工期养护考虑。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在本项⽬实施过程中涉及的商品包装和快递包装，均应符合《商品包装政府采购需求标准（试⾏）》《快递包装政府采购 需求标准（试⾏）》的要求，确保货物安全运抵服务地点。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1.施工范围：工程量清单及施工图纸内容。 2.质量标准：合格。 3.付款方式：1）预付款，合同签订后，所有人员、机械到达采购人指定地点，达到付款条件起10个工作日内，支付合同总金额的40%；2）进度款，工程施工完成后，达到付款条件起10个工作日内，支付合同总金额的40%；3）进度款，竣工验收合格并经审计后，达到付款条件起10个工作日内，支付合同总金额的17%；4）其他，验收合格之日起一年后，如无质量等问题，达到付款条件起10个工作日内，支付合同总金额的3%。 4.供应商负责完成本项目相关工作，凡涉及与本项目相关的材料、设备、人员保险、税金、验收等，所有费用一次性计入投标总价。 5.验收：1）项目竣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 6.供应商接到采购人售后要求后，6小时内远程响应，24小时内给出解决方案，若远程无法解决问题72小时内安排专人到达现场。 7.在本项目实施过程中涉及的商品包装和快递包装，均应符合《商品包装政府采购需求标准（试行）》《快递包装政府采购需求标准（试行）》的要求，确保货物安全运抵服务地点。 8.知识产权归属和处理方式：供应商应保证在项目实施过程中不会出现因第三方提出侵犯其专利权、商标权或其它知识产权而引发法律或经济纠纷，否则由供应商承担全部责任。 9.违约责任与解决争议的方法：1）按照《中华人民共和国民法典》中的相关条款执行。2）供应商未在合同约定的工期内完工或者工程质量不符合合同要求的，采购人有权终止合同，对采购人造成经济损失的，采购人有权追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本采购包是专⻔⾯向中⼩企业预留，参与供应商由符合政策要求的中⼩企业承接；监狱企业及残疾⼈福利性单位，视同⼩、微型企业。</w:t>
            </w:r>
          </w:p>
        </w:tc>
        <w:tc>
          <w:tcPr>
            <w:tcW w:type="dxa" w:w="1661"/>
          </w:tcPr>
          <w:p>
            <w:pPr>
              <w:pStyle w:val="null3"/>
            </w:pPr>
            <w:r>
              <w:rPr>
                <w:rFonts w:ascii="仿宋_GB2312" w:hAnsi="仿宋_GB2312" w:cs="仿宋_GB2312" w:eastAsia="仿宋_GB2312"/>
              </w:rPr>
              <w:t>响应文件（格式）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法定代表人证明及法定代表人授权书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拟派项目经理须具有市政公用工程二级(含二级)以上注册建造师资格并具有有效的安全生产考核合格B证，且无在建工程（提供无在建项目承诺书）；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供应商基本信息及项目经理的基本信息应在“ 陕西省住房和城乡建设厅网 （http://js.shaanxi.gov.cn/）”可查询。</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按磋商⽂件要求编制响应⽂件，满⾜磋商⽂件第⼆章实质性要求条款。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响应报价唯⼀，且不⾼于最⾼限价。</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响应文件（格式）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施工方案、方法与技术措施： 1.对本项目了解透彻，制定针对本项目的施工方案、方法与技术措施、施工工艺内容全面，对施工具有高度指导性，完全满足项目实施计8分； 2.对本项目了解，制定本项目的施工方案、方法与技术措施内容、施工工艺基本全面，对施工具有指导性，基本满足项目实施计5分； 3.施工方案、方法与技术措施内容不详尽计3分；未提供不计分。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施工进度计划及保证措施： 1.工期满足招标文件要求，施工进度、节点安排合理，完全满足项目实施计8分； 2.工期满足招标文件要求，施工进度、节点安排基本合理计5分； 3.工期满足招标文件要求，施工进度、节点安排不明确的计3分；未提供不计分。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工程质量管理体系及保证措施： 1.质量目标明确，管理体系健全，保证措施完整,完全满足项目实施计8分； 2.质量目标基本明确，管理体系基本健全，保证措施基本完整，基本满足项目实施计5分； 3.工程质量管理体系及保证措施内容不详尽计3分；未提供不计分。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安全生产、文明施工管理体系及保证措施： 1.安全生产目标明确，预防和动态控制措施及制度完整、到位，管理体系和组织措施功能完善，安全经费投入明确,完全满足项目实施计8分； 2.安全生产目标基本明确，预防和动态控制措施及制度基本完整，管理体系和组织措施功能基本完善，基本满足项目实施计5分； 3.安全生产、文明施工管理体系及保证措施内容不详尽计3分；未提供不计分。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环境文明施工保证体系及保证措施</w:t>
            </w:r>
          </w:p>
        </w:tc>
        <w:tc>
          <w:tcPr>
            <w:tcW w:type="dxa" w:w="2492"/>
          </w:tcPr>
          <w:p>
            <w:pPr>
              <w:pStyle w:val="null3"/>
            </w:pPr>
            <w:r>
              <w:rPr>
                <w:rFonts w:ascii="仿宋_GB2312" w:hAnsi="仿宋_GB2312" w:cs="仿宋_GB2312" w:eastAsia="仿宋_GB2312"/>
              </w:rPr>
              <w:t>环境文明施工保证体系及保证措施： 1.环境文明施工保证体系健全、完整，保证措施完善,完全满足项目实施计8分； 2.环境文明施工保证体系基本健全，保证措施基本完善，基本满足项目实施计5分； 3.环境文明施工保证体系及保证措施内容不详尽计3分；未提供不计分。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主要劳动力及机具配备： 1.劳动力及机具投入计划根据施工进度需求、工作量进行合理分配安排，并具有实施性，完全满足施工要求计8分； 2.有基本的劳动力及机具投入计5分； 3.劳动力及机具投入不完善的计3分；未提供不计分。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1.项目风险预测与防范、事故应急预案考虑全面，切实可行，经济合理计8分； 2.项目风险预测与防范、事故应急预案考虑操作性不全面计5分； 3.缺少风险预测与防范或缺少事故应急预案计3分；未提供不计分。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8分；2.人员配备数量一般，专业人员配备能够基本满足项目实施需要，分工有一定的合理性，基本能满足项目需求的得5分；3.人员配备数量较少,专业人员配备不齐全的得3分；4.不满足项目要求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1.针对本项目实际需求提供实质性承诺或合理化建议计2分； 2.提供有承诺或建议但与本项目需求无直接关联关系计1分；未提供不计分。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供应商提供2023年1月1日至响应文件提交截止前类似项目的合同复印件，以合同签订日期为准，每提供一份合同得2分，满分4分，未提供不得分。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30×（磋商基准价/最后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