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版本号：XQSZB2026-00820260430001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三原县李靖故居安全防范系统升级改造工程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XQSZB2026-008</w:t>
      </w:r>
      <w:r>
        <w:br/>
      </w:r>
      <w:r>
        <w:br/>
      </w:r>
      <w:r>
        <w:br/>
      </w:r>
    </w:p>
    <w:p>
      <w:pPr>
        <w:pStyle w:val="null3"/>
        <w:jc w:val="center"/>
        <w:outlineLvl w:val="2"/>
      </w:pPr>
      <w:r>
        <w:rPr>
          <w:rFonts w:ascii="仿宋_GB2312" w:hAnsi="仿宋_GB2312" w:cs="仿宋_GB2312" w:eastAsia="仿宋_GB2312"/>
          <w:sz w:val="28"/>
          <w:b/>
        </w:rPr>
        <w:t>三原县李靖故居文物管理所</w:t>
      </w:r>
    </w:p>
    <w:p>
      <w:pPr>
        <w:pStyle w:val="null3"/>
        <w:jc w:val="center"/>
        <w:outlineLvl w:val="2"/>
      </w:pPr>
      <w:r>
        <w:rPr>
          <w:rFonts w:ascii="仿宋_GB2312" w:hAnsi="仿宋_GB2312" w:cs="仿宋_GB2312" w:eastAsia="仿宋_GB2312"/>
          <w:sz w:val="28"/>
          <w:b/>
        </w:rPr>
        <w:t>陕西鑫仟顺工程项目管理有限公司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陕西鑫仟顺工程项目管理有限公司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三原县李靖故居文物管理所</w:t>
      </w:r>
      <w:r>
        <w:rPr>
          <w:rFonts w:ascii="仿宋_GB2312" w:hAnsi="仿宋_GB2312" w:cs="仿宋_GB2312" w:eastAsia="仿宋_GB2312"/>
        </w:rPr>
        <w:t>委托，拟对</w:t>
      </w:r>
      <w:r>
        <w:rPr>
          <w:rFonts w:ascii="仿宋_GB2312" w:hAnsi="仿宋_GB2312" w:cs="仿宋_GB2312" w:eastAsia="仿宋_GB2312"/>
        </w:rPr>
        <w:t>三原县李靖故居安全防范系统升级改造工程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XQSZB2026-008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三原县李靖故居安全防范系统升级改造工程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李靖故居安全防范系统升级改造工程，升级改造各类安防设施，构建集火灾防控、视频监控、入报警、周界防护、应急指挥于一体的智能化、立体化安全防范体系，全面消除现有安防短板。具体详见施工图纸及工程量清单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采购包1（三原县李靖故居安全防范系统升级改造工程）：属于专门面向中小企业采购。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2、资质要求：供应商须具备电子与智能化工程专业承包二级或以上资质，并具有有效的安全生产许可证。</w:t>
      </w:r>
    </w:p>
    <w:p>
      <w:pPr>
        <w:pStyle w:val="null3"/>
      </w:pPr>
      <w:r>
        <w:rPr>
          <w:rFonts w:ascii="仿宋_GB2312" w:hAnsi="仿宋_GB2312" w:cs="仿宋_GB2312" w:eastAsia="仿宋_GB2312"/>
        </w:rPr>
        <w:t>3、拟派项目负责人资质及专业要求：拟派项目经理须具备机电工程专业二级或以上注册建造师资格证书，并具有有效的安全生产考核合格证，在本单位注册且无在建工程（提供无在建项目承诺书）；</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年度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授权书（附法定代表人、被授权人身份证复印件及授权代表在本单位缴纳社保的证明），法定代表人直接参加磋商，须提供法定代表人身份证明、法定代表人身份证复印件及在本单位缴纳社保的证明；</w:t>
      </w:r>
    </w:p>
    <w:p>
      <w:pPr>
        <w:pStyle w:val="null3"/>
      </w:pPr>
      <w:r>
        <w:rPr>
          <w:rFonts w:ascii="仿宋_GB2312" w:hAnsi="仿宋_GB2312" w:cs="仿宋_GB2312" w:eastAsia="仿宋_GB2312"/>
        </w:rPr>
        <w:t>11、关联关系：单位负责人为同一人或者存在直接控股、管理关系的不同供应商，不得参加同一合同项下的政府采购活动（提供“国家企业信用信息公示系统（https://www.gsxt.gov.cn/index.html）”中营业执照信息及股东及出资信息截图）。</w:t>
      </w:r>
    </w:p>
    <w:p>
      <w:pPr>
        <w:pStyle w:val="null3"/>
      </w:pPr>
      <w:r>
        <w:rPr>
          <w:rFonts w:ascii="仿宋_GB2312" w:hAnsi="仿宋_GB2312" w:cs="仿宋_GB2312" w:eastAsia="仿宋_GB2312"/>
        </w:rPr>
        <w:t>12、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将拒绝其参与政府采购活动，查询结果以纸质方式留存）。</w:t>
      </w:r>
    </w:p>
    <w:p>
      <w:pPr>
        <w:pStyle w:val="null3"/>
      </w:pPr>
      <w:r>
        <w:rPr>
          <w:rFonts w:ascii="仿宋_GB2312" w:hAnsi="仿宋_GB2312" w:cs="仿宋_GB2312" w:eastAsia="仿宋_GB2312"/>
        </w:rPr>
        <w:t>13、联合体：本项目不接受联合体磋商。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三原县李靖故居文物管理所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三原县鲁桥镇东里村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陕西鑫仟顺工程项目管理有限公司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陕西省咸阳市秦都区滨河西路大秦御港城10号楼1608室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029-33253042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 2.成交单位在领取成交通知书前，须向采购代理机构一次性支付招标代理服务费。 3.招标代理服务费交纳信息： 户 名：陕西鑫仟顺工程项目管理有限公司 ，开户行：中国光大银行股份有限公司咸阳分行， 账 号：55930188000037709 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三原县李靖故居文物管理所</w:t>
      </w:r>
      <w:r>
        <w:rPr>
          <w:rFonts w:ascii="仿宋_GB2312" w:hAnsi="仿宋_GB2312" w:cs="仿宋_GB2312" w:eastAsia="仿宋_GB2312"/>
        </w:rPr>
        <w:t>和</w:t>
      </w:r>
      <w:r>
        <w:rPr>
          <w:rFonts w:ascii="仿宋_GB2312" w:hAnsi="仿宋_GB2312" w:cs="仿宋_GB2312" w:eastAsia="仿宋_GB2312"/>
        </w:rPr>
        <w:t>陕西鑫仟顺工程项目管理有限公司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三原县李靖故居文物管理所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陕西鑫仟顺工程项目管理有限公司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三原县李靖故居文物管理所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陕西鑫仟顺工程项目管理有限公司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完工工程量、结算单价、结算价款、支付方式等工期要求：60个日历天。</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联系人：毛凯</w:t>
      </w:r>
    </w:p>
    <w:p>
      <w:pPr>
        <w:pStyle w:val="null3"/>
      </w:pPr>
      <w:r>
        <w:rPr>
          <w:rFonts w:ascii="仿宋_GB2312" w:hAnsi="仿宋_GB2312" w:cs="仿宋_GB2312" w:eastAsia="仿宋_GB2312"/>
        </w:rPr>
        <w:t>联系电话：029-33253042</w:t>
      </w:r>
    </w:p>
    <w:p>
      <w:pPr>
        <w:pStyle w:val="null3"/>
      </w:pPr>
      <w:r>
        <w:rPr>
          <w:rFonts w:ascii="仿宋_GB2312" w:hAnsi="仿宋_GB2312" w:cs="仿宋_GB2312" w:eastAsia="仿宋_GB2312"/>
        </w:rPr>
        <w:t>地址：陕西省咸阳市秦都区滨河西路大秦御港城10号楼1608室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1,350,000.00</w:t>
      </w:r>
    </w:p>
    <w:p>
      <w:pPr>
        <w:pStyle w:val="null3"/>
      </w:pPr>
      <w:r>
        <w:rPr>
          <w:rFonts w:ascii="仿宋_GB2312" w:hAnsi="仿宋_GB2312" w:cs="仿宋_GB2312" w:eastAsia="仿宋_GB2312"/>
        </w:rPr>
        <w:t>采购包最高限价（元）: 1,254,014.49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三原县李靖故居安全防范系统升级改造工程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标的名称：三原县李靖故居安全防范系统升级改造工程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项目名称：三原县李靖故居安全防范系统升级改造工程</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建设内容：升级改造各类安防设施，构建集火灾防控、视频监控、入报警、周界防护、应急指挥于一体的智能化、立体化安全防范体系，全面消除现有安防短板。具体详见施工图纸及工程量清单全部内容。</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项目地点：三原县李靖故居</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工期：</w:t>
            </w:r>
            <w:r>
              <w:rPr>
                <w:rFonts w:ascii="仿宋_GB2312" w:hAnsi="仿宋_GB2312" w:cs="仿宋_GB2312" w:eastAsia="仿宋_GB2312"/>
                <w:sz w:val="21"/>
              </w:rPr>
              <w:t>60</w:t>
            </w:r>
            <w:r>
              <w:rPr>
                <w:rFonts w:ascii="仿宋_GB2312" w:hAnsi="仿宋_GB2312" w:cs="仿宋_GB2312" w:eastAsia="仿宋_GB2312"/>
                <w:sz w:val="21"/>
              </w:rPr>
              <w:t>日历天</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质量要求：符合国家及地方现行有关验收规范“合格”标准。</w:t>
            </w:r>
          </w:p>
          <w:p>
            <w:pPr>
              <w:pStyle w:val="null3"/>
              <w:jc w:val="both"/>
            </w:pPr>
            <w:r>
              <w:rPr>
                <w:rFonts w:ascii="仿宋_GB2312" w:hAnsi="仿宋_GB2312" w:cs="仿宋_GB2312" w:eastAsia="仿宋_GB2312"/>
                <w:sz w:val="21"/>
                <w:b/>
              </w:rPr>
              <w:t>二、编制依据：</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根据《陕西省建设工程工程量清单计价标准及计算标准》（</w:t>
            </w:r>
            <w:r>
              <w:rPr>
                <w:rFonts w:ascii="仿宋_GB2312" w:hAnsi="仿宋_GB2312" w:cs="仿宋_GB2312" w:eastAsia="仿宋_GB2312"/>
                <w:sz w:val="21"/>
              </w:rPr>
              <w:t>2025</w:t>
            </w:r>
            <w:r>
              <w:rPr>
                <w:rFonts w:ascii="仿宋_GB2312" w:hAnsi="仿宋_GB2312" w:cs="仿宋_GB2312" w:eastAsia="仿宋_GB2312"/>
                <w:sz w:val="21"/>
              </w:rPr>
              <w:t>）；陕西省住房和城乡建设厅文件《陕西省住房和城乡建设厅关于印发</w:t>
            </w:r>
            <w:r>
              <w:rPr>
                <w:rFonts w:ascii="仿宋_GB2312" w:hAnsi="仿宋_GB2312" w:cs="仿宋_GB2312" w:eastAsia="仿宋_GB2312"/>
                <w:sz w:val="21"/>
              </w:rPr>
              <w:t>2025</w:t>
            </w:r>
            <w:r>
              <w:rPr>
                <w:rFonts w:ascii="仿宋_GB2312" w:hAnsi="仿宋_GB2312" w:cs="仿宋_GB2312" w:eastAsia="仿宋_GB2312"/>
                <w:sz w:val="21"/>
              </w:rPr>
              <w:t>陕西省建设工程费用规则等计价依据的通知》（陕建管发【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号）。</w:t>
            </w:r>
          </w:p>
          <w:p>
            <w:pPr>
              <w:pStyle w:val="null3"/>
              <w:ind w:firstLine="210"/>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《陕西省建设工程费用规则（</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《陕西省房屋建筑与装饰工程基价表</w:t>
            </w:r>
            <w:r>
              <w:rPr>
                <w:rFonts w:ascii="仿宋_GB2312" w:hAnsi="仿宋_GB2312" w:cs="仿宋_GB2312" w:eastAsia="仿宋_GB2312"/>
                <w:sz w:val="21"/>
              </w:rPr>
              <w:t>(2025)</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》、《陕西省市政工程基价表</w:t>
            </w:r>
            <w:r>
              <w:rPr>
                <w:rFonts w:ascii="仿宋_GB2312" w:hAnsi="仿宋_GB2312" w:cs="仿宋_GB2312" w:eastAsia="仿宋_GB2312"/>
                <w:sz w:val="21"/>
              </w:rPr>
              <w:t>(2025)</w:t>
            </w:r>
            <w:r>
              <w:rPr>
                <w:rFonts w:ascii="仿宋_GB2312" w:hAnsi="仿宋_GB2312" w:cs="仿宋_GB2312" w:eastAsia="仿宋_GB2312"/>
                <w:sz w:val="21"/>
              </w:rPr>
              <w:t>》、《陕西省园林绿化工程基价表</w:t>
            </w:r>
            <w:r>
              <w:rPr>
                <w:rFonts w:ascii="仿宋_GB2312" w:hAnsi="仿宋_GB2312" w:cs="仿宋_GB2312" w:eastAsia="仿宋_GB2312"/>
                <w:sz w:val="21"/>
              </w:rPr>
              <w:t>(2025)</w:t>
            </w:r>
            <w:r>
              <w:rPr>
                <w:rFonts w:ascii="仿宋_GB2312" w:hAnsi="仿宋_GB2312" w:cs="仿宋_GB2312" w:eastAsia="仿宋_GB2312"/>
                <w:sz w:val="21"/>
              </w:rPr>
              <w:t>》、《陕西省城市地下综合管廊工程基价表</w:t>
            </w:r>
            <w:r>
              <w:rPr>
                <w:rFonts w:ascii="仿宋_GB2312" w:hAnsi="仿宋_GB2312" w:cs="仿宋_GB2312" w:eastAsia="仿宋_GB2312"/>
                <w:sz w:val="21"/>
              </w:rPr>
              <w:t>(2025)</w:t>
            </w:r>
            <w:r>
              <w:rPr>
                <w:rFonts w:ascii="仿宋_GB2312" w:hAnsi="仿宋_GB2312" w:cs="仿宋_GB2312" w:eastAsia="仿宋_GB2312"/>
                <w:sz w:val="21"/>
              </w:rPr>
              <w:t>》、《陕西省绿色建筑工程基价表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《陕西省房屋建筑与装饰工程消耗量定额（</w:t>
            </w:r>
            <w:r>
              <w:rPr>
                <w:rFonts w:ascii="仿宋_GB2312" w:hAnsi="仿宋_GB2312" w:cs="仿宋_GB2312" w:eastAsia="仿宋_GB2312"/>
                <w:sz w:val="21"/>
              </w:rPr>
              <w:t>2025</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w:t>
            </w:r>
            <w:r>
              <w:rPr>
                <w:rFonts w:ascii="仿宋_GB2312" w:hAnsi="仿宋_GB2312" w:cs="仿宋_GB2312" w:eastAsia="仿宋_GB2312"/>
                <w:sz w:val="21"/>
              </w:rPr>
              <w:t>）》、《陕西省市政工程消耗量定额（</w:t>
            </w:r>
            <w:r>
              <w:rPr>
                <w:rFonts w:ascii="仿宋_GB2312" w:hAnsi="仿宋_GB2312" w:cs="仿宋_GB2312" w:eastAsia="仿宋_GB2312"/>
                <w:sz w:val="21"/>
              </w:rPr>
              <w:t>2025</w:t>
            </w:r>
            <w:r>
              <w:rPr>
                <w:rFonts w:ascii="仿宋_GB2312" w:hAnsi="仿宋_GB2312" w:cs="仿宋_GB2312" w:eastAsia="仿宋_GB2312"/>
                <w:sz w:val="21"/>
              </w:rPr>
              <w:t>）》、《陕西省园林绿化工程消耗量定额（</w:t>
            </w:r>
            <w:r>
              <w:rPr>
                <w:rFonts w:ascii="仿宋_GB2312" w:hAnsi="仿宋_GB2312" w:cs="仿宋_GB2312" w:eastAsia="仿宋_GB2312"/>
                <w:sz w:val="21"/>
              </w:rPr>
              <w:t>2025</w:t>
            </w:r>
            <w:r>
              <w:rPr>
                <w:rFonts w:ascii="仿宋_GB2312" w:hAnsi="仿宋_GB2312" w:cs="仿宋_GB2312" w:eastAsia="仿宋_GB2312"/>
                <w:sz w:val="21"/>
              </w:rPr>
              <w:t>）》、《陕西省城市地下综合管廊工程消耗量定额（</w:t>
            </w:r>
            <w:r>
              <w:rPr>
                <w:rFonts w:ascii="仿宋_GB2312" w:hAnsi="仿宋_GB2312" w:cs="仿宋_GB2312" w:eastAsia="仿宋_GB2312"/>
                <w:sz w:val="21"/>
              </w:rPr>
              <w:t>2025</w:t>
            </w:r>
            <w:r>
              <w:rPr>
                <w:rFonts w:ascii="仿宋_GB2312" w:hAnsi="仿宋_GB2312" w:cs="仿宋_GB2312" w:eastAsia="仿宋_GB2312"/>
                <w:sz w:val="21"/>
              </w:rPr>
              <w:t>）》、《陕西省绿色建筑工程消耗量定额（</w:t>
            </w:r>
            <w:r>
              <w:rPr>
                <w:rFonts w:ascii="仿宋_GB2312" w:hAnsi="仿宋_GB2312" w:cs="仿宋_GB2312" w:eastAsia="仿宋_GB2312"/>
                <w:sz w:val="21"/>
              </w:rPr>
              <w:t>2025</w:t>
            </w:r>
            <w:r>
              <w:rPr>
                <w:rFonts w:ascii="仿宋_GB2312" w:hAnsi="仿宋_GB2312" w:cs="仿宋_GB2312" w:eastAsia="仿宋_GB2312"/>
                <w:sz w:val="21"/>
              </w:rPr>
              <w:t>）》、《陕西省建设工程施工机械台班费用定额</w:t>
            </w:r>
            <w:r>
              <w:rPr>
                <w:rFonts w:ascii="仿宋_GB2312" w:hAnsi="仿宋_GB2312" w:cs="仿宋_GB2312" w:eastAsia="仿宋_GB2312"/>
                <w:sz w:val="21"/>
              </w:rPr>
              <w:t>(2025)</w:t>
            </w:r>
            <w:r>
              <w:rPr>
                <w:rFonts w:ascii="仿宋_GB2312" w:hAnsi="仿宋_GB2312" w:cs="仿宋_GB2312" w:eastAsia="仿宋_GB2312"/>
                <w:sz w:val="21"/>
              </w:rPr>
              <w:t>》、《陕西省建设工程施工仪器仪表台班费用定额</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ind w:firstLine="21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材料价格按照《咸阳工程造价信息》</w:t>
            </w:r>
            <w:r>
              <w:rPr>
                <w:rFonts w:ascii="仿宋_GB2312" w:hAnsi="仿宋_GB2312" w:cs="仿宋_GB2312" w:eastAsia="仿宋_GB2312"/>
                <w:sz w:val="21"/>
              </w:rPr>
              <w:t>2026</w:t>
            </w:r>
            <w:r>
              <w:rPr>
                <w:rFonts w:ascii="仿宋_GB2312" w:hAnsi="仿宋_GB2312" w:cs="仿宋_GB2312" w:eastAsia="仿宋_GB2312"/>
                <w:sz w:val="21"/>
              </w:rPr>
              <w:t>年第</w:t>
            </w:r>
            <w:r>
              <w:rPr>
                <w:rFonts w:ascii="仿宋_GB2312" w:hAnsi="仿宋_GB2312" w:cs="仿宋_GB2312" w:eastAsia="仿宋_GB2312"/>
                <w:sz w:val="21"/>
              </w:rPr>
              <w:t>1</w:t>
            </w:r>
            <w:r>
              <w:rPr>
                <w:rFonts w:ascii="仿宋_GB2312" w:hAnsi="仿宋_GB2312" w:cs="仿宋_GB2312" w:eastAsia="仿宋_GB2312"/>
                <w:sz w:val="21"/>
              </w:rPr>
              <w:t>期信息价结合市场价计入。</w:t>
            </w:r>
          </w:p>
          <w:p>
            <w:pPr>
              <w:pStyle w:val="null3"/>
              <w:ind w:firstLine="210"/>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建设工程项目有关的标准、规范、图集、技术资料。</w:t>
            </w:r>
          </w:p>
          <w:p>
            <w:pPr>
              <w:pStyle w:val="null3"/>
              <w:ind w:firstLine="210"/>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常规施工组织设计及施工方法。</w:t>
            </w:r>
          </w:p>
          <w:p>
            <w:pPr>
              <w:pStyle w:val="null3"/>
              <w:ind w:firstLine="21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该项目无暂列金。</w:t>
            </w:r>
          </w:p>
          <w:p>
            <w:pPr>
              <w:pStyle w:val="null3"/>
              <w:jc w:val="both"/>
            </w:pPr>
            <w:r>
              <w:rPr>
                <w:rFonts w:ascii="仿宋_GB2312" w:hAnsi="仿宋_GB2312" w:cs="仿宋_GB2312" w:eastAsia="仿宋_GB2312"/>
                <w:sz w:val="21"/>
                <w:b/>
              </w:rPr>
              <w:t>三、其他说明：</w:t>
            </w:r>
          </w:p>
          <w:p>
            <w:pPr>
              <w:pStyle w:val="null3"/>
              <w:ind w:firstLine="210"/>
              <w:jc w:val="both"/>
            </w:pPr>
            <w:r>
              <w:rPr>
                <w:rFonts w:ascii="仿宋_GB2312" w:hAnsi="仿宋_GB2312" w:cs="仿宋_GB2312" w:eastAsia="仿宋_GB2312"/>
                <w:sz w:val="21"/>
              </w:rPr>
              <w:t>1.</w:t>
            </w:r>
            <w:r>
              <w:rPr>
                <w:rFonts w:ascii="仿宋_GB2312" w:hAnsi="仿宋_GB2312" w:cs="仿宋_GB2312" w:eastAsia="仿宋_GB2312"/>
                <w:sz w:val="21"/>
              </w:rPr>
              <w:t>计价软件：本工程量清单采用广联达计价软件</w:t>
            </w:r>
            <w:r>
              <w:rPr>
                <w:rFonts w:ascii="仿宋_GB2312" w:hAnsi="仿宋_GB2312" w:cs="仿宋_GB2312" w:eastAsia="仿宋_GB2312"/>
                <w:sz w:val="21"/>
              </w:rPr>
              <w:t>GCCP7.0</w:t>
            </w:r>
            <w:r>
              <w:rPr>
                <w:rFonts w:ascii="仿宋_GB2312" w:hAnsi="仿宋_GB2312" w:cs="仿宋_GB2312" w:eastAsia="仿宋_GB2312"/>
                <w:sz w:val="21"/>
              </w:rPr>
              <w:t>中的清单计价模式编制，软件版本陕西（</w:t>
            </w:r>
            <w:r>
              <w:rPr>
                <w:rFonts w:ascii="仿宋_GB2312" w:hAnsi="仿宋_GB2312" w:cs="仿宋_GB2312" w:eastAsia="仿宋_GB2312"/>
                <w:sz w:val="21"/>
              </w:rPr>
              <w:t>7.5000.23.2</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编制范围：采购人明确的全部工程内容，具体详见工程量清单及图纸。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供应商须具备电子与智能化工程专业承包二级或以上资质，并具有有效的安全生产许可证。</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拟派项目经理须具备机电工程专业二级或以上注册建造师资格证书，并具有有效的安全生产考核合格证，在本单位注册且无在建工程（提供无在建项目承诺书）；</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年度或2025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法定代表人授权书（附法定代表人、被授权人身份证复印件及授权代表在本单位缴纳社保的证明），法定代表人直接参加磋商，须提供法定代表人身份证明、法定代表人身份证复印件及在本单位缴纳社保的证明；</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国家企业信用信息公示系统（https://www.gsxt.gov.cn/index.html）”中营业执照信息及股东及出资信息截图）。</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将拒绝其参与政府采购活动，查询结果以纸质方式留存）。</w:t>
            </w:r>
          </w:p>
        </w:tc>
        <w:tc>
          <w:tcPr>
            <w:tcW w:type="dxa" w:w="1661"/>
          </w:tcPr>
          <w:p>
            <w:pPr>
              <w:pStyle w:val="null3"/>
            </w:pPr>
            <w:r>
              <w:rPr>
                <w:rFonts w:ascii="仿宋_GB2312" w:hAnsi="仿宋_GB2312" w:cs="仿宋_GB2312" w:eastAsia="仿宋_GB2312"/>
              </w:rPr>
              <w:t>资格证明文件资料.docx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首次磋商报价一览表.docx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符合“磋商响应文件格式”签署、盖章要求</w:t>
            </w:r>
          </w:p>
        </w:tc>
        <w:tc>
          <w:tcPr>
            <w:tcW w:type="dxa" w:w="1661"/>
          </w:tcPr>
          <w:p>
            <w:pPr>
              <w:pStyle w:val="null3"/>
            </w:pPr>
            <w:r>
              <w:rPr>
                <w:rFonts w:ascii="仿宋_GB2312" w:hAnsi="仿宋_GB2312" w:cs="仿宋_GB2312" w:eastAsia="仿宋_GB2312"/>
              </w:rPr>
              <w:t>资格证明文件资料.docx 中小企业声明函 承诺书.docx 商务、技术偏离表.docx 响应文件封面 首次磋商报价一览表.docx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资格证明文件资料.docx 中小企业声明函 承诺书.docx 技术服务合同条款及其他商务要求应答表 商务、技术偏离表.docx 强制优先采购产品承诺函 响应文件封面 首次磋商报价一览表.docx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首次磋商报价一览表.docx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首次磋商报价一览表.docx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首次磋商报价一览表.docx 报价函 标的清单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应符合本项目工程量清单的要求</w:t>
            </w:r>
          </w:p>
        </w:tc>
        <w:tc>
          <w:tcPr>
            <w:tcW w:type="dxa" w:w="1661"/>
          </w:tcPr>
          <w:p>
            <w:pPr>
              <w:pStyle w:val="null3"/>
            </w:pPr>
            <w:r>
              <w:rPr>
                <w:rFonts w:ascii="仿宋_GB2312" w:hAnsi="仿宋_GB2312" w:cs="仿宋_GB2312" w:eastAsia="仿宋_GB2312"/>
              </w:rPr>
              <w:t>已标价工程量清单.docx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供应商认为需要提交的其他资料.docx 报价函 技术服务合同条款及其他商务要求应答表 商务、技术偏离表.docx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供应商针对本项目编制完善的工程质量技术组织措施，内容包含但不限于1.质量目标管理体系；2.施工质量的检验制度；3.确保质量的技术组织措施；4.材料储存方案。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于:1.安全文明施工目标及施工现场的临时管理措施；2.文明施工保障措施；3.环境保护管理体系；4.环保控制措施，污染物及废弃物处理的排放噪音控制、防尘及扬尘的控制措施。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供应商针对本项目编制完善的安全生产的技术组织措施，内容包含但不于:1.安全管理体系；2.安全责任归属划分；3.安全标识:安全警戒标语施工人员安全警示服和安全帽穿配要求；4.安全教育培训。 评审及赋分标准：1、内容全面详细、条理清晰、措施合理具体，每项得1.5分;2、内容不够全面详细、条理不清晰、措施不具体，每项得0.5分;3、内容有缺项，按评审内容，缺1项扣1.5分，扣完为止。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供应商针对本项目编制完善的工期的技术组织措施，内容包含但不限于:1.施工组织与工期保证措施；2.特殊情况保证:夜间、雨季、高温等情况。 评审及赋分标准：1、内容全面详细、条理清晰、措施合理具体，每项得3分;2、内容不够全面详细、条理不清晰、措施不具体，每项得1.5分;3、内容有缺项，按评审内容，缺1项扣3分，扣完为止。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供应商针对本项目编制完善的施工方案，内容包含但不限于:1.具体施工内容；2.施工次序；3.施工方法(工艺)；4.成品保护措施。 评审及赋分标准：1、内容全面详细、条理清晰、措施合理具体，每项得3分；2、内容不够全面详细、条理不清晰、措施不具体，每项得1.5分；3、内容有缺项，按评审内容，缺1项扣3分，扣完为止。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供应商针对本项目编制完善的施工机械及材料投入计划，内容包含但不限于:1.拟投入的主要施工机械设备计划；2.主要材料进场计划。 评审及赋分标准：1、内容全面详细、条理清晰、措施合理具体，每项得3分；2、内容不够全面详细、条理不清晰、措施不具体，每项得1.5分；3、内容有缺项，按评审内容，缺1项扣3分，扣完为止。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供应商针对本项目编制完善的施工进度网络图或施工进度表，内容包含但不限于:1、施工总进度:施工进度目标和施工总进度计划表/图；2、施工进度保障措施。 评审及赋分标准：1、内容全面详细、条理清晰、措施合理具体，每项得3分；2、内容不够全面详细、条理不清晰、措施不具体，每项得1.5分；3、内容有缺项，按评审内容，缺1项扣3分，扣完为止。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劳动力安排计划及分包情况</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供应商针对本项目编制完善的劳动力安排计划及劳务分包情况，内容包含但不限于：1、劳动力投入计划；2、劳务分包情况；3、劳动力保障措施。 评审及赋分标准：1、内容全面详细、条理清晰、措施合理具体，每项得2分；2、内容不够全面详细、条理不清晰、措施不具体，每项得1分；3、内容有缺项，按评审内容，缺1项扣2分，扣完为止。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1、项目成员配置清单及架构；2、项目组配备人员的专业素质、人员构成（施工员、资料员、质量员、材料员、安全员为基本配置），满足基本配置得分，缺少任意人员配备本项不得分；3、项目成员的主要职责及工作内容。 评审及赋分标准：1、内容全面详细、条理清晰、措施合理具体，每项得2分；2、内容不够全面详细、条理不清晰、措施不具体，每项得1分；3、内容有缺项，按评审内容，缺1项扣2分，扣完为止。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供应商具有2023年1月至今的类似项目业绩，业绩内容须与本次招标的项目内容类似。 评审及赋分标准：类似项目业绩以合同签订时间为准，须在磋商响应文件中提供合同复印件需加盖供应商公章，每个业绩合同得2分，满分4分。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供应商针对本项目编制完善的服务承诺，内容包含但不限于:1、对竞争性磋商文件和合同条款的响应承诺；2、针对本项目实际需求提供实质性服务承诺及保障措施；3、针对本项目的施工验收后期的质保承诺。 评审及赋分标准：1、内容全面详细、条理清晰、措施合理具体，每项得2分;2、内容不够全面详细、条理不清晰、措施不具体，每项得1分；3、内容有缺项，按评审内容，缺1项扣2分，扣完为止。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 ×30的公式计算得分。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首次磋商报价一览表.docx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详见附件：首次磋商报价一览表.docx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详见附件：第8章 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