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已标价工程量清单</w:t>
      </w:r>
    </w:p>
    <w:p w14:paraId="63B14A5D">
      <w:pPr>
        <w:jc w:val="center"/>
        <w:rPr>
          <w:b/>
          <w:bCs/>
          <w:sz w:val="32"/>
          <w:szCs w:val="36"/>
        </w:rPr>
      </w:pPr>
    </w:p>
    <w:p w14:paraId="7BE95386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.已标价工程量清单应按工程量清单报价相关要求进行填报；</w:t>
      </w:r>
    </w:p>
    <w:p w14:paraId="41362614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.已标价工程量清单的扉页(仅指投标总价扉页)应由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注册或登记</w:t>
      </w:r>
      <w:r>
        <w:rPr>
          <w:rFonts w:hint="eastAsia" w:ascii="宋体" w:hAnsi="宋体" w:cs="宋体"/>
          <w:sz w:val="28"/>
          <w:szCs w:val="28"/>
        </w:rPr>
        <w:t>的造价人员签字并盖执业印章；</w:t>
      </w:r>
    </w:p>
    <w:p w14:paraId="555FA468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.已标价工程量清单原件扫描成PDF格式，以附件形式上传，作为响应文件的组成部分。</w:t>
      </w:r>
    </w:p>
    <w:p w14:paraId="51875C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418D18F3"/>
    <w:rsid w:val="63747888"/>
    <w:rsid w:val="679D9187"/>
    <w:rsid w:val="75F61A9A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1</Lines>
  <Paragraphs>1</Paragraphs>
  <TotalTime>0</TotalTime>
  <ScaleCrop>false</ScaleCrop>
  <LinksUpToDate>false</LinksUpToDate>
  <CharactersWithSpaces>165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陕西省政府采购综合管理平台</dc:creator>
  <cp:lastModifiedBy>愿你被温柔所待</cp:lastModifiedBy>
  <dcterms:modified xsi:type="dcterms:W3CDTF">2026-05-07T02:29:41Z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eyJoZGlkIjoiYjJiOTQxM2IyYzY1MTlkYmNkNTE1NmFmM2Y0NmQwMmMiLCJ1c2VySWQiOiIyODc5ODQ3MTMifQ==</vt:lpwstr>
  </property>
  <property fmtid="{D5CDD505-2E9C-101B-9397-08002B2CF9AE}" pid="4" name="ICV">
    <vt:lpwstr>8574A31DDE174B0AB36290507CC0CC3E_12</vt:lpwstr>
  </property>
</Properties>
</file>