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版本号：ZACG2026-00320260820005</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三秦智医助理系统终端设备采购项目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ZACG2026-003</w:t>
      </w:r>
      <w:r>
        <w:br/>
      </w:r>
      <w:r>
        <w:br/>
      </w:r>
      <w:r>
        <w:br/>
      </w:r>
    </w:p>
    <w:p>
      <w:pPr>
        <w:pStyle w:val="null3"/>
        <w:jc w:val="center"/>
        <w:outlineLvl w:val="2"/>
      </w:pPr>
      <w:r>
        <w:rPr>
          <w:rFonts w:ascii="仿宋_GB2312" w:hAnsi="仿宋_GB2312" w:cs="仿宋_GB2312" w:eastAsia="仿宋_GB2312"/>
          <w:sz w:val="28"/>
          <w:b/>
        </w:rPr>
        <w:t>镇安县永乐街道办事处中心卫生院</w:t>
      </w:r>
    </w:p>
    <w:p>
      <w:pPr>
        <w:pStyle w:val="null3"/>
        <w:jc w:val="center"/>
        <w:outlineLvl w:val="2"/>
      </w:pPr>
      <w:r>
        <w:rPr>
          <w:rFonts w:ascii="仿宋_GB2312" w:hAnsi="仿宋_GB2312" w:cs="仿宋_GB2312" w:eastAsia="仿宋_GB2312"/>
          <w:sz w:val="28"/>
          <w:b/>
        </w:rPr>
        <w:t>镇安县政府采购中心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镇安县政府采购中心</w:t>
      </w:r>
      <w:r>
        <w:rPr>
          <w:rFonts w:ascii="仿宋_GB2312" w:hAnsi="仿宋_GB2312" w:cs="仿宋_GB2312" w:eastAsia="仿宋_GB2312"/>
        </w:rPr>
        <w:t>（以下简称“代理机构”）受</w:t>
      </w:r>
      <w:r>
        <w:rPr>
          <w:rFonts w:ascii="仿宋_GB2312" w:hAnsi="仿宋_GB2312" w:cs="仿宋_GB2312" w:eastAsia="仿宋_GB2312"/>
        </w:rPr>
        <w:t>镇安县永乐街道办事处中心卫生院</w:t>
      </w:r>
      <w:r>
        <w:rPr>
          <w:rFonts w:ascii="仿宋_GB2312" w:hAnsi="仿宋_GB2312" w:cs="仿宋_GB2312" w:eastAsia="仿宋_GB2312"/>
        </w:rPr>
        <w:t>委托，拟对</w:t>
      </w:r>
      <w:r>
        <w:rPr>
          <w:rFonts w:ascii="仿宋_GB2312" w:hAnsi="仿宋_GB2312" w:cs="仿宋_GB2312" w:eastAsia="仿宋_GB2312"/>
        </w:rPr>
        <w:t>三秦智医助理系统终端设备采购项目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ZACG2026-003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三秦智医助理系统终端设备采购项目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落实省、市、县智慧医疗建设工作部署，保障三秦智医省级平台在我院平稳落地、规范运行，实现医疗数据互联互通、业务全流程闭环管理、医保结算高效协同，提升基层医疗信息化服务水平，结合我院现有系统运行、硬件配置现状及省级平台运行标准,本项目为三秦智医系统上线刚性刚需项目,事关省级平台按期落地、全院核心业务正常运转及医保合规管理。具体采购内容为计算机70台；打印机10台；具体参数详见采购需求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镇安县永乐街道办事处中心卫生院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镇安县永乐街道办事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刘小花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0914-5361585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镇安县政府采购中心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陕西省商洛市镇安县镇安县财政综合大楼7楼709室）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张仕现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0914-5326567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采购包1：356,700.00元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货物</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货物</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货物</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镇安县永乐街道办事处中心卫生院</w:t>
      </w:r>
      <w:r>
        <w:rPr>
          <w:rFonts w:ascii="仿宋_GB2312" w:hAnsi="仿宋_GB2312" w:cs="仿宋_GB2312" w:eastAsia="仿宋_GB2312"/>
        </w:rPr>
        <w:t>和</w:t>
      </w:r>
      <w:r>
        <w:rPr>
          <w:rFonts w:ascii="仿宋_GB2312" w:hAnsi="仿宋_GB2312" w:cs="仿宋_GB2312" w:eastAsia="仿宋_GB2312"/>
        </w:rPr>
        <w:t>镇安县政府采购中心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镇安县永乐街道办事处中心卫生院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镇安县政府采购中心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镇安县永乐街道办事处中心卫生院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镇安县政府采购中心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甲方的正常使用，采购人有权单方解除本合同，供应商应无条件向采购人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产品经采购人根据合同要求，进行验收，确认规格、质量和数量。当满足以下条件时，采购人才向中标供应商签发货物验收报告： （一）满足招标、响应文件、数量、技术规格、性能要求； （二）货物符合国家相应的标准、规范； （三）货物具备产品合格证。</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镇安县永乐街道办事处中心卫生院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镇安县政府采购中心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镇安县政府采购中心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联系人：刘小花</w:t>
      </w:r>
    </w:p>
    <w:p>
      <w:pPr>
        <w:pStyle w:val="null3"/>
      </w:pPr>
      <w:r>
        <w:rPr>
          <w:rFonts w:ascii="仿宋_GB2312" w:hAnsi="仿宋_GB2312" w:cs="仿宋_GB2312" w:eastAsia="仿宋_GB2312"/>
        </w:rPr>
        <w:t>联系电话：09145361585</w:t>
      </w:r>
    </w:p>
    <w:p>
      <w:pPr>
        <w:pStyle w:val="null3"/>
      </w:pPr>
      <w:r>
        <w:rPr>
          <w:rFonts w:ascii="仿宋_GB2312" w:hAnsi="仿宋_GB2312" w:cs="仿宋_GB2312" w:eastAsia="仿宋_GB2312"/>
        </w:rPr>
        <w:t>地址：镇安县县河</w:t>
      </w:r>
    </w:p>
    <w:p>
      <w:pPr>
        <w:pStyle w:val="null3"/>
      </w:pPr>
      <w:r>
        <w:rPr>
          <w:rFonts w:ascii="仿宋_GB2312" w:hAnsi="仿宋_GB2312" w:cs="仿宋_GB2312" w:eastAsia="仿宋_GB2312"/>
        </w:rPr>
        <w:t>邮编：711500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联系人：张仕现</w:t>
      </w:r>
    </w:p>
    <w:p>
      <w:pPr>
        <w:pStyle w:val="null3"/>
      </w:pPr>
      <w:r>
        <w:rPr>
          <w:rFonts w:ascii="仿宋_GB2312" w:hAnsi="仿宋_GB2312" w:cs="仿宋_GB2312" w:eastAsia="仿宋_GB2312"/>
        </w:rPr>
        <w:t>联系电话：09145326567</w:t>
      </w:r>
    </w:p>
    <w:p>
      <w:pPr>
        <w:pStyle w:val="null3"/>
      </w:pPr>
      <w:r>
        <w:rPr>
          <w:rFonts w:ascii="仿宋_GB2312" w:hAnsi="仿宋_GB2312" w:cs="仿宋_GB2312" w:eastAsia="仿宋_GB2312"/>
        </w:rPr>
        <w:t>地址：陕西省商洛市镇安县财政综合办公楼7楼709室</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省、市、县智慧医疗建设工作部署，保障三秦智医省级平台在我院平稳落地、规范运行，实现医疗数据互联互通、业务全流程闭环管理、医保结算高效协同，提升基层医疗信息化服务水平，结合我院现有系统运行、硬件配置现状及省级平台运行标准,本项目为三秦智医系统上线刚性刚需项目,事关省级平台按期落地、全院核心业务正常运转及医保合规管理。具体采购内容为计算机70台；打印机10台；具体参数详见采购文件采购需求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356,700.00</w:t>
      </w:r>
    </w:p>
    <w:p>
      <w:pPr>
        <w:pStyle w:val="null3"/>
      </w:pPr>
      <w:r>
        <w:rPr>
          <w:rFonts w:ascii="仿宋_GB2312" w:hAnsi="仿宋_GB2312" w:cs="仿宋_GB2312" w:eastAsia="仿宋_GB2312"/>
        </w:rPr>
        <w:t>采购包最高限价（元）: 356,700.00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计算机及打印机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356,700.00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标的名称：计算机及打印机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0" w:after="150"/>
              <w:jc w:val="both"/>
            </w:pPr>
            <w:r>
              <w:rPr>
                <w:rFonts w:ascii="仿宋_GB2312" w:hAnsi="仿宋_GB2312" w:cs="仿宋_GB2312" w:eastAsia="仿宋_GB2312"/>
                <w:sz w:val="24"/>
              </w:rPr>
              <w:t>镇安县永乐街道中心卫生院三秦智医助理系统终端设备升级采购参数</w:t>
            </w:r>
            <w:r>
              <w:br/>
            </w:r>
            <w:r>
              <w:rPr>
                <w:rFonts w:ascii="仿宋_GB2312" w:hAnsi="仿宋_GB2312" w:cs="仿宋_GB2312" w:eastAsia="仿宋_GB2312"/>
              </w:rPr>
              <w:t xml:space="preserve">  </w:t>
            </w:r>
            <w:r>
              <w:rPr>
                <w:rFonts w:ascii="仿宋_GB2312" w:hAnsi="仿宋_GB2312" w:cs="仿宋_GB2312" w:eastAsia="仿宋_GB2312"/>
                <w:sz w:val="24"/>
                <w:b/>
              </w:rPr>
              <w:t>一、台式电脑具体购置电脑参数及相关要求如下：</w:t>
            </w:r>
            <w:r>
              <w:br/>
            </w:r>
            <w:r>
              <w:rPr>
                <w:rFonts w:ascii="仿宋_GB2312" w:hAnsi="仿宋_GB2312" w:cs="仿宋_GB2312" w:eastAsia="仿宋_GB2312"/>
                <w:sz w:val="24"/>
              </w:rPr>
              <w:t xml:space="preserve"> </w:t>
            </w:r>
            <w:r>
              <w:rPr>
                <w:rFonts w:ascii="仿宋_GB2312" w:hAnsi="仿宋_GB2312" w:cs="仿宋_GB2312" w:eastAsia="仿宋_GB2312"/>
                <w:sz w:val="24"/>
              </w:rPr>
              <w:t>1.CPU:国产处理器，≥8核，主频≥2.6GHz,TDP功耗≤75W</w:t>
            </w:r>
            <w:r>
              <w:br/>
            </w:r>
            <w:r>
              <w:rPr>
                <w:rFonts w:ascii="仿宋_GB2312" w:hAnsi="仿宋_GB2312" w:cs="仿宋_GB2312" w:eastAsia="仿宋_GB2312"/>
                <w:sz w:val="24"/>
              </w:rPr>
              <w:t xml:space="preserve"> </w:t>
            </w:r>
            <w:r>
              <w:rPr>
                <w:rFonts w:ascii="仿宋_GB2312" w:hAnsi="仿宋_GB2312" w:cs="仿宋_GB2312" w:eastAsia="仿宋_GB2312"/>
                <w:sz w:val="24"/>
              </w:rPr>
              <w:t>2.内存:≥16GB 3200MHz DDR4内存，内存插槽*2，可扩展到32G内存</w:t>
            </w:r>
            <w:r>
              <w:br/>
            </w:r>
            <w:r>
              <w:rPr>
                <w:rFonts w:ascii="仿宋_GB2312" w:hAnsi="仿宋_GB2312" w:cs="仿宋_GB2312" w:eastAsia="仿宋_GB2312"/>
                <w:sz w:val="24"/>
              </w:rPr>
              <w:t xml:space="preserve"> </w:t>
            </w:r>
            <w:r>
              <w:rPr>
                <w:rFonts w:ascii="仿宋_GB2312" w:hAnsi="仿宋_GB2312" w:cs="仿宋_GB2312" w:eastAsia="仿宋_GB2312"/>
                <w:sz w:val="24"/>
              </w:rPr>
              <w:t>3.显卡：</w:t>
            </w:r>
            <w:r>
              <w:rPr>
                <w:rFonts w:ascii="仿宋_GB2312" w:hAnsi="仿宋_GB2312" w:cs="仿宋_GB2312" w:eastAsia="仿宋_GB2312"/>
                <w:sz w:val="24"/>
                <w:color w:val="FF0000"/>
              </w:rPr>
              <w:t>集成或独立显卡均可</w:t>
            </w:r>
            <w:r>
              <w:rPr>
                <w:rFonts w:ascii="仿宋_GB2312" w:hAnsi="仿宋_GB2312" w:cs="仿宋_GB2312" w:eastAsia="仿宋_GB2312"/>
                <w:sz w:val="24"/>
                <w:color w:val="FF0000"/>
              </w:rPr>
              <w:t>。</w:t>
            </w:r>
            <w:r>
              <w:br/>
            </w:r>
            <w:r>
              <w:rPr>
                <w:rFonts w:ascii="仿宋_GB2312" w:hAnsi="仿宋_GB2312" w:cs="仿宋_GB2312" w:eastAsia="仿宋_GB2312"/>
                <w:sz w:val="24"/>
              </w:rPr>
              <w:t xml:space="preserve"> </w:t>
            </w:r>
            <w:r>
              <w:rPr>
                <w:rFonts w:ascii="仿宋_GB2312" w:hAnsi="仿宋_GB2312" w:cs="仿宋_GB2312" w:eastAsia="仿宋_GB2312"/>
                <w:sz w:val="24"/>
              </w:rPr>
              <w:t>4.声卡：集成声卡</w:t>
            </w:r>
            <w:r>
              <w:br/>
            </w:r>
            <w:r>
              <w:rPr>
                <w:rFonts w:ascii="仿宋_GB2312" w:hAnsi="仿宋_GB2312" w:cs="仿宋_GB2312" w:eastAsia="仿宋_GB2312"/>
                <w:sz w:val="24"/>
              </w:rPr>
              <w:t xml:space="preserve"> </w:t>
            </w:r>
            <w:r>
              <w:rPr>
                <w:rFonts w:ascii="仿宋_GB2312" w:hAnsi="仿宋_GB2312" w:cs="仿宋_GB2312" w:eastAsia="仿宋_GB2312"/>
                <w:sz w:val="24"/>
              </w:rPr>
              <w:t>5.硬盘：≥1T M.2接口 NVME SSD固态硬盘。</w:t>
            </w:r>
            <w:r>
              <w:br/>
            </w:r>
            <w:r>
              <w:rPr>
                <w:rFonts w:ascii="仿宋_GB2312" w:hAnsi="仿宋_GB2312" w:cs="仿宋_GB2312" w:eastAsia="仿宋_GB2312"/>
                <w:sz w:val="24"/>
              </w:rPr>
              <w:t xml:space="preserve"> </w:t>
            </w:r>
            <w:r>
              <w:rPr>
                <w:rFonts w:ascii="仿宋_GB2312" w:hAnsi="仿宋_GB2312" w:cs="仿宋_GB2312" w:eastAsia="仿宋_GB2312"/>
                <w:sz w:val="24"/>
              </w:rPr>
              <w:t>6.网卡：集成10/100/1000M以太网卡；</w:t>
            </w:r>
            <w:r>
              <w:br/>
            </w:r>
            <w:r>
              <w:rPr>
                <w:rFonts w:ascii="仿宋_GB2312" w:hAnsi="仿宋_GB2312" w:cs="仿宋_GB2312" w:eastAsia="仿宋_GB2312"/>
                <w:sz w:val="24"/>
              </w:rPr>
              <w:t xml:space="preserve"> </w:t>
            </w:r>
            <w:r>
              <w:rPr>
                <w:rFonts w:ascii="仿宋_GB2312" w:hAnsi="仿宋_GB2312" w:cs="仿宋_GB2312" w:eastAsia="仿宋_GB2312"/>
                <w:sz w:val="24"/>
              </w:rPr>
              <w:t>7.键盘鼠标：USB有线键盘鼠标，与主机同品牌</w:t>
            </w:r>
            <w:r>
              <w:br/>
            </w:r>
            <w:r>
              <w:rPr>
                <w:rFonts w:ascii="仿宋_GB2312" w:hAnsi="仿宋_GB2312" w:cs="仿宋_GB2312" w:eastAsia="仿宋_GB2312"/>
                <w:sz w:val="24"/>
              </w:rPr>
              <w:t xml:space="preserve"> </w:t>
            </w:r>
            <w:r>
              <w:rPr>
                <w:rFonts w:ascii="仿宋_GB2312" w:hAnsi="仿宋_GB2312" w:cs="仿宋_GB2312" w:eastAsia="仿宋_GB2312"/>
                <w:sz w:val="24"/>
              </w:rPr>
              <w:t>8.接口：≥8个USB接口（至少4个USB 3.0）</w:t>
            </w:r>
            <w:r>
              <w:rPr>
                <w:rFonts w:ascii="仿宋_GB2312" w:hAnsi="仿宋_GB2312" w:cs="仿宋_GB2312" w:eastAsia="仿宋_GB2312"/>
                <w:sz w:val="24"/>
              </w:rPr>
              <w:t>，</w:t>
            </w:r>
            <w:r>
              <w:rPr>
                <w:rFonts w:ascii="仿宋_GB2312" w:hAnsi="仿宋_GB2312" w:cs="仿宋_GB2312" w:eastAsia="仿宋_GB2312"/>
                <w:sz w:val="24"/>
                <w:color w:val="FF0000"/>
              </w:rPr>
              <w:t>显示</w:t>
            </w:r>
            <w:r>
              <w:rPr>
                <w:rFonts w:ascii="仿宋_GB2312" w:hAnsi="仿宋_GB2312" w:cs="仿宋_GB2312" w:eastAsia="仿宋_GB2312"/>
                <w:sz w:val="24"/>
                <w:color w:val="FF0000"/>
              </w:rPr>
              <w:t>输出</w:t>
            </w:r>
            <w:r>
              <w:rPr>
                <w:rFonts w:ascii="仿宋_GB2312" w:hAnsi="仿宋_GB2312" w:cs="仿宋_GB2312" w:eastAsia="仿宋_GB2312"/>
                <w:sz w:val="24"/>
                <w:color w:val="FF0000"/>
              </w:rPr>
              <w:t>接口</w:t>
            </w:r>
            <w:r>
              <w:rPr>
                <w:rFonts w:ascii="仿宋_GB2312" w:hAnsi="仿宋_GB2312" w:cs="仿宋_GB2312" w:eastAsia="仿宋_GB2312"/>
                <w:sz w:val="24"/>
                <w:color w:val="FF0000"/>
              </w:rPr>
              <w:t>≥2个，HDMI/DP/VGA可组合，至少含1个HDMI或DP</w:t>
            </w:r>
            <w:r>
              <w:rPr>
                <w:rFonts w:ascii="仿宋_GB2312" w:hAnsi="仿宋_GB2312" w:cs="仿宋_GB2312" w:eastAsia="仿宋_GB2312"/>
              </w:rPr>
              <w:t xml:space="preserve"> </w:t>
            </w:r>
            <w:r>
              <w:rPr>
                <w:rFonts w:ascii="仿宋_GB2312" w:hAnsi="仿宋_GB2312" w:cs="仿宋_GB2312" w:eastAsia="仿宋_GB2312"/>
                <w:sz w:val="24"/>
                <w:color w:val="FF0000"/>
              </w:rPr>
              <w:t>。</w:t>
            </w:r>
          </w:p>
          <w:p>
            <w:pPr>
              <w:pStyle w:val="null3"/>
              <w:spacing w:before="150" w:after="150"/>
              <w:ind w:firstLine="240"/>
              <w:jc w:val="both"/>
            </w:pPr>
            <w:r>
              <w:rPr>
                <w:rFonts w:ascii="仿宋_GB2312" w:hAnsi="仿宋_GB2312" w:cs="仿宋_GB2312" w:eastAsia="仿宋_GB2312"/>
                <w:sz w:val="24"/>
              </w:rPr>
              <w:t>9.显示器：≥23.8寸显示器</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10.电源：要求产品电源≤250W 。</w:t>
            </w:r>
            <w:r>
              <w:br/>
            </w:r>
            <w:r>
              <w:rPr>
                <w:rFonts w:ascii="仿宋_GB2312" w:hAnsi="仿宋_GB2312" w:cs="仿宋_GB2312" w:eastAsia="仿宋_GB2312"/>
                <w:sz w:val="24"/>
              </w:rPr>
              <w:t xml:space="preserve"> </w:t>
            </w:r>
            <w:r>
              <w:rPr>
                <w:rFonts w:ascii="仿宋_GB2312" w:hAnsi="仿宋_GB2312" w:cs="仿宋_GB2312" w:eastAsia="仿宋_GB2312"/>
                <w:sz w:val="24"/>
              </w:rPr>
              <w:t>11.硬盘数据保护功能：提供基于BIOS固件系统还原软件，还原具有安全、快速、保密性强、压缩率高、兼容性好等特点。</w:t>
            </w:r>
            <w:r>
              <w:br/>
            </w:r>
            <w:r>
              <w:rPr>
                <w:rFonts w:ascii="仿宋_GB2312" w:hAnsi="仿宋_GB2312" w:cs="仿宋_GB2312" w:eastAsia="仿宋_GB2312"/>
                <w:sz w:val="24"/>
              </w:rPr>
              <w:t xml:space="preserve"> </w:t>
            </w:r>
            <w:r>
              <w:rPr>
                <w:rFonts w:ascii="仿宋_GB2312" w:hAnsi="仿宋_GB2312" w:cs="仿宋_GB2312" w:eastAsia="仿宋_GB2312"/>
                <w:sz w:val="24"/>
              </w:rPr>
              <w:t>12.机箱：标准MATX立式机箱,机箱尺寸≥10L,维护便利性，支持免工具拆卸。</w:t>
            </w:r>
            <w:r>
              <w:br/>
            </w:r>
            <w:r>
              <w:rPr>
                <w:rFonts w:ascii="仿宋_GB2312" w:hAnsi="仿宋_GB2312" w:cs="仿宋_GB2312" w:eastAsia="仿宋_GB2312"/>
                <w:sz w:val="24"/>
              </w:rPr>
              <w:t xml:space="preserve"> </w:t>
            </w:r>
            <w:r>
              <w:rPr>
                <w:rFonts w:ascii="仿宋_GB2312" w:hAnsi="仿宋_GB2312" w:cs="仿宋_GB2312" w:eastAsia="仿宋_GB2312"/>
                <w:sz w:val="24"/>
              </w:rPr>
              <w:t>13.产品安全可靠性 ：MTBF不小于300000小时。</w:t>
            </w:r>
            <w:r>
              <w:br/>
            </w:r>
            <w:r>
              <w:rPr>
                <w:rFonts w:ascii="仿宋_GB2312" w:hAnsi="仿宋_GB2312" w:cs="仿宋_GB2312" w:eastAsia="仿宋_GB2312"/>
                <w:sz w:val="24"/>
              </w:rPr>
              <w:t xml:space="preserve"> </w:t>
            </w:r>
            <w:r>
              <w:rPr>
                <w:rFonts w:ascii="仿宋_GB2312" w:hAnsi="仿宋_GB2312" w:cs="仿宋_GB2312" w:eastAsia="仿宋_GB2312"/>
                <w:sz w:val="24"/>
              </w:rPr>
              <w:t>14.带永久激活的国产正版系统 。</w:t>
            </w:r>
            <w:r>
              <w:br/>
            </w:r>
            <w:r>
              <w:rPr>
                <w:rFonts w:ascii="仿宋_GB2312" w:hAnsi="仿宋_GB2312" w:cs="仿宋_GB2312" w:eastAsia="仿宋_GB2312"/>
                <w:sz w:val="24"/>
              </w:rPr>
              <w:t xml:space="preserve"> </w:t>
            </w:r>
            <w:r>
              <w:rPr>
                <w:rFonts w:ascii="仿宋_GB2312" w:hAnsi="仿宋_GB2312" w:cs="仿宋_GB2312" w:eastAsia="仿宋_GB2312"/>
                <w:sz w:val="24"/>
              </w:rPr>
              <w:t>15.整机质保期限：≥3年</w:t>
            </w:r>
            <w:r>
              <w:br/>
            </w:r>
            <w:r>
              <w:rPr>
                <w:rFonts w:ascii="仿宋_GB2312" w:hAnsi="仿宋_GB2312" w:cs="仿宋_GB2312" w:eastAsia="仿宋_GB2312"/>
              </w:rPr>
              <w:t xml:space="preserve">  </w:t>
            </w:r>
            <w:r>
              <w:rPr>
                <w:rFonts w:ascii="仿宋_GB2312" w:hAnsi="仿宋_GB2312" w:cs="仿宋_GB2312" w:eastAsia="仿宋_GB2312"/>
                <w:sz w:val="24"/>
                <w:b/>
              </w:rPr>
              <w:t>二、打印机</w:t>
            </w:r>
            <w:r>
              <w:rPr>
                <w:rFonts w:ascii="仿宋_GB2312" w:hAnsi="仿宋_GB2312" w:cs="仿宋_GB2312" w:eastAsia="仿宋_GB2312"/>
                <w:sz w:val="24"/>
                <w:b/>
                <w:color w:val="FF0000"/>
              </w:rPr>
              <w:t>参数要求</w:t>
            </w:r>
            <w:r>
              <w:br/>
            </w:r>
            <w:r>
              <w:rPr>
                <w:rFonts w:ascii="仿宋_GB2312" w:hAnsi="仿宋_GB2312" w:cs="仿宋_GB2312" w:eastAsia="仿宋_GB2312"/>
                <w:sz w:val="24"/>
              </w:rPr>
              <w:t xml:space="preserve"> </w:t>
            </w:r>
            <w:r>
              <w:rPr>
                <w:rFonts w:ascii="仿宋_GB2312" w:hAnsi="仿宋_GB2312" w:cs="仿宋_GB2312" w:eastAsia="仿宋_GB2312"/>
                <w:sz w:val="24"/>
              </w:rPr>
              <w:t>纸张尺寸：</w:t>
            </w:r>
            <w:r>
              <w:rPr>
                <w:rFonts w:ascii="仿宋_GB2312" w:hAnsi="仿宋_GB2312" w:cs="仿宋_GB2312" w:eastAsia="仿宋_GB2312"/>
                <w:sz w:val="24"/>
              </w:rPr>
              <w:t>A4.B5.A5.LGL.LTR.EXEC.信封.自定义；电源要求：220-240W(+10%)50/60Hz(+2Hz)；打印速度：每分钟≥14页(A4)；打印分辨率：600dpi*600dpi；内存(标准)：2MB(Hi-SCoA)；接口(标准)：USB2.0高速；支持操作系统：各种操作系统。</w:t>
            </w:r>
          </w:p>
          <w:p>
            <w:pPr>
              <w:pStyle w:val="null3"/>
              <w:spacing w:before="150" w:after="150"/>
              <w:jc w:val="both"/>
            </w:pPr>
            <w:r>
              <w:rPr>
                <w:rFonts w:ascii="仿宋_GB2312" w:hAnsi="仿宋_GB2312" w:cs="仿宋_GB2312" w:eastAsia="仿宋_GB2312"/>
                <w:b/>
              </w:rPr>
              <w:t>备注：</w:t>
            </w:r>
            <w:r>
              <w:rPr>
                <w:rFonts w:ascii="仿宋_GB2312" w:hAnsi="仿宋_GB2312" w:cs="仿宋_GB2312" w:eastAsia="仿宋_GB2312"/>
                <w:b/>
              </w:rPr>
              <w:t>1.本项目采购计算机70台、打印机10台。</w:t>
            </w:r>
          </w:p>
          <w:p>
            <w:pPr>
              <w:pStyle w:val="null3"/>
              <w:spacing w:before="150" w:after="150"/>
              <w:jc w:val="both"/>
            </w:pPr>
            <w:r>
              <w:rPr>
                <w:rFonts w:ascii="仿宋_GB2312" w:hAnsi="仿宋_GB2312" w:cs="仿宋_GB2312" w:eastAsia="仿宋_GB2312"/>
                <w:b/>
              </w:rPr>
              <w:t>2.本项目计算机为核心产品。</w:t>
            </w:r>
          </w:p>
          <w:p>
            <w:pPr>
              <w:pStyle w:val="null3"/>
              <w:ind w:firstLine="60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镇安县永乐街道中心卫生院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进度款，验收合格，支付全部货款。，达到付款条件起30个工作日内，支付合同总金额的100.0%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1、采购文件规格要求。 2、相关法律法规及行业标准。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1、整机质保期限：至少3年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1、按《合同法》中的相关条款执行。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实质性条款（须提供商务响应函，格式自拟，未提供响应函则视为无效投标） 1.供应商须响应：成交后提供的产品及配套产品，必须是合同规定厂家制造的、合格、全新、未曾使用的、且经过国家质检部门检验，并颁发了产品准销证的产品。 2.供应商须响应：提供质保期内的免费维保，并承诺在装机当天，免费为我单位提供软件资料。 3.供应商须响应：免费质保期为验收合格后3年，质保期内，出现问题24小时内及时响应解决。此间发生的一切费用由响应供应商自行承担。质保期满后继续提供维修服务，维修使用的备品备件及易损件应为原厂配件，更换易损件按成本价收费，维修费按市场价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财务状况报告：提供递交响应文件截止之日前两年内任意一个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 3、社保缴纳证明：提供递交响应文件截止之日前一年内任意一个月的社会保障资金缴存单据或社保机构开具的社会保险参保缴费情况证明。依法不需要缴纳社会保障资金的供应商应提供相关证明文件。 4、税收缴纳证明：提供递交响应文件截止之日前一年内任意一个月的依法缴纳税收的完税证明（时间以税款所属日期为准），完税证明应有税务机关或代收机关的公章或业务专用章。依法免税或无须缴纳税收的供应商，应提供相应证明文件。 5、信用记录：提供《供应商信用记录书面声明函》（按格式填写，提供原件）。经查，供应商未被列入“信用中国”网站记录的“失信被执行人”或“重大税收违法案件当事人”名单；不处于“中国政府采购网”记录的“政府采购严重违法失信行为信息记录名单”中的禁止参加政府采购活动期间。 6、控股管理关系：提供直接控股和管理关系清单。若与其他供应商存在单位负责人为同一人或者存在直接控股、管理关系的，则响应无效。 7、书面声明：提供书面声明，包括声明具有履行合同所必需的设备专业技术能力；未为本项目提供整体设计、规范编制或者项目管理、监理、检测等服务。 8、法定代表人授权委托书：法定代表人参加招标的，须提供本人身份证复印件（附在资格证明文件中）；法定代表人授权他人参加招标的，须提供法定代表人授权委托书。招标中凡是需要法定代表人盖章之处，非法人单位的负责人均参照执行。 法人的分支机构参与招标时，除提供《法定代表人授权委托书》外，还须同时提供法人给分支机构出具的授权书。 9、本项目不接受联合体投标，不允许分包。供应商提供《非联合体不分包投标声明》，视为独立投标，不分包。 备注： 1、以上资格要求均为必备资格，需提供相关证明文件并加盖供应商公章（如相关证明材料由第三方出具，应有第三方公章），缺少其中任何一项，其响应文件视为无效文件。 2、《供应商信用记录书面声明函》 、《法定代表人授权委托书》 、《书面声明》《非联合体不分包投标声明》应按给定的格式填写。 3、法人的分支机构参与投标时，响应文件中应附法人给分支机构出具的授权书。授权书附在《法定代表人授权委托书》后，如无授权，将被视为无效文件。法人只能授权一家分支机构参与投标，且不能与分支机构同时参与投标。 4、事业单位法人参与招标可不提供财务状况报告、社会保障资金缴纳证明及税收缴纳证明。</w:t>
            </w:r>
          </w:p>
        </w:tc>
        <w:tc>
          <w:tcPr>
            <w:tcW w:type="dxa" w:w="1661"/>
          </w:tcPr>
          <w:p>
            <w:pPr>
              <w:pStyle w:val="null3"/>
            </w:pPr>
            <w:r>
              <w:rPr>
                <w:rFonts w:ascii="仿宋_GB2312" w:hAnsi="仿宋_GB2312" w:cs="仿宋_GB2312" w:eastAsia="仿宋_GB2312"/>
              </w:rPr>
              <w:t>响应函 供应商提交相关资格证明文件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1、《关于在政府采购活动中查询及使用信用记录有关问题的通知》（财库〔2016〕125 号）。 2、《政府采购促进中小企业发展管理办法》（财库〔2020〕46 号）、 《关于政府采购支持监狱企业发展有关问题的通知》（财库〔2014〕68 号）以及《关于促进残疾人就业政府采购政策的通知》（财库〔2017〕141 号）。 3、国务院办公厅《关于建立政府强制采购节能产品制度的通知》（国办发〔2007〕51 号）、财政部、国家发改委、生态环境部、市场监管总局联合印发《关于调整优化节能产品、环境标志产品政府采购执行机制的通知》（财库〔2019〕9 号），财政部、发展改革委《关于印发节能产品政府采购品目清单的通知》（财库〔2019〕19号），财政部、生态环境部《关于印发环境标志产品政府采购品目清单的通知》（财库〔2019〕18号），国家确定的节能产品、环境标志产品认证机构详见市场监管总局《关于发布参与实施政府采购节能产品、环境标志产品认证机构名录的公告》（2019年第16号）。 4、《财政部 农业农村部 国家乡村振兴局关于运用政府采购政策支持乡村产业振兴的通知》（财库〔2021〕19 号）、《财政部 农业农村部国家乡村振兴局 中华全国供销合作总社关于印发&lt;关于深入开展政府采购脱贫地区农副产品工作推进乡村产业振兴的实施意见&gt;的通知》（财库〔2021〕20 号）。 5、《陕西省财政厅关于加快推进我省中小企业政府采购信用融资工作的通知》（陕财办采〔2020〕15 号）、陕西省财政厅关于印发《陕西省中小企业政府采购信用融资办法》（陕财办采〔2018〕23 号）。 6、详见《供应商须知》中“落实的政府采购政策”有关内容。</w:t>
            </w:r>
          </w:p>
        </w:tc>
        <w:tc>
          <w:tcPr>
            <w:tcW w:type="dxa" w:w="3322"/>
          </w:tcPr>
          <w:p>
            <w:pPr>
              <w:pStyle w:val="null3"/>
            </w:pPr>
            <w:r>
              <w:rPr>
                <w:rFonts w:ascii="仿宋_GB2312" w:hAnsi="仿宋_GB2312" w:cs="仿宋_GB2312" w:eastAsia="仿宋_GB2312"/>
              </w:rPr>
              <w:t>根据《工业和信息化部、国家统计局、国家发展和改革委员会、财政部关于印发中小企业划型标准规定的通知》（工信部联企业〔2011〕300号）对中小企业的划分标准的规定，本项目采购标的对应的所属行业为： 工业 （按照《工信部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备注：根据《政府采购促进中小企业发展管理办法》（财库〔2020〕46号）的有关规定，在货物采购项目中，货物由中小企业制造，即货物由中小企业生产且使用该中小企业商号或者注册商标；在工程采购项目中，工程由中小企业承建，即工程施工单位为中小企业；在服务采购项目中，服务由中小企业承接 即提供服务的人员为中小企业依照《中华人民共和国劳动合同法》订立劳动合同的从业人员，则参与政府采购活动时，享受中小企业扶持政策。在货物采购项目中，供应商提供的货物既有中小企业制造货物，也有大型企业制造货物的，不享受本办法规定的中小企业扶持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提供关于符合本国产品标准的声明函.</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 法定代表人授权委托书 三处的项目名称、项目 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 供应商提交相关资格证明文件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第一次投标报价表</w:t>
            </w:r>
          </w:p>
        </w:tc>
        <w:tc>
          <w:tcPr>
            <w:tcW w:type="dxa" w:w="3322"/>
          </w:tcPr>
          <w:p>
            <w:pPr>
              <w:pStyle w:val="null3"/>
            </w:pPr>
            <w:r>
              <w:rPr>
                <w:rFonts w:ascii="仿宋_GB2312" w:hAnsi="仿宋_GB2312" w:cs="仿宋_GB2312" w:eastAsia="仿宋_GB2312"/>
              </w:rPr>
              <w:t>（1）第一次投标报价表填写符合要求； （2）计量单位、报价货币均符合招标要求； （3）第一次投标报价未超出采购预算或招标规定的最高限价。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完全理解并接受对合格供应商、合格的货物、工程或服务要求，根据供应商响应文件《实质性条款要求》，结合谈判文件技术参数“★ ”标识的实质性要求完全响应。</w:t>
            </w:r>
          </w:p>
        </w:tc>
        <w:tc>
          <w:tcPr>
            <w:tcW w:type="dxa" w:w="1661"/>
          </w:tcPr>
          <w:p>
            <w:pPr>
              <w:pStyle w:val="null3"/>
            </w:pPr>
            <w:r>
              <w:rPr>
                <w:rFonts w:ascii="仿宋_GB2312" w:hAnsi="仿宋_GB2312" w:cs="仿宋_GB2312" w:eastAsia="仿宋_GB2312"/>
              </w:rPr>
              <w:t>产品技术参数表 其他材料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商务应答条款响应</w:t>
            </w:r>
          </w:p>
        </w:tc>
        <w:tc>
          <w:tcPr>
            <w:tcW w:type="dxa" w:w="3322"/>
          </w:tcPr>
          <w:p>
            <w:pPr>
              <w:pStyle w:val="null3"/>
            </w:pPr>
            <w:r>
              <w:rPr>
                <w:rFonts w:ascii="仿宋_GB2312" w:hAnsi="仿宋_GB2312" w:cs="仿宋_GB2312" w:eastAsia="仿宋_GB2312"/>
              </w:rPr>
              <w:t>有完全理解并接受谈判文件商务条款要求的描述。</w:t>
            </w:r>
          </w:p>
        </w:tc>
        <w:tc>
          <w:tcPr>
            <w:tcW w:type="dxa" w:w="1661"/>
          </w:tcPr>
          <w:p>
            <w:pPr>
              <w:pStyle w:val="null3"/>
            </w:pPr>
            <w:r>
              <w:rPr>
                <w:rFonts w:ascii="仿宋_GB2312" w:hAnsi="仿宋_GB2312" w:cs="仿宋_GB2312" w:eastAsia="仿宋_GB2312"/>
              </w:rPr>
              <w:t>商务条款响应表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无其他谈判或法规 明确规定响应无效的事 项</w:t>
            </w:r>
          </w:p>
        </w:tc>
        <w:tc>
          <w:tcPr>
            <w:tcW w:type="dxa" w:w="3322"/>
          </w:tcPr>
          <w:p>
            <w:pPr>
              <w:pStyle w:val="null3"/>
            </w:pPr>
            <w:r>
              <w:rPr>
                <w:rFonts w:ascii="仿宋_GB2312" w:hAnsi="仿宋_GB2312" w:cs="仿宋_GB2312" w:eastAsia="仿宋_GB2312"/>
              </w:rPr>
              <w:t>没有不符合谈判规定的被视为无效投标的其他条款。</w:t>
            </w:r>
          </w:p>
        </w:tc>
        <w:tc>
          <w:tcPr>
            <w:tcW w:type="dxa" w:w="1661"/>
          </w:tcPr>
          <w:p>
            <w:pPr>
              <w:pStyle w:val="null3"/>
            </w:pPr>
            <w:r>
              <w:rPr>
                <w:rFonts w:ascii="仿宋_GB2312" w:hAnsi="仿宋_GB2312" w:cs="仿宋_GB2312" w:eastAsia="仿宋_GB2312"/>
              </w:rPr>
              <w:t>产品技术参数表 其他材料 标的清单 报价表 供应商承诺书 响应函 商务条款响应表 供应商提交相关资格证明文件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详见附件：供应商提交相关资格证明文件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详见附件：商务条款响应表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