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990B3">
      <w:pPr>
        <w:kinsoku/>
        <w:wordWrap/>
        <w:overflowPunct/>
        <w:topLinePunct w:val="0"/>
        <w:autoSpaceDE/>
        <w:autoSpaceDN/>
        <w:bidi w:val="0"/>
        <w:spacing w:before="344" w:line="560" w:lineRule="exact"/>
        <w:jc w:val="center"/>
        <w:textAlignment w:val="auto"/>
        <w:outlineLvl w:val="0"/>
        <w:rPr>
          <w:rFonts w:hint="eastAsia" w:ascii="仿宋" w:hAnsi="仿宋" w:eastAsia="仿宋" w:cs="仿宋"/>
          <w:sz w:val="44"/>
          <w:szCs w:val="44"/>
          <w:lang w:eastAsia="zh-CN"/>
        </w:rPr>
      </w:pPr>
      <w:bookmarkStart w:id="0" w:name="_Toc30721"/>
      <w:bookmarkStart w:id="1" w:name="_Toc17796"/>
      <w:r>
        <w:rPr>
          <w:rFonts w:hint="eastAsia" w:ascii="仿宋" w:hAnsi="仿宋" w:eastAsia="仿宋" w:cs="仿宋"/>
          <w:spacing w:val="4"/>
          <w:sz w:val="44"/>
          <w:szCs w:val="44"/>
        </w:rPr>
        <w:t xml:space="preserve"> </w:t>
      </w:r>
      <w:bookmarkEnd w:id="0"/>
      <w:bookmarkEnd w:id="1"/>
      <w:r>
        <w:rPr>
          <w:rFonts w:hint="eastAsia" w:ascii="仿宋" w:hAnsi="仿宋" w:eastAsia="仿宋" w:cs="仿宋"/>
          <w:b/>
          <w:bCs/>
          <w:spacing w:val="4"/>
          <w:sz w:val="44"/>
          <w:szCs w:val="44"/>
          <w:lang w:eastAsia="zh-CN"/>
        </w:rPr>
        <w:t>合同草案条款（</w:t>
      </w:r>
      <w:r>
        <w:rPr>
          <w:rFonts w:hint="eastAsia" w:ascii="仿宋" w:hAnsi="仿宋" w:eastAsia="仿宋" w:cs="仿宋"/>
          <w:b/>
          <w:bCs/>
          <w:spacing w:val="4"/>
          <w:sz w:val="44"/>
          <w:szCs w:val="44"/>
          <w:lang w:val="en-US" w:eastAsia="zh-CN"/>
        </w:rPr>
        <w:t>参考格式</w:t>
      </w:r>
      <w:r>
        <w:rPr>
          <w:rFonts w:hint="eastAsia" w:ascii="仿宋" w:hAnsi="仿宋" w:eastAsia="仿宋" w:cs="仿宋"/>
          <w:b/>
          <w:bCs/>
          <w:spacing w:val="4"/>
          <w:sz w:val="44"/>
          <w:szCs w:val="44"/>
          <w:lang w:eastAsia="zh-CN"/>
        </w:rPr>
        <w:t>）</w:t>
      </w:r>
    </w:p>
    <w:p w14:paraId="606A5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2" w:name="_Toc26059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一 、交货条件</w:t>
      </w:r>
      <w:bookmarkEnd w:id="2"/>
    </w:p>
    <w:p w14:paraId="4D899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（一）交货地点：采购人指定地点</w:t>
      </w:r>
    </w:p>
    <w:p w14:paraId="2A9BF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（二）交货期：</w:t>
      </w:r>
      <w:r>
        <w:rPr>
          <w:rFonts w:hint="eastAsia" w:ascii="仿宋" w:hAnsi="仿宋" w:eastAsia="仿宋" w:cs="仿宋"/>
          <w:snapToGrid/>
          <w:sz w:val="28"/>
          <w:szCs w:val="28"/>
          <w:lang w:val="en-US" w:eastAsia="zh-CN"/>
        </w:rPr>
        <w:t>合同签订生效之日起30日历日</w:t>
      </w: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完中标货、安装、调试。</w:t>
      </w:r>
    </w:p>
    <w:p w14:paraId="5E17A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（三）质保期：验收合格后 3 年</w:t>
      </w:r>
    </w:p>
    <w:p w14:paraId="0EAD6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3" w:name="_Toc25906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二、合同价款</w:t>
      </w:r>
      <w:bookmarkEnd w:id="3"/>
    </w:p>
    <w:p w14:paraId="3393A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合同总价一次性包死，不受市场价格变化因素的影响。</w:t>
      </w:r>
    </w:p>
    <w:p w14:paraId="0F341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4" w:name="_Toc26229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三、款项结算</w:t>
      </w:r>
      <w:bookmarkEnd w:id="4"/>
    </w:p>
    <w:p w14:paraId="0395E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（一）支付方式 ：银行转账</w:t>
      </w:r>
    </w:p>
    <w:p w14:paraId="09C4B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（二）货币单位：人民币</w:t>
      </w:r>
    </w:p>
    <w:p w14:paraId="4B99D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（三）结算方式：</w:t>
      </w:r>
      <w:bookmarkStart w:id="18" w:name="_GoBack"/>
      <w:bookmarkEnd w:id="18"/>
    </w:p>
    <w:p w14:paraId="619D2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 w:val="0"/>
          <w:snapToGrid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/>
          <w:color w:val="auto"/>
          <w:sz w:val="28"/>
          <w:szCs w:val="28"/>
          <w:lang w:eastAsia="zh-CN"/>
        </w:rPr>
        <w:t xml:space="preserve">合同签订后10天内，采购人支付合同价款 </w:t>
      </w:r>
      <w:r>
        <w:rPr>
          <w:rFonts w:hint="eastAsia" w:ascii="仿宋" w:hAnsi="仿宋" w:eastAsia="仿宋" w:cs="仿宋"/>
          <w:b w:val="0"/>
          <w:bCs w:val="0"/>
          <w:snapToGrid/>
          <w:color w:val="auto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snapToGrid/>
          <w:color w:val="auto"/>
          <w:sz w:val="28"/>
          <w:szCs w:val="28"/>
          <w:lang w:eastAsia="zh-CN"/>
        </w:rPr>
        <w:t>%的预付款，自验收合格之日起30日内支付剩余款项（具体支付事宜由采购人与中标供应商商定）。</w:t>
      </w:r>
    </w:p>
    <w:p w14:paraId="67881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5" w:name="_Toc25466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四、在签订合同前，中标供应商应按照招标第四章《采购内容及</w:t>
      </w:r>
      <w:bookmarkEnd w:id="5"/>
    </w:p>
    <w:p w14:paraId="1D310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采购要求》中所有承诺事项要求落实 ，如未在规定时限内按要求完成所承  诺事项的，则视为主动放弃中标资格。</w:t>
      </w:r>
    </w:p>
    <w:p w14:paraId="30509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6" w:name="_Toc11376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五、运输及包装</w:t>
      </w:r>
      <w:bookmarkEnd w:id="6"/>
    </w:p>
    <w:p w14:paraId="51762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（一）运输由中标供应商负责，运杂费已包含在合同总价内。</w:t>
      </w:r>
    </w:p>
    <w:p w14:paraId="41D81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运输方式由中标供应商自行选择，保证采购人收到的是无任何损伤的货物，否则，因此造成的损失由中标供应商自行承担。同时，中标供应商必须保证如期交付，不得断货，否则，因断货造成的损失由中标供应商负责赔偿。</w:t>
      </w:r>
    </w:p>
    <w:p w14:paraId="759F0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（三）中标供应商提供的产品及相关快递服务的包装要求，按照《商品包装政府采购需求标准（试行）》、《快递包装政府采购需求标准（试 行）》执行。</w:t>
      </w:r>
    </w:p>
    <w:p w14:paraId="2FEAC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（四）货物到达采购人指定地点后，中标供应商应按有关技术规程和采购人要求进行存放和保管。</w:t>
      </w:r>
    </w:p>
    <w:p w14:paraId="5310C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</w:p>
    <w:p w14:paraId="6D5F6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7" w:name="_Toc2604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六、产品保修期（三包期）内 ，修理 、更换 、退货要求</w:t>
      </w:r>
      <w:bookmarkEnd w:id="7"/>
    </w:p>
    <w:p w14:paraId="3CADA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bookmarkStart w:id="8" w:name="_Toc7442"/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（一）中标供应商的产品质量应当符合国家行业规定的标准，并无任</w:t>
      </w:r>
      <w:bookmarkEnd w:id="8"/>
    </w:p>
    <w:p w14:paraId="5ED0E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何瑕疵；中标供应商应按配置清单要求提供原装全新产品（包括零配件），对该产品实行三包（即包修 、包退 、包换）。</w:t>
      </w:r>
    </w:p>
    <w:p w14:paraId="1ED13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bookmarkStart w:id="9" w:name="_Toc7745"/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（二）如交付品种、型号、规格不符合同约定的，由中标供应商负责</w:t>
      </w:r>
      <w:bookmarkEnd w:id="9"/>
    </w:p>
    <w:p w14:paraId="03D1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退换，由此产生的一切费用及给采购人造成的相关损失由中标供应商全部 承担并赔偿相应损失。</w:t>
      </w:r>
    </w:p>
    <w:p w14:paraId="6E8DA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bookmarkStart w:id="10" w:name="_Toc29308"/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（三）如不能修理或者不能调换的，按不能交货处理，因此给采购人 造成的所有经济损失中标供应商应予赔偿。</w:t>
      </w:r>
      <w:bookmarkEnd w:id="10"/>
    </w:p>
    <w:p w14:paraId="78F3E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bookmarkStart w:id="11" w:name="_Toc7715"/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（四）如因该产品本身的质量原因而在使用过程中造成的任何事故纠纷，由中标供应商全额负责赔偿。</w:t>
      </w:r>
      <w:bookmarkEnd w:id="11"/>
    </w:p>
    <w:p w14:paraId="0CA4D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12" w:name="_Toc21272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七、验收</w:t>
      </w:r>
      <w:bookmarkEnd w:id="12"/>
    </w:p>
    <w:p w14:paraId="3F057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产品经采购人根据合同要求，进行验收，确认规格、质量和数量。当满足以下条件时，采购人才向中标供应商签发货物验收报告：</w:t>
      </w:r>
    </w:p>
    <w:p w14:paraId="3F3D6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（一）满足招标、响应文件、数量、技术规格、性能要求；</w:t>
      </w:r>
    </w:p>
    <w:p w14:paraId="160C8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（二）货物符合国家相应的标准、规范；</w:t>
      </w:r>
    </w:p>
    <w:p w14:paraId="58613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（三）货物具备产品合格证。</w:t>
      </w:r>
    </w:p>
    <w:p w14:paraId="725ED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13" w:name="_Toc14765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八 、违约责任</w:t>
      </w:r>
      <w:bookmarkEnd w:id="13"/>
    </w:p>
    <w:p w14:paraId="0E2F0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（一）按《中华人民共和国民法典》中的相关条款执行。</w:t>
      </w:r>
    </w:p>
    <w:p w14:paraId="63125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（二）未按合同要求提供服务或服务质量不能满足合同要求，采购人有权依据《中华人民共和国民法典》有关条款及合同约定终止合同，并要求中标供应商承担违约责任。</w:t>
      </w:r>
    </w:p>
    <w:p w14:paraId="376F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（三）中标供应商未按合同约定的交货日期交货的，每逾期一日，向    采购人支付逾期交付货物价款的1%的违约金，但不超过合同总金额的10%。 中标供应商支付逾期交货违约金并不免除其交货的责任。</w:t>
      </w:r>
    </w:p>
    <w:p w14:paraId="531CC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 xml:space="preserve">（四）如中标供应商在政府采购合同规定的交货日期后 </w:t>
      </w:r>
      <w:r>
        <w:rPr>
          <w:rFonts w:hint="eastAsia" w:ascii="仿宋" w:hAnsi="仿宋" w:eastAsia="仿宋" w:cs="仿宋"/>
          <w:snapToGrid/>
          <w:sz w:val="28"/>
          <w:szCs w:val="28"/>
          <w:lang w:val="en-US" w:eastAsia="zh-CN"/>
        </w:rPr>
        <w:t xml:space="preserve">3 </w:t>
      </w: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天内仍未能交货，则视为中标供应商不能交货，采购人有权解除政府采购合同， 中标供应商除退还已收取的货款外，还应向采购人偿付政府采购合同总金额 10%的违约金。</w:t>
      </w:r>
    </w:p>
    <w:p w14:paraId="580B4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（五）中标供应商所交付货物及伴随的工程或服务不符合其投标承诺， 存在偷工减料、以次充好情形的，采购人要求更换一次后仍不符合约定的， 采购人有权解除政府采购合同，没收履约保证金，并将有关情况上报政府采购监管部门处理。</w:t>
      </w:r>
    </w:p>
    <w:p w14:paraId="687E0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14" w:name="_Toc11779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九、甲乙双方的权利义务：（甲方：采购人 、 乙方： 中标供应商）</w:t>
      </w:r>
      <w:bookmarkEnd w:id="14"/>
    </w:p>
    <w:p w14:paraId="72AFD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（一） 采购人的权利与义务</w:t>
      </w:r>
    </w:p>
    <w:p w14:paraId="3DA53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1、采购人需安排并协调人员积极配合中标供应商工作。</w:t>
      </w:r>
    </w:p>
    <w:p w14:paraId="4F778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2、采购人在发现产品使用故障时，应及时告知中标供应商。</w:t>
      </w:r>
    </w:p>
    <w:p w14:paraId="43DE9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（二）中标人的权利与义务</w:t>
      </w:r>
    </w:p>
    <w:p w14:paraId="111DB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1、中标供应商应当向采购人提供合同内容品牌型号一致的产品，并保证产品的来源渠道合法正规。</w:t>
      </w:r>
    </w:p>
    <w:p w14:paraId="1C786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2、中标供应商应按合同约定的服务内容向采购人提供产品服务。</w:t>
      </w:r>
    </w:p>
    <w:p w14:paraId="38836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3、中标供应商所有工作不得分包。</w:t>
      </w:r>
    </w:p>
    <w:p w14:paraId="5D321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4、中标供应商在进行售后服务工作时应当遵守采购人的各项管理规定， 按照采购人的要求提供服务，并接受采购人监督、检查。</w:t>
      </w:r>
    </w:p>
    <w:p w14:paraId="13A77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15" w:name="_Toc28527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十 、争议解决</w:t>
      </w:r>
      <w:bookmarkEnd w:id="15"/>
    </w:p>
    <w:p w14:paraId="4B88F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执行本合同中产生纠纷，由采购人与中标供应商双方协商解决；协商不成，向采购人所在地有管辖权的人民法院提起诉讼。</w:t>
      </w:r>
    </w:p>
    <w:p w14:paraId="66767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</w:pPr>
      <w:bookmarkStart w:id="16" w:name="_Toc19407"/>
      <w:bookmarkStart w:id="17" w:name="_Toc26675"/>
      <w:r>
        <w:rPr>
          <w:rFonts w:hint="eastAsia" w:ascii="仿宋" w:hAnsi="仿宋" w:eastAsia="仿宋" w:cs="仿宋"/>
          <w:b/>
          <w:bCs/>
          <w:snapToGrid/>
          <w:sz w:val="28"/>
          <w:szCs w:val="28"/>
          <w:lang w:eastAsia="zh-CN"/>
        </w:rPr>
        <w:t>十 一 、合同生效及其他</w:t>
      </w:r>
      <w:bookmarkEnd w:id="16"/>
      <w:bookmarkEnd w:id="17"/>
    </w:p>
    <w:p w14:paraId="74133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1、本合同自签订之日起生效。</w:t>
      </w:r>
    </w:p>
    <w:p w14:paraId="387E8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napToGrid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2、合同份数由采购人和中标供应商具体商定。</w:t>
      </w:r>
    </w:p>
    <w:p w14:paraId="6198A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napToGrid/>
          <w:sz w:val="28"/>
          <w:szCs w:val="28"/>
          <w:lang w:eastAsia="zh-CN"/>
        </w:rPr>
        <w:t>3、未尽事宜由双方在签订合同时具体明确。</w:t>
      </w:r>
    </w:p>
    <w:p w14:paraId="0595B0E3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sz w:val="32"/>
          <w:szCs w:val="32"/>
          <w:lang w:eastAsia="zh-CN"/>
        </w:rPr>
        <w:sectPr>
          <w:headerReference r:id="rId3" w:type="default"/>
          <w:footerReference r:id="rId4" w:type="default"/>
          <w:pgSz w:w="11906" w:h="16839"/>
          <w:pgMar w:top="1165" w:right="1185" w:bottom="1144" w:left="1417" w:header="829" w:footer="930" w:gutter="0"/>
          <w:pgNumType w:fmt="decimal" w:start="1"/>
          <w:cols w:space="720" w:num="1"/>
        </w:sectPr>
      </w:pPr>
    </w:p>
    <w:p w14:paraId="4AC3FC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9136B">
    <w:pPr>
      <w:spacing w:line="209" w:lineRule="auto"/>
      <w:ind w:left="4191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E6B31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E6B31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5412740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7AC758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6.2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eUAa01QAAAAkBAAAPAAAAAAAAAAEAIAAAACIAAABkcnMvZG93bnJl&#10;di54bWxQSwECFAAUAAAACACHTuJAORfWvzkCAABxBAAADgAAAAAAAAABACAAAAAkAQAAZHJzL2Uy&#10;b0RvYy54bWxQSwUGAAAAAAYABgBZAQAAz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7AC758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17C70">
    <w:pPr>
      <w:pStyle w:val="3"/>
      <w:pBdr>
        <w:bottom w:val="none" w:color="auto" w:sz="0" w:space="1"/>
      </w:pBdr>
      <w:tabs>
        <w:tab w:val="left" w:pos="5827"/>
        <w:tab w:val="clear" w:pos="4153"/>
      </w:tabs>
      <w:jc w:val="both"/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80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2026-08-03T08:00:50Z</dcterms:created>
  <dc:creator>Administrator</dc:creator>
  <cp:lastModifiedBy>六月</cp:lastModifiedBy>
  <dcterms:modified xsi:type="dcterms:W3CDTF">2026-08-03T08:01:53Z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eyJoZGlkIjoiMGFkZDdiNjdkYjM1ODJiZTQxZmQ2OTBlZGI1MWExZjgiLCJ1c2VySWQiOiIxNzg4Mzk4NTYyIn0=</vt:lpwstr>
  </property>
  <property fmtid="{D5CDD505-2E9C-101B-9397-08002B2CF9AE}" pid="4" name="ICV">
    <vt:lpwstr>5AFA73E42B02461BA106ED07FD936460_12</vt:lpwstr>
  </property>
</Properties>
</file>