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版本号：GYZB-2026-02120260628001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西延高铁项目（鹿苑辖区）外部环境整治大棚加固工程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GYZB-2026-021</w:t>
      </w:r>
      <w:r>
        <w:br/>
      </w:r>
      <w:r>
        <w:br/>
      </w:r>
      <w:r>
        <w:br/>
      </w:r>
    </w:p>
    <w:p>
      <w:pPr>
        <w:pStyle w:val="null3"/>
        <w:jc w:val="center"/>
        <w:outlineLvl w:val="2"/>
      </w:pPr>
      <w:r>
        <w:rPr>
          <w:rFonts w:ascii="仿宋_GB2312" w:hAnsi="仿宋_GB2312" w:cs="仿宋_GB2312" w:eastAsia="仿宋_GB2312"/>
          <w:sz w:val="28"/>
          <w:b/>
        </w:rPr>
        <w:t>西安市高陵区鹿苑街道办事处</w:t>
      </w:r>
    </w:p>
    <w:p>
      <w:pPr>
        <w:pStyle w:val="null3"/>
        <w:jc w:val="center"/>
        <w:outlineLvl w:val="2"/>
      </w:pPr>
      <w:r>
        <w:rPr>
          <w:rFonts w:ascii="仿宋_GB2312" w:hAnsi="仿宋_GB2312" w:cs="仿宋_GB2312" w:eastAsia="仿宋_GB2312"/>
          <w:sz w:val="28"/>
          <w:b/>
        </w:rPr>
        <w:t>陕西国裕工程项目管理有限公司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陕西国裕工程项目管理有限公司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西安市高陵区鹿苑街道办事处</w:t>
      </w:r>
      <w:r>
        <w:rPr>
          <w:rFonts w:ascii="仿宋_GB2312" w:hAnsi="仿宋_GB2312" w:cs="仿宋_GB2312" w:eastAsia="仿宋_GB2312"/>
        </w:rPr>
        <w:t>委托，拟对</w:t>
      </w:r>
      <w:r>
        <w:rPr>
          <w:rFonts w:ascii="仿宋_GB2312" w:hAnsi="仿宋_GB2312" w:cs="仿宋_GB2312" w:eastAsia="仿宋_GB2312"/>
        </w:rPr>
        <w:t>西延高铁项目（鹿苑辖区）外部环境整治大棚加固工程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GYZB-2026-021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西延高铁项目（鹿苑辖区）外部环境整治大棚加固工程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西延高铁项目(鹿苑辖区)外部环境整治大棚加固工程主要内容为：对辖区农业大棚进行加固，彻底消除大棚构件松动或撕裂后的安全隐患。</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采购包1（西延高铁项目（鹿苑辖区）外部环境整治大棚加固工程）：属于专门面向中小企业采购。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1、有效的主体资格证明：中华人民共和国境内注册，依法取得并有效存续的营业执照（含电子营业执照）/事业单位法人证书/民办非企业单位登记证书/非企业专业服务机构执业许可/自然人的提供身份证明文件；</w:t>
      </w:r>
    </w:p>
    <w:p>
      <w:pPr>
        <w:pStyle w:val="null3"/>
      </w:pPr>
      <w:r>
        <w:rPr>
          <w:rFonts w:ascii="仿宋_GB2312" w:hAnsi="仿宋_GB2312" w:cs="仿宋_GB2312" w:eastAsia="仿宋_GB2312"/>
        </w:rPr>
        <w:t>2、财务状况证明：提供2024或2025年度经会计师事务所审计并通过注册会计师行业统一监管平台备案赋码的财务审计报告（包括审计报告、资产负债表、利润表、现金流量表、所有者权益变动表及其附注，成立时间至响应文件提交截止时间不足一年的可提供成立后任意时段的资产负债表），或磋商前六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3、税收缴纳证明：提供响应文件提交截止时间一年内至少一个月的纳税证明或完税证明；</w:t>
      </w:r>
    </w:p>
    <w:p>
      <w:pPr>
        <w:pStyle w:val="null3"/>
      </w:pPr>
      <w:r>
        <w:rPr>
          <w:rFonts w:ascii="仿宋_GB2312" w:hAnsi="仿宋_GB2312" w:cs="仿宋_GB2312" w:eastAsia="仿宋_GB2312"/>
        </w:rPr>
        <w:t>4、社保资金缴纳证明：提供响应文件提交截止时间一年内至少一个月的社会保障资金缴存单据或社保机构开具的社会保险参保缴费情况证明；</w:t>
      </w:r>
    </w:p>
    <w:p>
      <w:pPr>
        <w:pStyle w:val="null3"/>
      </w:pPr>
      <w:r>
        <w:rPr>
          <w:rFonts w:ascii="仿宋_GB2312" w:hAnsi="仿宋_GB2312" w:cs="仿宋_GB2312" w:eastAsia="仿宋_GB2312"/>
        </w:rPr>
        <w:t>5、企业资质：具有建设行政主管部门颁发的建筑工程施工总承包三级或以上资质，且具备有效的安全生产许可证；</w:t>
      </w:r>
    </w:p>
    <w:p>
      <w:pPr>
        <w:pStyle w:val="null3"/>
      </w:pPr>
      <w:r>
        <w:rPr>
          <w:rFonts w:ascii="仿宋_GB2312" w:hAnsi="仿宋_GB2312" w:cs="仿宋_GB2312" w:eastAsia="仿宋_GB2312"/>
        </w:rPr>
        <w:t>6、项目负责人（项目经理）：拟派项目经理具有建筑工程专业二级或以上注册建造师资格及有效的安全生产考核合格证书，在本单位注册，且无其他在建项目；</w:t>
      </w:r>
    </w:p>
    <w:p>
      <w:pPr>
        <w:pStyle w:val="null3"/>
      </w:pPr>
      <w:r>
        <w:rPr>
          <w:rFonts w:ascii="仿宋_GB2312" w:hAnsi="仿宋_GB2312" w:cs="仿宋_GB2312" w:eastAsia="仿宋_GB2312"/>
        </w:rPr>
        <w:t>7、信誉要求：在“中国执行信息公开网”网站（zxgk.court.gov.cn）中未列入失信被执行人，在“信用中国”网站（www.creditchina.gov.cn）中未列入重大税收违法失信主体,在“中国政府采购网（www.ccgp.gov.cn)”未被列入政府采购严重违法失信行为记录名单;</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西安市高陵区鹿苑街道办事处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西安市高陵区西街111号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029-86912090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陕西国裕工程项目管理有限公司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陕西省西安市未央区陕西省西安市经济技术开发区凤城七路明光路长和国际D座2004-2室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王蕊聪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15991261661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采购包1：347,589.13元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关于招标代理服务收费有关问题的通知》（发改办价格[2003]857号）规定并下浮3%记取，代理费不足6000元时，按6000元收取。开户名称：陕西国裕工程项目管理有限公司；开户行：长安银行股份有限公司西安经济技术开发区支行；帐号806010301421021652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西安市高陵区鹿苑街道办事处</w:t>
      </w:r>
      <w:r>
        <w:rPr>
          <w:rFonts w:ascii="仿宋_GB2312" w:hAnsi="仿宋_GB2312" w:cs="仿宋_GB2312" w:eastAsia="仿宋_GB2312"/>
        </w:rPr>
        <w:t>和</w:t>
      </w:r>
      <w:r>
        <w:rPr>
          <w:rFonts w:ascii="仿宋_GB2312" w:hAnsi="仿宋_GB2312" w:cs="仿宋_GB2312" w:eastAsia="仿宋_GB2312"/>
        </w:rPr>
        <w:t>陕西国裕工程项目管理有限公司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西安市高陵区鹿苑街道办事处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陕西国裕工程项目管理有限公司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西安市高陵区鹿苑街道办事处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陕西国裕工程项目管理有限公司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陕西国裕工程项目管理有限公司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陕西国裕工程项目管理有限公司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陕西国裕工程项目管理有限公司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联系人：王蕊聪</w:t>
      </w:r>
    </w:p>
    <w:p>
      <w:pPr>
        <w:pStyle w:val="null3"/>
      </w:pPr>
      <w:r>
        <w:rPr>
          <w:rFonts w:ascii="仿宋_GB2312" w:hAnsi="仿宋_GB2312" w:cs="仿宋_GB2312" w:eastAsia="仿宋_GB2312"/>
        </w:rPr>
        <w:t>联系电话：15991261661</w:t>
      </w:r>
    </w:p>
    <w:p>
      <w:pPr>
        <w:pStyle w:val="null3"/>
      </w:pPr>
      <w:r>
        <w:rPr>
          <w:rFonts w:ascii="仿宋_GB2312" w:hAnsi="仿宋_GB2312" w:cs="仿宋_GB2312" w:eastAsia="仿宋_GB2312"/>
        </w:rPr>
        <w:t>地址：陕西省西安市经济技术开发区凤城七路明光路长和国际D座2004-2室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347,589.13</w:t>
      </w:r>
    </w:p>
    <w:p>
      <w:pPr>
        <w:pStyle w:val="null3"/>
      </w:pPr>
      <w:r>
        <w:rPr>
          <w:rFonts w:ascii="仿宋_GB2312" w:hAnsi="仿宋_GB2312" w:cs="仿宋_GB2312" w:eastAsia="仿宋_GB2312"/>
        </w:rPr>
        <w:t>采购包最高限价（元）: 347,589.13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大棚加固工程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347,589.13</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标的名称：大棚加固工程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pPr>
            <w:r>
              <w:rPr>
                <w:rFonts w:ascii="仿宋_GB2312" w:hAnsi="仿宋_GB2312" w:cs="仿宋_GB2312" w:eastAsia="仿宋_GB2312"/>
                <w:sz w:val="18"/>
                <w:b/>
              </w:rPr>
              <w:t>一、项目概况</w:t>
            </w:r>
          </w:p>
          <w:p>
            <w:pPr>
              <w:pStyle w:val="null3"/>
              <w:spacing w:after="165"/>
              <w:ind w:firstLine="360"/>
            </w:pPr>
            <w:r>
              <w:rPr>
                <w:rFonts w:ascii="仿宋_GB2312" w:hAnsi="仿宋_GB2312" w:cs="仿宋_GB2312" w:eastAsia="仿宋_GB2312"/>
                <w:sz w:val="18"/>
              </w:rPr>
              <w:t>西延高铁项目(鹿苑辖区)外部环境整治大棚加固工程主要内容为：对辖区农业大棚进行加固，彻底消除大棚构件松动或撕裂后的安全隐患。</w:t>
            </w:r>
          </w:p>
          <w:p>
            <w:pPr>
              <w:pStyle w:val="null3"/>
              <w:spacing w:after="165"/>
            </w:pPr>
            <w:r>
              <w:rPr>
                <w:rFonts w:ascii="仿宋_GB2312" w:hAnsi="仿宋_GB2312" w:cs="仿宋_GB2312" w:eastAsia="仿宋_GB2312"/>
                <w:sz w:val="18"/>
                <w:b/>
              </w:rPr>
              <w:t>二、工程内容和施工地点、计划工期、质量保修期</w:t>
            </w:r>
          </w:p>
          <w:p>
            <w:pPr>
              <w:pStyle w:val="null3"/>
              <w:spacing w:after="165"/>
              <w:ind w:firstLine="360"/>
            </w:pPr>
            <w:r>
              <w:rPr>
                <w:rFonts w:ascii="仿宋_GB2312" w:hAnsi="仿宋_GB2312" w:cs="仿宋_GB2312" w:eastAsia="仿宋_GB2312"/>
                <w:sz w:val="18"/>
              </w:rPr>
              <w:t>（一）工程内容：对辖区农业大棚进行加固，彻底消除大棚构件松动或撕裂后的安全隐患，预估工程量为：25501.77㎡，以现场实际测量面积为准。</w:t>
            </w:r>
          </w:p>
          <w:p>
            <w:pPr>
              <w:pStyle w:val="null3"/>
              <w:spacing w:after="165"/>
              <w:ind w:firstLine="360"/>
            </w:pPr>
            <w:r>
              <w:rPr>
                <w:rFonts w:ascii="仿宋_GB2312" w:hAnsi="仿宋_GB2312" w:cs="仿宋_GB2312" w:eastAsia="仿宋_GB2312"/>
                <w:sz w:val="18"/>
              </w:rPr>
              <w:t>（二）工程地点：陕西省西安市高陵区鹿苑街道。</w:t>
            </w:r>
          </w:p>
          <w:p>
            <w:pPr>
              <w:pStyle w:val="null3"/>
              <w:spacing w:after="165"/>
              <w:ind w:firstLine="360"/>
            </w:pPr>
            <w:r>
              <w:rPr>
                <w:rFonts w:ascii="仿宋_GB2312" w:hAnsi="仿宋_GB2312" w:cs="仿宋_GB2312" w:eastAsia="仿宋_GB2312"/>
                <w:sz w:val="18"/>
              </w:rPr>
              <w:t>（三）计划工期：自进场之日起30个日历日内竣工。</w:t>
            </w:r>
          </w:p>
          <w:p>
            <w:pPr>
              <w:pStyle w:val="null3"/>
              <w:spacing w:after="165"/>
              <w:ind w:firstLine="360"/>
            </w:pPr>
            <w:r>
              <w:rPr>
                <w:rFonts w:ascii="仿宋_GB2312" w:hAnsi="仿宋_GB2312" w:cs="仿宋_GB2312" w:eastAsia="仿宋_GB2312"/>
                <w:sz w:val="18"/>
              </w:rPr>
              <w:t>（四）质量保修期：2年。</w:t>
            </w:r>
          </w:p>
          <w:p>
            <w:pPr>
              <w:pStyle w:val="null3"/>
              <w:spacing w:after="165"/>
            </w:pPr>
            <w:r>
              <w:rPr>
                <w:rFonts w:ascii="仿宋_GB2312" w:hAnsi="仿宋_GB2312" w:cs="仿宋_GB2312" w:eastAsia="仿宋_GB2312"/>
                <w:sz w:val="18"/>
                <w:b/>
              </w:rPr>
              <w:t>三、工程量清单</w:t>
            </w:r>
          </w:p>
          <w:tbl>
            <w:tblPr>
              <w:tblBorders>
                <w:top w:val="none" w:color="000000" w:sz="4"/>
                <w:left w:val="none" w:color="000000" w:sz="4"/>
                <w:bottom w:val="none" w:color="000000" w:sz="4"/>
                <w:right w:val="none" w:color="000000" w:sz="4"/>
                <w:insideH w:val="none"/>
                <w:insideV w:val="none"/>
              </w:tblBorders>
            </w:tblPr>
            <w:tblGrid>
              <w:gridCol w:w="151"/>
              <w:gridCol w:w="222"/>
              <w:gridCol w:w="191"/>
              <w:gridCol w:w="1652"/>
              <w:gridCol w:w="337"/>
            </w:tblGrid>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color w:val="000000"/>
                    </w:rPr>
                    <w:t>序号</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color w:val="000000"/>
                    </w:rPr>
                    <w:t>项目编码</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color w:val="000000"/>
                    </w:rPr>
                    <w:t>项目名称</w:t>
                  </w:r>
                </w:p>
              </w:tc>
              <w:tc>
                <w:tcPr>
                  <w:tcW w:type="dxa" w:w="16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color w:val="000000"/>
                    </w:rPr>
                    <w:t>项目特征描述</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color w:val="000000"/>
                    </w:rPr>
                    <w:t>计量单位</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01B001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大棚加固</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 xml:space="preserve"> 1.基础开挖:600*600*800</w:t>
                  </w:r>
                  <w:r>
                    <w:br/>
                  </w:r>
                  <w:r>
                    <w:rPr>
                      <w:rFonts w:ascii="仿宋_GB2312" w:hAnsi="仿宋_GB2312" w:cs="仿宋_GB2312" w:eastAsia="仿宋_GB2312"/>
                      <w:sz w:val="18"/>
                      <w:color w:val="000000"/>
                    </w:rPr>
                    <w:t xml:space="preserve"> 2.混凝土型号:C30商品砼</w:t>
                  </w:r>
                  <w:r>
                    <w:br/>
                  </w:r>
                  <w:r>
                    <w:rPr>
                      <w:rFonts w:ascii="仿宋_GB2312" w:hAnsi="仿宋_GB2312" w:cs="仿宋_GB2312" w:eastAsia="仿宋_GB2312"/>
                      <w:sz w:val="18"/>
                      <w:color w:val="000000"/>
                    </w:rPr>
                    <w:t xml:space="preserve"> 3.材料:地锚安装、软板带及紧绳器安装</w:t>
                  </w:r>
                  <w:r>
                    <w:br/>
                  </w:r>
                  <w:r>
                    <w:rPr>
                      <w:rFonts w:ascii="仿宋_GB2312" w:hAnsi="仿宋_GB2312" w:cs="仿宋_GB2312" w:eastAsia="仿宋_GB2312"/>
                      <w:sz w:val="18"/>
                      <w:color w:val="000000"/>
                    </w:rPr>
                    <w:t xml:space="preserve"> 4.软板带间距:3米一道</w:t>
                  </w:r>
                  <w:r>
                    <w:br/>
                  </w:r>
                  <w:r>
                    <w:rPr>
                      <w:rFonts w:ascii="仿宋_GB2312" w:hAnsi="仿宋_GB2312" w:cs="仿宋_GB2312" w:eastAsia="仿宋_GB2312"/>
                      <w:sz w:val="18"/>
                      <w:color w:val="000000"/>
                    </w:rPr>
                    <w:t xml:space="preserve"> [工作内容]</w:t>
                  </w:r>
                  <w:r>
                    <w:br/>
                  </w:r>
                  <w:r>
                    <w:rPr>
                      <w:rFonts w:ascii="仿宋_GB2312" w:hAnsi="仿宋_GB2312" w:cs="仿宋_GB2312" w:eastAsia="仿宋_GB2312"/>
                      <w:sz w:val="18"/>
                      <w:color w:val="000000"/>
                    </w:rPr>
                    <w:t xml:space="preserve"> 1.基础开挖、混凝土浇筑，地锚安装、软板带及紧绳器安装</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w:t>
                  </w:r>
                </w:p>
              </w:tc>
            </w:tr>
          </w:tbl>
          <w:p>
            <w:pPr>
              <w:pStyle w:val="null3"/>
              <w:spacing w:after="165"/>
            </w:pPr>
            <w:r>
              <w:rPr>
                <w:rFonts w:ascii="仿宋_GB2312" w:hAnsi="仿宋_GB2312" w:cs="仿宋_GB2312" w:eastAsia="仿宋_GB2312"/>
                <w:sz w:val="18"/>
                <w:b/>
              </w:rPr>
              <w:t>四、施工要求</w:t>
            </w:r>
          </w:p>
          <w:p>
            <w:pPr>
              <w:pStyle w:val="null3"/>
              <w:spacing w:after="165"/>
              <w:ind w:firstLine="360"/>
            </w:pPr>
            <w:r>
              <w:rPr>
                <w:rFonts w:ascii="仿宋_GB2312" w:hAnsi="仿宋_GB2312" w:cs="仿宋_GB2312" w:eastAsia="仿宋_GB2312"/>
                <w:sz w:val="18"/>
              </w:rPr>
              <w:t>在施工期间，成交供应商必须注意人员安全，加强安全措施，并对施工人员进行安全教育。施工人员必须持证上岗。成交供应商应对施工现场的安全负责，在整个施工过程中，不得出现任何事故，否则由此造成的一切后果均由成交供应商承担;若因本项目合同履行造成采购人、成交供应商、各方工作人员或任意第三方人身损害或财产损失的，由成交供应商承担全部责任，若采购人因此遭到索赔的，有权向成交供应商追偿。</w:t>
            </w:r>
          </w:p>
          <w:p>
            <w:pPr>
              <w:pStyle w:val="null3"/>
              <w:spacing w:after="165"/>
            </w:pPr>
            <w:r>
              <w:rPr>
                <w:rFonts w:ascii="仿宋_GB2312" w:hAnsi="仿宋_GB2312" w:cs="仿宋_GB2312" w:eastAsia="仿宋_GB2312"/>
                <w:sz w:val="18"/>
                <w:b/>
              </w:rPr>
              <w:t>五、商务要求</w:t>
            </w:r>
          </w:p>
          <w:p>
            <w:pPr>
              <w:pStyle w:val="null3"/>
              <w:spacing w:after="165"/>
              <w:ind w:firstLine="360"/>
            </w:pPr>
            <w:r>
              <w:rPr>
                <w:rFonts w:ascii="仿宋_GB2312" w:hAnsi="仿宋_GB2312" w:cs="仿宋_GB2312" w:eastAsia="仿宋_GB2312"/>
                <w:sz w:val="18"/>
              </w:rPr>
              <w:t>1</w:t>
            </w:r>
            <w:r>
              <w:rPr>
                <w:rFonts w:ascii="仿宋_GB2312" w:hAnsi="仿宋_GB2312" w:cs="仿宋_GB2312" w:eastAsia="仿宋_GB2312"/>
                <w:sz w:val="18"/>
              </w:rPr>
              <w:t>、合同价款约定：全费用综合单价包干。</w:t>
            </w:r>
          </w:p>
          <w:p>
            <w:pPr>
              <w:pStyle w:val="null3"/>
              <w:spacing w:after="165"/>
              <w:ind w:firstLine="360"/>
            </w:pPr>
            <w:r>
              <w:rPr>
                <w:rFonts w:ascii="仿宋_GB2312" w:hAnsi="仿宋_GB2312" w:cs="仿宋_GB2312" w:eastAsia="仿宋_GB2312"/>
                <w:sz w:val="18"/>
              </w:rPr>
              <w:t>全费用综合单价包含但不限于完成本工程的直接费、间接费、保险费、利润和税金以及供应商必须花费的其他费用，并全面考虑所有风险和责任、义务等的全部费用。</w:t>
            </w:r>
          </w:p>
          <w:p>
            <w:pPr>
              <w:pStyle w:val="null3"/>
              <w:spacing w:after="165"/>
              <w:ind w:firstLine="360"/>
            </w:pPr>
            <w:r>
              <w:rPr>
                <w:rFonts w:ascii="仿宋_GB2312" w:hAnsi="仿宋_GB2312" w:cs="仿宋_GB2312" w:eastAsia="仿宋_GB2312"/>
                <w:sz w:val="18"/>
              </w:rPr>
              <w:t>2</w:t>
            </w:r>
            <w:r>
              <w:rPr>
                <w:rFonts w:ascii="仿宋_GB2312" w:hAnsi="仿宋_GB2312" w:cs="仿宋_GB2312" w:eastAsia="仿宋_GB2312"/>
                <w:sz w:val="18"/>
              </w:rPr>
              <w:t>、付款方式：合同签订后支付合同价款的30%作为预付款，工程竣工、验收合格后15个工作日内支付至合同价款的75%；经财政部门审核后支付剩余合同结算价。</w:t>
            </w:r>
          </w:p>
          <w:p>
            <w:pPr>
              <w:pStyle w:val="null3"/>
              <w:spacing w:after="165"/>
              <w:ind w:firstLine="360"/>
            </w:pPr>
            <w:r>
              <w:rPr>
                <w:rFonts w:ascii="仿宋_GB2312" w:hAnsi="仿宋_GB2312" w:cs="仿宋_GB2312" w:eastAsia="仿宋_GB2312"/>
                <w:sz w:val="18"/>
              </w:rPr>
              <w:t>3</w:t>
            </w:r>
            <w:r>
              <w:rPr>
                <w:rFonts w:ascii="仿宋_GB2312" w:hAnsi="仿宋_GB2312" w:cs="仿宋_GB2312" w:eastAsia="仿宋_GB2312"/>
                <w:sz w:val="18"/>
              </w:rPr>
              <w:t>、合同结算价：按实际施工面积及全费用单价据实结算。</w:t>
            </w:r>
          </w:p>
          <w:p>
            <w:pPr>
              <w:pStyle w:val="null3"/>
              <w:spacing w:after="165"/>
              <w:ind w:firstLine="360"/>
            </w:pPr>
            <w:r>
              <w:rPr>
                <w:rFonts w:ascii="仿宋_GB2312" w:hAnsi="仿宋_GB2312" w:cs="仿宋_GB2312" w:eastAsia="仿宋_GB2312"/>
                <w:sz w:val="18"/>
              </w:rPr>
              <w:t>4</w:t>
            </w:r>
            <w:r>
              <w:rPr>
                <w:rFonts w:ascii="仿宋_GB2312" w:hAnsi="仿宋_GB2312" w:cs="仿宋_GB2312" w:eastAsia="仿宋_GB2312"/>
                <w:sz w:val="18"/>
              </w:rPr>
              <w:t>、付款依据：满足付款条件的情况下，供应商出具符合国家财税规定的发票，否则采购人有权延迟履行付款义务。如因供应商缘故导致采购人无法按时付款，采购人不承担违约责任。</w:t>
            </w:r>
          </w:p>
          <w:p>
            <w:pPr>
              <w:pStyle w:val="null3"/>
              <w:spacing w:after="165"/>
              <w:ind w:firstLine="360"/>
            </w:pPr>
            <w:r>
              <w:rPr>
                <w:rFonts w:ascii="仿宋_GB2312" w:hAnsi="仿宋_GB2312" w:cs="仿宋_GB2312" w:eastAsia="仿宋_GB2312"/>
                <w:sz w:val="18"/>
              </w:rPr>
              <w:t>5</w:t>
            </w:r>
            <w:r>
              <w:rPr>
                <w:rFonts w:ascii="仿宋_GB2312" w:hAnsi="仿宋_GB2312" w:cs="仿宋_GB2312" w:eastAsia="仿宋_GB2312"/>
                <w:sz w:val="18"/>
              </w:rPr>
              <w:t>、最高限价：13.63元/㎡；响应报价超出采购预算或最高限价情形的，按无效响应文件处理。</w:t>
            </w:r>
          </w:p>
          <w:p>
            <w:pPr>
              <w:pStyle w:val="null3"/>
              <w:spacing w:after="165"/>
            </w:pPr>
            <w:r>
              <w:rPr>
                <w:rFonts w:ascii="仿宋_GB2312" w:hAnsi="仿宋_GB2312" w:cs="仿宋_GB2312" w:eastAsia="仿宋_GB2312"/>
                <w:sz w:val="18"/>
                <w:b/>
              </w:rPr>
              <w:t>六、其他</w:t>
            </w:r>
          </w:p>
          <w:p>
            <w:pPr>
              <w:pStyle w:val="null3"/>
              <w:spacing w:after="165"/>
              <w:ind w:firstLine="360"/>
            </w:pPr>
            <w:r>
              <w:rPr>
                <w:rFonts w:ascii="仿宋_GB2312" w:hAnsi="仿宋_GB2312" w:cs="仿宋_GB2312" w:eastAsia="仿宋_GB2312"/>
                <w:sz w:val="18"/>
              </w:rPr>
              <w:t>（一）质量验收标准或规范</w:t>
            </w:r>
          </w:p>
          <w:p>
            <w:pPr>
              <w:pStyle w:val="null3"/>
              <w:spacing w:after="165"/>
              <w:ind w:firstLine="360"/>
            </w:pPr>
            <w:r>
              <w:rPr>
                <w:rFonts w:ascii="仿宋_GB2312" w:hAnsi="仿宋_GB2312" w:cs="仿宋_GB2312" w:eastAsia="仿宋_GB2312"/>
                <w:sz w:val="18"/>
              </w:rPr>
              <w:t>符合国家及地方现行验收规范“合格”标准。</w:t>
            </w:r>
          </w:p>
          <w:p>
            <w:pPr>
              <w:pStyle w:val="null3"/>
              <w:spacing w:after="165"/>
              <w:ind w:firstLine="360"/>
            </w:pPr>
            <w:r>
              <w:rPr>
                <w:rFonts w:ascii="仿宋_GB2312" w:hAnsi="仿宋_GB2312" w:cs="仿宋_GB2312" w:eastAsia="仿宋_GB2312"/>
                <w:sz w:val="18"/>
              </w:rPr>
              <w:t>（二）违约责任</w:t>
            </w:r>
          </w:p>
          <w:p>
            <w:pPr>
              <w:pStyle w:val="null3"/>
              <w:spacing w:after="165"/>
              <w:ind w:firstLine="360"/>
            </w:pPr>
            <w:r>
              <w:rPr>
                <w:rFonts w:ascii="仿宋_GB2312" w:hAnsi="仿宋_GB2312" w:cs="仿宋_GB2312" w:eastAsia="仿宋_GB2312"/>
                <w:sz w:val="18"/>
              </w:rPr>
              <w:t>1</w:t>
            </w:r>
            <w:r>
              <w:rPr>
                <w:rFonts w:ascii="仿宋_GB2312" w:hAnsi="仿宋_GB2312" w:cs="仿宋_GB2312" w:eastAsia="仿宋_GB2312"/>
                <w:sz w:val="18"/>
              </w:rPr>
              <w:t>、按《中华人民共和国民法典》等相关法律法规中的相关条款执行。</w:t>
            </w:r>
          </w:p>
          <w:p>
            <w:pPr>
              <w:pStyle w:val="null3"/>
              <w:spacing w:after="165"/>
              <w:ind w:firstLine="360"/>
            </w:pPr>
            <w:r>
              <w:rPr>
                <w:rFonts w:ascii="仿宋_GB2312" w:hAnsi="仿宋_GB2312" w:cs="仿宋_GB2312" w:eastAsia="仿宋_GB2312"/>
                <w:sz w:val="18"/>
              </w:rPr>
              <w:t>2</w:t>
            </w:r>
            <w:r>
              <w:rPr>
                <w:rFonts w:ascii="仿宋_GB2312" w:hAnsi="仿宋_GB2312" w:cs="仿宋_GB2312" w:eastAsia="仿宋_GB2312"/>
                <w:sz w:val="18"/>
              </w:rPr>
              <w:t>、未按合同要求提供材料或工程质量达不到国家标准要求，由供应商负责整改，并承担相关费用，由此引起一切经济损失及影响由供应商承担。</w:t>
            </w:r>
          </w:p>
          <w:p>
            <w:pPr>
              <w:pStyle w:val="null3"/>
              <w:spacing w:after="165"/>
              <w:ind w:firstLine="360"/>
            </w:pPr>
            <w:r>
              <w:rPr>
                <w:rFonts w:ascii="仿宋_GB2312" w:hAnsi="仿宋_GB2312" w:cs="仿宋_GB2312" w:eastAsia="仿宋_GB2312"/>
                <w:sz w:val="18"/>
              </w:rPr>
              <w:t>（三）技术标准和要求</w:t>
            </w:r>
          </w:p>
          <w:p>
            <w:pPr>
              <w:pStyle w:val="null3"/>
              <w:spacing w:after="165"/>
              <w:ind w:firstLine="360"/>
            </w:pPr>
            <w:r>
              <w:rPr>
                <w:rFonts w:ascii="仿宋_GB2312" w:hAnsi="仿宋_GB2312" w:cs="仿宋_GB2312" w:eastAsia="仿宋_GB2312"/>
                <w:sz w:val="18"/>
              </w:rPr>
              <w:t>1</w:t>
            </w:r>
            <w:r>
              <w:rPr>
                <w:rFonts w:ascii="仿宋_GB2312" w:hAnsi="仿宋_GB2312" w:cs="仿宋_GB2312" w:eastAsia="仿宋_GB2312"/>
                <w:sz w:val="18"/>
              </w:rPr>
              <w:t>、本工程在施工过程中，如果国家或有关部门颁布了新的技术标准或规范，则供应商应采用新的标准或规范进行实施。过程和成果必须符合国家有关工程建设标准强制性条文和国家或有关部门关于现行的标准、规范、规程、定额、办法、示例，以及陕西省关于工程施工方面的文件、规定。</w:t>
            </w:r>
          </w:p>
          <w:p>
            <w:pPr>
              <w:pStyle w:val="null3"/>
              <w:spacing w:after="165"/>
            </w:pPr>
            <w:r>
              <w:rPr>
                <w:rFonts w:ascii="仿宋_GB2312" w:hAnsi="仿宋_GB2312" w:cs="仿宋_GB2312" w:eastAsia="仿宋_GB2312"/>
                <w:sz w:val="18"/>
              </w:rPr>
              <w:t xml:space="preserve">  2</w:t>
            </w:r>
            <w:r>
              <w:rPr>
                <w:rFonts w:ascii="仿宋_GB2312" w:hAnsi="仿宋_GB2312" w:cs="仿宋_GB2312" w:eastAsia="仿宋_GB2312"/>
                <w:sz w:val="18"/>
              </w:rPr>
              <w:t>、供应商在实施过程中使用或参考上述标准、规范以外的技术标准、规范时，应征得采购人或采购人指定代表人的同意。</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国家标准、行业标准及采购人要求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详见采购需求。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3.3.1合格供应商少于3家的处理 3.3.1.1评审过程中，若出现合格供应商只有2家时，符合《政府采购竞争性磋商采购方式管理暂行办法》第3条第4项情形的，或者本项目为政府购买服务指导性目录中的，可以继续进行；只有1家时，采购人应依法重新组织采购活动。 3.3.1.2评审过程中，除符合第3.3.1.1条条款规定情形外，若出现合格供应商少于3家时，采购人应依法重新组织采购活动。 3.3.2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 3.3.3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中华人民共和国境内注册，依法取得并有效存续的营业执照（含电子营业执照）/事业单位法人证书/民办非企业单位登记证书/非企业专业服务机构执业许可/自然人的提供身份证明文件；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财务审计报告（包括审计报告、资产负债表、利润表、现金流量表、所有者权益变动表及其附注，成立时间至响应文件提交截止时间不足一年的可提供成立后任意时段的资产负债表），或磋商前六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提供响应文件提交截止时间一年内至少一个月的纳税证明或完税证明；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具有建设行政主管部门颁发的建筑工程施工总承包三级或以上资质，且具备有效的安全生产许可证；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项目负责人（项目经理）</w:t>
            </w:r>
          </w:p>
        </w:tc>
        <w:tc>
          <w:tcPr>
            <w:tcW w:type="dxa" w:w="3322"/>
          </w:tcPr>
          <w:p>
            <w:pPr>
              <w:pStyle w:val="null3"/>
            </w:pPr>
            <w:r>
              <w:rPr>
                <w:rFonts w:ascii="仿宋_GB2312" w:hAnsi="仿宋_GB2312" w:cs="仿宋_GB2312" w:eastAsia="仿宋_GB2312"/>
              </w:rPr>
              <w:t>拟派项目经理具有建筑工程专业二级或以上注册建造师资格及有效的安全生产考核合格证书，在本单位注册，且无其他在建项目；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在“中国执行信息公开网”网站（zxgk.court.gov.cn）中未列入失信被执行人，在“信用中国”网站（www.creditchina.gov.cn）中未列入重大税收违法失信主体,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磋商的，须出具法定代表人（负责人）身份证明书及身份证正反两面扫描件或护照资料页扫描件；法定代表人（负责人）授权委托代理人参加磋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响应文件签署及盖章</w:t>
            </w:r>
          </w:p>
        </w:tc>
        <w:tc>
          <w:tcPr>
            <w:tcW w:type="dxa" w:w="3322"/>
          </w:tcPr>
          <w:p>
            <w:pPr>
              <w:pStyle w:val="null3"/>
            </w:pPr>
            <w:r>
              <w:rPr>
                <w:rFonts w:ascii="仿宋_GB2312" w:hAnsi="仿宋_GB2312" w:cs="仿宋_GB2312" w:eastAsia="仿宋_GB2312"/>
              </w:rPr>
              <w:t>签字、盖章有效，字迹清晰可辨符合磋商文件要求，且无遗漏。</w:t>
            </w:r>
          </w:p>
        </w:tc>
        <w:tc>
          <w:tcPr>
            <w:tcW w:type="dxa" w:w="1661"/>
          </w:tcPr>
          <w:p>
            <w:pPr>
              <w:pStyle w:val="null3"/>
            </w:pPr>
            <w:r>
              <w:rPr>
                <w:rFonts w:ascii="仿宋_GB2312" w:hAnsi="仿宋_GB2312" w:cs="仿宋_GB2312" w:eastAsia="仿宋_GB2312"/>
              </w:rPr>
              <w:t>响应文件封面 法定代表人身份证明书及授权委托书 已标价工程量清单 施工组织设计 中小企业声明函 残疾人福利性单位声明函 报价函 标的清单 供应商应提交的相关资格证明材料 响应函 监狱企业的证明文件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（1）货币单位符合磋商文件要求（2）未超出采购预算或最高限价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响应文件的语言及计量单位</w:t>
            </w:r>
          </w:p>
        </w:tc>
        <w:tc>
          <w:tcPr>
            <w:tcW w:type="dxa" w:w="3322"/>
          </w:tcPr>
          <w:p>
            <w:pPr>
              <w:pStyle w:val="null3"/>
            </w:pPr>
            <w:r>
              <w:rPr>
                <w:rFonts w:ascii="仿宋_GB2312" w:hAnsi="仿宋_GB2312" w:cs="仿宋_GB2312" w:eastAsia="仿宋_GB2312"/>
              </w:rPr>
              <w:t>均符合磋商文件的要求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完全理解并响应磋商文件合同及其它条款的要求，且未含有采购人不能接受的附加条件的。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符合法律、法规和竞争性磋商中规定的其他实质性</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施工组织设计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供应商根据自身情况及对项目的理解制定本项目施工方案，方案需包含以下评审内容：①施工工艺及方法；②环境保护管理体系与措施；③施工设备配备；④提供针对本项目的材料清单（清单内容包括但不限于材料名称、品牌、规格）。 2、以上评审内容无缺项或漏项且无缺陷或不足的得24.0分，每有一项评审内容存在缺项或漏项的扣6.0分，每项评审内容存在缺陷或不足的扣2.0分。 3、缺陷或不足指①仅有框架无实施内容，凭空编造；②内容交叉混乱、存在歧义、前后矛盾或不一致，涉及的规范及标准错误；③项目名称、编号、实施地点、实施时间明显错误。</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1、供应商根据自身情况及对项目的理解制定本项目人员配备方案，方案需包含以下评审内容：①项目管理机构；②岗位安排及职责；③管理制度；④协调措施。 2、以上评审内容无缺项或漏项且无缺陷或不足的得12.0分，每有一项评审内容存在缺项或漏项的扣3.0分，每项评审内容存在缺陷或不足的扣1.0分。 3、缺陷或不足指①仅有框架无实施内容，凭空编造；②内容交叉混乱、存在歧义、前后矛盾或不一致，涉及的规范及标准错误；③项目名称、编号、实施地点、实施时间明显错误。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1、供应商根据自身情况及对项目的理解制定本项目质量管理方案，方案需包含以下内容：①质量管理工作流程；②工程质量保障方案；③材料和构配件的质量控制；④原有设施及现场成品保护措施方案。 2、以上评审内容无缺项或漏项且无缺陷或不足的得12.0分，每有一项评审内容存在缺项或漏项的扣3.0分，每项评审内容存在缺陷或不足的扣1.0分。 3、缺陷或不足指①仅有框架无实施内容，凭空编造；②内容交叉混乱、存在歧义、前后矛盾或不一致，涉及的规范及标准错误；③项目名称、编号、实施地点、实施时间明显错误。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安全应急方案</w:t>
            </w:r>
          </w:p>
        </w:tc>
        <w:tc>
          <w:tcPr>
            <w:tcW w:type="dxa" w:w="2492"/>
          </w:tcPr>
          <w:p>
            <w:pPr>
              <w:pStyle w:val="null3"/>
            </w:pPr>
            <w:r>
              <w:rPr>
                <w:rFonts w:ascii="仿宋_GB2312" w:hAnsi="仿宋_GB2312" w:cs="仿宋_GB2312" w:eastAsia="仿宋_GB2312"/>
              </w:rPr>
              <w:t>1、供应商根据自身情况及对项目的理解制定本项目安全应急方案，方案需包含以下内容：①安全防护措施；②安全文明施工措施；③应急保障预案。 2、以上评审内容无缺项或漏项且无缺陷或不足的得9.0分，每有一项评审内容存在缺项或漏项的扣3.0分，每项评审内容存在缺陷或不足的扣1.0分。 3、缺陷或不足指①仅有框架无实施内容，凭空编造；②内容交叉混乱、存在歧义、前后矛盾或不一致，涉及的规范及标准错误；③项目名称、编号、实施地点、实施时间明显错误。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工期进度保证方案</w:t>
            </w:r>
          </w:p>
        </w:tc>
        <w:tc>
          <w:tcPr>
            <w:tcW w:type="dxa" w:w="2492"/>
          </w:tcPr>
          <w:p>
            <w:pPr>
              <w:pStyle w:val="null3"/>
            </w:pPr>
            <w:r>
              <w:rPr>
                <w:rFonts w:ascii="仿宋_GB2312" w:hAnsi="仿宋_GB2312" w:cs="仿宋_GB2312" w:eastAsia="仿宋_GB2312"/>
              </w:rPr>
              <w:t>1、供应商根据自身情况及对项目的理解制定本项目工期进度保证方案，方案需包含以下内容：①保证工期措施方案；②施工进度表或施工网络图；③施工工序及交验方案。 2、以上评审内容无缺项或漏项且无缺陷或不足的得9.0分，每有一项评审内容存在缺项或漏项的扣3.0分，每项评审内容存在缺陷或不足的扣1.0分。 3、缺陷或不足指①仅有框架无实施内容，凭空编造；②内容交叉混乱、存在歧义、前后矛盾或不一致，涉及的规范及标准错误；③项目名称、编号、实施地点、实施时间明显错误。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2022年1月1日起至今，具有类似项目业绩（以合同或协议签订日期为准，投标文件中附合同或协议复印件，否则不作为评审依据），每提供一份有效业绩得2.0分，最多得4.0分。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