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版本号：KY2026-3-10520260522001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（货物类）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项目名称：</w:t>
      </w:r>
      <w:r>
        <w:rPr>
          <w:rFonts w:ascii="仿宋_GB2312" w:hAnsi="仿宋_GB2312" w:cs="仿宋_GB2312" w:eastAsia="仿宋_GB2312"/>
          <w:sz w:val="15"/>
          <w:b/>
        </w:rPr>
        <w:t>变异株监测试剂采购项目</w:t>
      </w:r>
    </w:p>
    <w:p>
      <w:pPr>
        <w:pStyle w:val="null3"/>
        <w:jc w:val="center"/>
        <w:outlineLvl w:val="5"/>
      </w:pPr>
      <w:r>
        <w:rPr>
          <w:rFonts w:ascii="仿宋_GB2312" w:hAnsi="仿宋_GB2312" w:cs="仿宋_GB2312" w:eastAsia="仿宋_GB2312"/>
          <w:sz w:val="15"/>
          <w:b/>
        </w:rPr>
        <w:t xml:space="preserve">项目编号: </w:t>
      </w:r>
      <w:r>
        <w:rPr>
          <w:rFonts w:ascii="仿宋_GB2312" w:hAnsi="仿宋_GB2312" w:cs="仿宋_GB2312" w:eastAsia="仿宋_GB2312"/>
          <w:sz w:val="15"/>
          <w:b/>
        </w:rPr>
        <w:t>KY2026-3-105</w:t>
      </w:r>
      <w:r>
        <w:br/>
      </w:r>
      <w:r>
        <w:br/>
      </w:r>
      <w:r>
        <w:br/>
      </w:r>
      <w:r>
        <w:br/>
      </w:r>
      <w:r>
        <w:br/>
      </w:r>
    </w:p>
    <w:p>
      <w:pPr>
        <w:pStyle w:val="null3"/>
        <w:jc w:val="center"/>
        <w:outlineLvl w:val="5"/>
      </w:pPr>
      <w:r>
        <w:rPr>
          <w:rFonts w:ascii="仿宋_GB2312" w:hAnsi="仿宋_GB2312" w:cs="仿宋_GB2312" w:eastAsia="仿宋_GB2312"/>
          <w:sz w:val="15"/>
          <w:b/>
        </w:rPr>
        <w:t>西安市疾病预防控制中心</w:t>
      </w:r>
    </w:p>
    <w:p>
      <w:pPr>
        <w:pStyle w:val="null3"/>
        <w:jc w:val="center"/>
        <w:outlineLvl w:val="5"/>
      </w:pPr>
      <w:r>
        <w:rPr>
          <w:rFonts w:ascii="仿宋_GB2312" w:hAnsi="仿宋_GB2312" w:cs="仿宋_GB2312" w:eastAsia="仿宋_GB2312"/>
          <w:sz w:val="15"/>
          <w:b/>
        </w:rPr>
        <w:t>陕西开源招标有限公司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2026年05月22日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西安市疾病预防控制中心</w:t>
      </w:r>
      <w:r>
        <w:rPr>
          <w:rFonts w:ascii="仿宋_GB2312" w:hAnsi="仿宋_GB2312" w:cs="仿宋_GB2312" w:eastAsia="仿宋_GB2312"/>
        </w:rPr>
        <w:t>委托，拟对</w:t>
      </w:r>
      <w:r>
        <w:rPr>
          <w:rFonts w:ascii="仿宋_GB2312" w:hAnsi="仿宋_GB2312" w:cs="仿宋_GB2312" w:eastAsia="仿宋_GB2312"/>
        </w:rPr>
        <w:t>变异株监测试剂采购项目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KY2026-3-105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变异株监测试剂采购项目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西安市疾病预防控制中心变异株监测试剂采购项目，具体内容详见采购文件第三章。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采购包1（变异株监测试剂采购）：属于专门面向中小企业采购。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年度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上一年度至今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4、社会保障资金缴纳证明：提供上一年度至今已缴存的至少一个月的社会保障资金缴存单据或社保机构开具的社会保险参保缴费情况证明，依法不需要缴纳社会保障资金的单位应提供相关证明材料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供应商应授权合法的人员参加谈判全过程，其中法定代表人直接参加谈判的，须出具法定代表人身份证，并与营业执照上信息一致。法定代表人授权代表参加谈判的，须出具法定代表人授权书及授权代表身份证，同时提供授权代表由供应商缴纳的开标日期前连续3个月的社保记录或与供应商之间存在合法劳动关系的证明材料</w:t>
      </w:r>
    </w:p>
    <w:p>
      <w:pPr>
        <w:pStyle w:val="null3"/>
      </w:pPr>
      <w:r>
        <w:rPr>
          <w:rFonts w:ascii="仿宋_GB2312" w:hAnsi="仿宋_GB2312" w:cs="仿宋_GB2312" w:eastAsia="仿宋_GB2312"/>
        </w:rPr>
        <w:t>8、关联关系承诺：供应商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函）</w:t>
      </w:r>
    </w:p>
    <w:p>
      <w:pPr>
        <w:pStyle w:val="null3"/>
      </w:pPr>
      <w:r>
        <w:rPr>
          <w:rFonts w:ascii="仿宋_GB2312" w:hAnsi="仿宋_GB2312" w:cs="仿宋_GB2312" w:eastAsia="仿宋_GB2312"/>
        </w:rPr>
        <w:t>9、承诺函2：本项目不接受由西安市疾病预防控制中心职工及其亲属投资开办的企业参加本单位的政府采购活动（提供承诺函）</w:t>
      </w:r>
    </w:p>
    <w:p>
      <w:pPr>
        <w:pStyle w:val="null3"/>
        <w:ind w:firstLine="480"/>
      </w:pPr>
      <w:r>
        <w:rPr>
          <w:rFonts w:ascii="仿宋_GB2312" w:hAnsi="仿宋_GB2312" w:cs="仿宋_GB2312" w:eastAsia="仿宋_GB2312"/>
        </w:rPr>
        <w:t>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jc w:val="left"/>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西安市疾病预防控制中心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西安市西影路599号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029-85535673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贾彤菲、王琦、戈迪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029-81206622-833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本项目各包预算金额如下：</w:t>
            </w:r>
          </w:p>
          <w:p>
            <w:pPr>
              <w:pStyle w:val="null3"/>
            </w:pPr>
            <w:r>
              <w:rPr>
                <w:rFonts w:ascii="仿宋_GB2312" w:hAnsi="仿宋_GB2312" w:cs="仿宋_GB2312" w:eastAsia="仿宋_GB2312"/>
              </w:rPr>
              <w:t>采购包1：760,000.00元</w:t>
            </w:r>
            <w:r>
              <w:rPr>
                <w:rFonts w:ascii="仿宋_GB2312" w:hAnsi="仿宋_GB2312" w:cs="仿宋_GB2312" w:eastAsia="仿宋_GB2312"/>
              </w:rPr>
              <w:t>供应商的包件采购报价高于包件采购预算的，其响应文件将按无效处理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采购包1：760,000.00元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供应商应依据预算金额向采购代理机构交纳中标服务费，交费金额参照国家计委颁布的《招标代理服务收费管理暂行办法》（计价格[2002]1980号）及发改办价格[2003]857号文件的规定标准收取。2、本项目代理服务费按货物计取。</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w:t>
            </w:r>
          </w:p>
          <w:p>
            <w:pPr>
              <w:pStyle w:val="null3"/>
            </w:pPr>
            <w:r>
              <w:rPr>
                <w:rFonts w:ascii="仿宋_GB2312" w:hAnsi="仿宋_GB2312" w:cs="仿宋_GB2312" w:eastAsia="仿宋_GB2312"/>
              </w:rPr>
              <w:t>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西安市疾病预防控制中心</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享有。对采购文件中供应商参加本次政府采购活动应当具备的条件、项目技术、服务、商务及其他要求，评审标准由采购人负责解释。除上述采购文件内容，其他内容由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西安市疾病预防控制中心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 xml:space="preserve"> 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（五）协商办法</w:t>
      </w:r>
    </w:p>
    <w:p>
      <w:pPr>
        <w:pStyle w:val="null3"/>
        <w:ind w:firstLine="480"/>
      </w:pPr>
      <w:r>
        <w:rPr>
          <w:rFonts w:ascii="仿宋_GB2312" w:hAnsi="仿宋_GB2312" w:cs="仿宋_GB2312" w:eastAsia="仿宋_GB2312"/>
        </w:rPr>
        <w:t>（六）响应文件格式</w:t>
      </w:r>
    </w:p>
    <w:p>
      <w:pPr>
        <w:pStyle w:val="null3"/>
        <w:ind w:firstLine="480"/>
      </w:pPr>
      <w:r>
        <w:rPr>
          <w:rFonts w:ascii="仿宋_GB2312" w:hAnsi="仿宋_GB2312" w:cs="仿宋_GB2312" w:eastAsia="仿宋_GB2312"/>
        </w:rPr>
        <w:t>（七）拟签订采购的合同文本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三、响应文件报价出现前后不一致的，按照第五章要求进行修正。修正后的报价经供应商通过项目电子化交易系统进行确认，并加盖供应商（法定名称）电子印章，供应商未在规定时间内报价的，其响应无效。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二、供应商应按照客户端操作要求，对应采购文件的每项资格、符合性要求，逐一对应进行响应；未逐一对应进行响应或者响应内容不符合采购文件对应项的要求的，其响应文件作无效处理。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 xml:space="preserve"> 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西安市疾病预防控制中心变异株监测试剂采购项目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760,000.00</w:t>
      </w:r>
    </w:p>
    <w:p>
      <w:pPr>
        <w:pStyle w:val="null3"/>
      </w:pPr>
      <w:r>
        <w:rPr>
          <w:rFonts w:ascii="仿宋_GB2312" w:hAnsi="仿宋_GB2312" w:cs="仿宋_GB2312" w:eastAsia="仿宋_GB2312"/>
        </w:rPr>
        <w:t>采购包最高限价（元）: 760,000.00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低起始量扩增子二代测序建库试剂盒</w:t>
            </w:r>
          </w:p>
        </w:tc>
        <w:tc>
          <w:tcPr>
            <w:tcW w:type="dxa" w:w="755"/>
          </w:tcPr>
          <w:p>
            <w:pPr>
              <w:pStyle w:val="null3"/>
              <w:jc w:val="right"/>
            </w:pPr>
            <w:r>
              <w:rPr>
                <w:rFonts w:ascii="仿宋_GB2312" w:hAnsi="仿宋_GB2312" w:cs="仿宋_GB2312" w:eastAsia="仿宋_GB2312"/>
              </w:rPr>
              <w:t>25.00</w:t>
            </w:r>
          </w:p>
        </w:tc>
        <w:tc>
          <w:tcPr>
            <w:tcW w:type="dxa" w:w="755"/>
          </w:tcPr>
          <w:p>
            <w:pPr>
              <w:pStyle w:val="null3"/>
              <w:jc w:val="right"/>
            </w:pPr>
            <w:r>
              <w:rPr>
                <w:rFonts w:ascii="仿宋_GB2312" w:hAnsi="仿宋_GB2312" w:cs="仿宋_GB2312" w:eastAsia="仿宋_GB2312"/>
              </w:rPr>
              <w:t>760,000.00</w:t>
            </w:r>
          </w:p>
        </w:tc>
        <w:tc>
          <w:tcPr>
            <w:tcW w:type="dxa" w:w="755"/>
          </w:tcPr>
          <w:p>
            <w:pPr>
              <w:pStyle w:val="null3"/>
            </w:pPr>
            <w:r>
              <w:rPr>
                <w:rFonts w:ascii="仿宋_GB2312" w:hAnsi="仿宋_GB2312" w:cs="仿宋_GB2312" w:eastAsia="仿宋_GB2312"/>
              </w:rPr>
              <w:t>盒</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标的名称：低起始量扩增子二代测序建库试剂盒</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低起始量扩增子二代测序建库试剂盒</w:t>
            </w:r>
            <w:r>
              <w:rPr>
                <w:rFonts w:ascii="仿宋_GB2312" w:hAnsi="仿宋_GB2312" w:cs="仿宋_GB2312" w:eastAsia="仿宋_GB2312"/>
              </w:rPr>
              <w:t>（</w:t>
            </w:r>
            <w:r>
              <w:rPr>
                <w:rFonts w:ascii="仿宋_GB2312" w:hAnsi="仿宋_GB2312" w:cs="仿宋_GB2312" w:eastAsia="仿宋_GB2312"/>
              </w:rPr>
              <w:t>25盒）</w:t>
            </w:r>
          </w:p>
          <w:p>
            <w:pPr>
              <w:pStyle w:val="null3"/>
            </w:pPr>
            <w:r>
              <w:rPr>
                <w:rFonts w:ascii="仿宋_GB2312" w:hAnsi="仿宋_GB2312" w:cs="仿宋_GB2312" w:eastAsia="仿宋_GB2312"/>
              </w:rPr>
              <w:t>1.试剂盒适配柏炬BJ480自动化建库仪使用，适用于illumina miniseq测序平台文库制备，支持 gDNA 以及常见病毒全基因组 扩增产物自动化建库。</w:t>
            </w:r>
          </w:p>
          <w:p>
            <w:pPr>
              <w:pStyle w:val="null3"/>
            </w:pPr>
            <w:r>
              <w:rPr>
                <w:rFonts w:ascii="仿宋_GB2312" w:hAnsi="仿宋_GB2312" w:cs="仿宋_GB2312" w:eastAsia="仿宋_GB2312"/>
              </w:rPr>
              <w:t>2.试剂盒采用转座酶法进行DNA片段化、并嵌入接头序列，然后基于有限循环PCR添加Index-P5/P7读取序列，最终制备成二代测序专业高通量测序平台专用文库。</w:t>
            </w:r>
          </w:p>
          <w:p>
            <w:pPr>
              <w:pStyle w:val="null3"/>
            </w:pPr>
            <w:r>
              <w:rPr>
                <w:rFonts w:ascii="仿宋_GB2312" w:hAnsi="仿宋_GB2312" w:cs="仿宋_GB2312" w:eastAsia="仿宋_GB2312"/>
              </w:rPr>
              <w:t>3.建库起始量≤1ng，可在Illumina测序平台上对混合文库进行双序列标签测。</w:t>
            </w:r>
          </w:p>
          <w:p>
            <w:pPr>
              <w:pStyle w:val="null3"/>
            </w:pPr>
            <w:r>
              <w:rPr>
                <w:rFonts w:ascii="仿宋_GB2312" w:hAnsi="仿宋_GB2312" w:cs="仿宋_GB2312" w:eastAsia="仿宋_GB2312"/>
              </w:rPr>
              <w:t>4.可适配BJ480建库仪完成全自动Pooling，实现各个样品上样浓度均一化。</w:t>
            </w:r>
          </w:p>
          <w:p>
            <w:pPr>
              <w:pStyle w:val="null3"/>
            </w:pPr>
            <w:r>
              <w:rPr>
                <w:rFonts w:ascii="仿宋_GB2312" w:hAnsi="仿宋_GB2312" w:cs="仿宋_GB2312" w:eastAsia="仿宋_GB2312"/>
              </w:rPr>
              <w:t>5.试剂盒提供磁珠纯化、index和转座酶建库模块，满足建库所需所有试剂和组分，无需额外添置试剂；</w:t>
            </w:r>
          </w:p>
          <w:p>
            <w:pPr>
              <w:pStyle w:val="null3"/>
            </w:pPr>
            <w:r>
              <w:rPr>
                <w:rFonts w:ascii="仿宋_GB2312" w:hAnsi="仿宋_GB2312" w:cs="仿宋_GB2312" w:eastAsia="仿宋_GB2312"/>
              </w:rPr>
              <w:t>6.提供48个不同的illumina index，用于混样建库，Index使用方式以孔板穿刺式吸取，无需开盖，避免交叉污染。</w:t>
            </w:r>
          </w:p>
          <w:p>
            <w:pPr>
              <w:pStyle w:val="null3"/>
            </w:pPr>
            <w:r>
              <w:rPr>
                <w:rFonts w:ascii="仿宋_GB2312" w:hAnsi="仿宋_GB2312" w:cs="仿宋_GB2312" w:eastAsia="仿宋_GB2312"/>
              </w:rPr>
              <w:t>7.提供48样本磁珠，用于核酸纯化，磁珠使用方式以孔板穿刺式吸取，无需开盖，避免交叉污染。</w:t>
            </w:r>
          </w:p>
          <w:p>
            <w:pPr>
              <w:pStyle w:val="null3"/>
            </w:pPr>
            <w:r>
              <w:rPr>
                <w:rFonts w:ascii="仿宋_GB2312" w:hAnsi="仿宋_GB2312" w:cs="仿宋_GB2312" w:eastAsia="仿宋_GB2312"/>
              </w:rPr>
              <w:t>8.试剂中磁珠、乙醇、无酶水等成分用铝膜封装，保证实验室液体不会蒸发，适配柏炬BJ480孔板穿刺式吸取，无需开盖。</w:t>
            </w:r>
          </w:p>
          <w:p>
            <w:pPr>
              <w:pStyle w:val="null3"/>
            </w:pPr>
            <w:r>
              <w:rPr>
                <w:rFonts w:ascii="仿宋_GB2312" w:hAnsi="仿宋_GB2312" w:cs="仿宋_GB2312" w:eastAsia="仿宋_GB2312"/>
              </w:rPr>
              <w:t>9.动化完成1-48个任意数量样本建库，可以实现1-48个样本的核酸进文库出，建库流程启动到结束中间过程无需添加任何试剂和耗材，无需手工介入，全程自动化完成.</w:t>
            </w:r>
          </w:p>
          <w:p>
            <w:pPr>
              <w:pStyle w:val="null3"/>
            </w:pPr>
            <w:r>
              <w:rPr>
                <w:rFonts w:ascii="仿宋_GB2312" w:hAnsi="仿宋_GB2312" w:cs="仿宋_GB2312" w:eastAsia="仿宋_GB2312"/>
              </w:rPr>
              <w:t>10.试剂盒可提供自动化体系配制及手工体系配置两种流程，满足不同应用场景需求。可提供试剂自定义拆分流程，可完成不同数量样本自定义上机，试剂盒可重复使用，至少可拆分使用三次以上。</w:t>
            </w:r>
          </w:p>
          <w:p>
            <w:pPr>
              <w:pStyle w:val="null3"/>
            </w:pPr>
            <w:r>
              <w:rPr>
                <w:rFonts w:ascii="仿宋_GB2312" w:hAnsi="仿宋_GB2312" w:cs="仿宋_GB2312" w:eastAsia="仿宋_GB2312"/>
              </w:rPr>
              <w:t>11.48样本建库全流程总时间不超过5小时，快速建库流程不超过3.5小时。</w:t>
            </w:r>
          </w:p>
          <w:p>
            <w:pPr>
              <w:pStyle w:val="null3"/>
            </w:pPr>
            <w:r>
              <w:rPr>
                <w:rFonts w:ascii="仿宋_GB2312" w:hAnsi="仿宋_GB2312" w:cs="仿宋_GB2312" w:eastAsia="仿宋_GB2312"/>
                <w:sz w:val="21"/>
              </w:rPr>
              <w:t>12.</w:t>
            </w:r>
            <w:r>
              <w:rPr>
                <w:rFonts w:ascii="仿宋_GB2312" w:hAnsi="仿宋_GB2312" w:cs="仿宋_GB2312" w:eastAsia="仿宋_GB2312"/>
                <w:sz w:val="21"/>
              </w:rPr>
              <w:t>试剂盒生产厂家需提供生信分析软件，精准实现物种鉴定、分型溯源、耐药和毒力分析等，支持二代（</w:t>
            </w:r>
            <w:r>
              <w:rPr>
                <w:rFonts w:ascii="仿宋_GB2312" w:hAnsi="仿宋_GB2312" w:cs="仿宋_GB2312" w:eastAsia="仿宋_GB2312"/>
                <w:sz w:val="21"/>
              </w:rPr>
              <w:t>illumina、ion torrent和华大）和三代（Nanopore和Pacbio）测序下机数据的分析，允许pod5，fast5，fastq，barcode fastq以及对应压缩包等多种数据格式直接导入分析，无需额外处理。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接到采购人送货通知后，30天内送达采购人指定地点</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西安市疾病预防控制中心指定地点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其他，合同签订后，乙方须按其响应文件中响应的供货期按时交货并提供全额合规发票，保证“货票同行”。货物到达甲方指定地点，验收合格后，达到付款条件起22个工作日内，支付合同总金额的100.0%</w:t>
      </w:r>
    </w:p>
    <w:p>
      <w:pPr>
        <w:pStyle w:val="null3"/>
        <w:jc w:val="left"/>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ind w:firstLine="480"/>
        <w:jc w:val="left"/>
      </w:pPr>
      <w:r>
        <w:rPr>
          <w:rFonts w:ascii="仿宋_GB2312" w:hAnsi="仿宋_GB2312" w:cs="仿宋_GB2312" w:eastAsia="仿宋_GB2312"/>
        </w:rPr>
        <w:t xml:space="preserve"> 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有效期：试剂有效期12个月；质保期：自货物验收合格之日起计算,质保不少于10个月。在质量保证期内，乙方对由于设计、工艺或材料的缺陷或运输、保存而产生的事故负责（负责解决并承担全部费用）。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按招标文件及合同约定执行</w:t>
      </w:r>
    </w:p>
    <w:p>
      <w:pPr>
        <w:pStyle w:val="null3"/>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1、本项目落实的政府采购政策： ①《政府采购促进中小企业发展管理办法》的通知--财库〔2020〕46号；②《财政部 司法部关于政府采购支持监狱企业发展有关问题的通知》（财库〔2014〕68号）； ③《三部门联合发布关于促进残疾人就业政府采购政策的通知》（财库〔2017〕141号）； ④《财政部 发展改革委 生态环境部 市场监管总局关于调整优化节能产品、环境标志产品政府采购执行机制的通知》（财库〔2019〕9号）； ⑤《关于运用政府采购政策支持乡村产业振兴的通知》（财库〔2021〕19号）； ⑥《政府采购促进中小企业发展管理办法》（财库〔2020〕46号）； ⑦陕西省财政厅关于印发《陕西省中小企业政府采购信用融资办法》（陕财办采〔2018〕23号）； ⑧《关于进一步加大政府采购支持中小企业力度的通知》（财库〔2022〕19号）； ⑨《关于扩大政府采购支持绿色建材促进建筑品质提升政策实施范围的通知》（财库〔2022〕35号）； ⑩《关于推动解决政府采购异常低价问题的通知》财库〔2026〕2号；⑪《国务院办公厅关于在政府采购中实施本国产品标准及相关政策的通知》国办发〔2025〕34号；⑫若享受以上政策优惠的企业，提供相应声明函或品目范围内产品有效认证证书。如有最新颁布的政府采购政策，按最新的文件执行。 2、保证金的退还：自中标通知书发出之日起5个工作日内退还未中标人的投标保证金,自采购合同签订之日起5个工作日内退还中标人的投标保证金。合同签订后，中标人需将合同扫描件发送至指定联系人邮箱，邮箱地址为1347072385@qq.com，并以邮件接收时间为退付的基准时间。 3、为顺利推进政府采购电子化交易平台应用工作，供应商需要在线提交所有通过电子化交易平台实施的政府采购项目的响应文件，同时，线下提交纸质响应文件正本壹份、副本壹份。4、纸质响应文件正、副本分别胶装，标明供应商名称密封递交，递交截止时间同在线递交响应电子文件截止时间一致，递交地址：西安市雁展路1111号莱安中心T6-15层。（纸质响应文件可邮寄（仅接受顺丰速运），邮件签收时间应在递交电子响应文件截止时间之前，邮寄地址：西安市雁展路1111号莱安中心T6-15层，联系人：贾彤菲，联系电话：029-81206622/81206633-833）。若电子响应文件与纸质响应文件不一致的，以电子响应文件为准。5、谈判文件中所有的商务要求均为实质性要求，供应商必须响应并满足。</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提供上一年度至今任意一个月的依法缴纳税收的相关凭据（时间以税款所属日期为准），凭据应有税务机关或代收机关的公章或业务专用章。依法免税或无须缴纳税收的供应商，应提供相应证明文件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提供上一年度至今已缴存的至少一个月的社会保障资金缴存单据或社保机构开具的社会保险参保缴费情况证明，依法不需要缴纳社会保障资金的单位应提供相关证明材料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供应商应授权合法的人员参加谈判全过程，其中法定代表人直接参加谈判的，须出具法定代表人身份证，并与营业执照上信息一致。法定代表人授权代表参加谈判的，须出具法定代表人授权书及授权代表身份证，同时提供授权代表由供应商缴纳的开标日期前连续3个月的社保记录或与供应商之间存在合法劳动关系的证明材料</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关联关系承诺</w:t>
            </w:r>
          </w:p>
        </w:tc>
        <w:tc>
          <w:tcPr>
            <w:tcW w:type="dxa" w:w="3322"/>
          </w:tcPr>
          <w:p>
            <w:pPr>
              <w:pStyle w:val="null3"/>
            </w:pPr>
            <w:r>
              <w:rPr>
                <w:rFonts w:ascii="仿宋_GB2312" w:hAnsi="仿宋_GB2312" w:cs="仿宋_GB2312" w:eastAsia="仿宋_GB2312"/>
              </w:rPr>
              <w:t>供应商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函）</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承诺函2</w:t>
            </w:r>
          </w:p>
        </w:tc>
        <w:tc>
          <w:tcPr>
            <w:tcW w:type="dxa" w:w="3322"/>
          </w:tcPr>
          <w:p>
            <w:pPr>
              <w:pStyle w:val="null3"/>
            </w:pPr>
            <w:r>
              <w:rPr>
                <w:rFonts w:ascii="仿宋_GB2312" w:hAnsi="仿宋_GB2312" w:cs="仿宋_GB2312" w:eastAsia="仿宋_GB2312"/>
              </w:rPr>
              <w:t>本项目不接受由西安市疾病预防控制中心职工及其亲属投资开办的企业参加本单位的政府采购活动（提供承诺函）</w:t>
            </w:r>
          </w:p>
        </w:tc>
        <w:tc>
          <w:tcPr>
            <w:tcW w:type="dxa" w:w="1661"/>
          </w:tcPr>
          <w:p>
            <w:pPr>
              <w:pStyle w:val="null3"/>
            </w:pPr>
            <w:r>
              <w:rPr>
                <w:rFonts w:ascii="仿宋_GB2312" w:hAnsi="仿宋_GB2312" w:cs="仿宋_GB2312" w:eastAsia="仿宋_GB2312"/>
              </w:rPr>
              <w:t>供应商资格条件证明文件.docx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jc w:val="left"/>
      </w:pPr>
      <w:r>
        <w:rPr>
          <w:rFonts w:ascii="仿宋_GB2312" w:hAnsi="仿宋_GB2312" w:cs="仿宋_GB2312" w:eastAsia="仿宋_GB2312"/>
        </w:rPr>
        <w:t>（一）熟悉和理解单一来源采购文件；</w:t>
      </w:r>
    </w:p>
    <w:p>
      <w:pPr>
        <w:pStyle w:val="null3"/>
        <w:ind w:firstLine="480"/>
        <w:jc w:val="left"/>
      </w:pPr>
      <w:r>
        <w:rPr>
          <w:rFonts w:ascii="仿宋_GB2312" w:hAnsi="仿宋_GB2312" w:cs="仿宋_GB2312" w:eastAsia="仿宋_GB2312"/>
        </w:rPr>
        <w:t xml:space="preserve"> （二）审查供应商响应文件等是否满足单一来源采购文件要求，并作出评价；</w:t>
      </w:r>
    </w:p>
    <w:p>
      <w:pPr>
        <w:pStyle w:val="null3"/>
        <w:ind w:firstLine="480"/>
        <w:jc w:val="left"/>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jc w:val="left"/>
      </w:pPr>
      <w:r>
        <w:rPr>
          <w:rFonts w:ascii="仿宋_GB2312" w:hAnsi="仿宋_GB2312" w:cs="仿宋_GB2312" w:eastAsia="仿宋_GB2312"/>
        </w:rPr>
        <w:t>（四）推荐成交候选供应商，或者受采购人委托确定成交供应商；</w:t>
      </w:r>
    </w:p>
    <w:p>
      <w:pPr>
        <w:pStyle w:val="null3"/>
        <w:ind w:firstLine="480"/>
        <w:jc w:val="left"/>
      </w:pPr>
      <w:r>
        <w:rPr>
          <w:rFonts w:ascii="仿宋_GB2312" w:hAnsi="仿宋_GB2312" w:cs="仿宋_GB2312" w:eastAsia="仿宋_GB2312"/>
        </w:rPr>
        <w:t>（五）起草评审报告并进行签署；</w:t>
      </w:r>
    </w:p>
    <w:p>
      <w:pPr>
        <w:pStyle w:val="null3"/>
        <w:ind w:firstLine="480"/>
        <w:jc w:val="left"/>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jc w:val="left"/>
      </w:pPr>
      <w:r>
        <w:rPr>
          <w:rFonts w:ascii="仿宋_GB2312" w:hAnsi="仿宋_GB2312" w:cs="仿宋_GB2312" w:eastAsia="仿宋_GB2312"/>
        </w:rPr>
        <w:t>（七）法律、法规和规章规定的其他职责。</w:t>
      </w:r>
    </w:p>
    <w:p>
      <w:pPr>
        <w:pStyle w:val="null3"/>
        <w:jc w:val="left"/>
        <w:outlineLvl w:val="3"/>
      </w:pPr>
      <w:r>
        <w:rPr>
          <w:rFonts w:ascii="仿宋_GB2312" w:hAnsi="仿宋_GB2312" w:cs="仿宋_GB2312" w:eastAsia="仿宋_GB2312"/>
          <w:sz w:val="24"/>
          <w:b/>
        </w:rPr>
        <w:t>5.2.2.熟悉和理解采购文件和停止评审</w:t>
      </w:r>
    </w:p>
    <w:p>
      <w:pPr>
        <w:pStyle w:val="null3"/>
        <w:ind w:firstLine="480"/>
        <w:jc w:val="left"/>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jc w:val="left"/>
      </w:pPr>
      <w:r>
        <w:rPr>
          <w:rFonts w:ascii="仿宋_GB2312" w:hAnsi="仿宋_GB2312" w:cs="仿宋_GB2312" w:eastAsia="仿宋_GB2312"/>
        </w:rPr>
        <w:t>二、本采购文件有下列情形之一的，协商小组应当停止评审：</w:t>
      </w:r>
    </w:p>
    <w:p>
      <w:pPr>
        <w:pStyle w:val="null3"/>
        <w:ind w:firstLine="480"/>
        <w:jc w:val="left"/>
      </w:pPr>
      <w:r>
        <w:rPr>
          <w:rFonts w:ascii="仿宋_GB2312" w:hAnsi="仿宋_GB2312" w:cs="仿宋_GB2312" w:eastAsia="仿宋_GB2312"/>
        </w:rPr>
        <w:t>（一）采购文件的规定存在歧义、重大缺陷的；</w:t>
      </w:r>
    </w:p>
    <w:p>
      <w:pPr>
        <w:pStyle w:val="null3"/>
        <w:ind w:firstLine="480"/>
        <w:jc w:val="left"/>
      </w:pPr>
      <w:r>
        <w:rPr>
          <w:rFonts w:ascii="仿宋_GB2312" w:hAnsi="仿宋_GB2312" w:cs="仿宋_GB2312" w:eastAsia="仿宋_GB2312"/>
        </w:rPr>
        <w:t>（二）采购文件明显以不合理条件对供应商实行差别待遇或者歧视待遇的；</w:t>
      </w:r>
    </w:p>
    <w:p>
      <w:pPr>
        <w:pStyle w:val="null3"/>
        <w:ind w:firstLine="480"/>
        <w:jc w:val="left"/>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jc w:val="left"/>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jc w:val="left"/>
      </w:pPr>
      <w:r>
        <w:rPr>
          <w:rFonts w:ascii="仿宋_GB2312" w:hAnsi="仿宋_GB2312" w:cs="仿宋_GB2312" w:eastAsia="仿宋_GB2312"/>
        </w:rPr>
        <w:t>（五）采购文件将供应商的资格条件列为评分因素的；</w:t>
      </w:r>
    </w:p>
    <w:p>
      <w:pPr>
        <w:pStyle w:val="null3"/>
        <w:ind w:firstLine="480"/>
        <w:jc w:val="left"/>
      </w:pPr>
      <w:r>
        <w:rPr>
          <w:rFonts w:ascii="仿宋_GB2312" w:hAnsi="仿宋_GB2312" w:cs="仿宋_GB2312" w:eastAsia="仿宋_GB2312"/>
        </w:rPr>
        <w:t>（六）采购文件载明的成交原则不合法的；</w:t>
      </w:r>
    </w:p>
    <w:p>
      <w:pPr>
        <w:pStyle w:val="null3"/>
        <w:ind w:firstLine="480"/>
        <w:jc w:val="left"/>
      </w:pPr>
      <w:r>
        <w:rPr>
          <w:rFonts w:ascii="仿宋_GB2312" w:hAnsi="仿宋_GB2312" w:cs="仿宋_GB2312" w:eastAsia="仿宋_GB2312"/>
        </w:rPr>
        <w:t>（七）采购文件有违反国家其他有关强制性规定的情形。</w:t>
      </w:r>
    </w:p>
    <w:p>
      <w:pPr>
        <w:pStyle w:val="null3"/>
        <w:ind w:firstLine="480"/>
        <w:jc w:val="left"/>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供应商按照采购文件要求上传响应文件</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标的清单 报价表 项目实施方案 响应函 其他说明.docx 监狱企业的证明文件 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供应商报价明显低于其他实质性响应的供应商报价，有可能影响产品质量或者不能诚信履约的，评标委员会应当要求其在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评标委员会应当要求相关供应商在评审现场合理的时间内对投标（响应）价格作出解释，提供项目具体成本测算等与报价合理性相关的书面说明及必要的证明材料，包括但不限于原材料成本、人工成本、制造费用等。 3.供应商提交的相关说明和证明材料，应当加盖供应商（法定名称）电子印章，在评标委员会要求的时间内通过项目电子化交易系统进行提交，否则提交的相关证明材料无效。供应商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供应商按照采购文件要求上传响应文件</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标的清单 报价表 项目实施方案 响应函 其他说明.docx 监狱企业的证明文件 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响应报价是否超过采购预算或者最高限价</w:t>
            </w:r>
          </w:p>
        </w:tc>
        <w:tc>
          <w:tcPr>
            <w:tcW w:type="dxa" w:w="3322"/>
          </w:tcPr>
          <w:p>
            <w:pPr>
              <w:pStyle w:val="null3"/>
            </w:pPr>
            <w:r>
              <w:rPr>
                <w:rFonts w:ascii="仿宋_GB2312" w:hAnsi="仿宋_GB2312" w:cs="仿宋_GB2312" w:eastAsia="仿宋_GB2312"/>
              </w:rPr>
              <w:t>响应报价未超过采购预算或最高限价</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标的数量满足招标要求</w:t>
            </w:r>
          </w:p>
        </w:tc>
        <w:tc>
          <w:tcPr>
            <w:tcW w:type="dxa" w:w="1661"/>
          </w:tcPr>
          <w:p>
            <w:pPr>
              <w:pStyle w:val="null3"/>
            </w:pPr>
            <w:r>
              <w:rPr>
                <w:rFonts w:ascii="仿宋_GB2312" w:hAnsi="仿宋_GB2312" w:cs="仿宋_GB2312" w:eastAsia="仿宋_GB2312"/>
              </w:rPr>
              <w:t>产品技术参数表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响应文件按招标文件要求的数量、计量单位、报价货币及签字盖章</w:t>
            </w:r>
          </w:p>
        </w:tc>
        <w:tc>
          <w:tcPr>
            <w:tcW w:type="dxa" w:w="3322"/>
          </w:tcPr>
          <w:p>
            <w:pPr>
              <w:pStyle w:val="null3"/>
            </w:pPr>
            <w:r>
              <w:rPr>
                <w:rFonts w:ascii="仿宋_GB2312" w:hAnsi="仿宋_GB2312" w:cs="仿宋_GB2312" w:eastAsia="仿宋_GB2312"/>
              </w:rPr>
              <w:t>响应文件按招标文件要求的数量、计量单位、报价货币及签字盖章</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商务要求实质性响应</w:t>
            </w:r>
          </w:p>
        </w:tc>
        <w:tc>
          <w:tcPr>
            <w:tcW w:type="dxa" w:w="3322"/>
          </w:tcPr>
          <w:p>
            <w:pPr>
              <w:pStyle w:val="null3"/>
            </w:pPr>
            <w:r>
              <w:rPr>
                <w:rFonts w:ascii="仿宋_GB2312" w:hAnsi="仿宋_GB2312" w:cs="仿宋_GB2312" w:eastAsia="仿宋_GB2312"/>
              </w:rPr>
              <w:t>响应文件的交货期、交货地点、质保期、付款方式、合同等商务内容符合招标文件要求</w:t>
            </w:r>
          </w:p>
        </w:tc>
        <w:tc>
          <w:tcPr>
            <w:tcW w:type="dxa" w:w="1661"/>
          </w:tcPr>
          <w:p>
            <w:pPr>
              <w:pStyle w:val="null3"/>
            </w:pPr>
            <w:r>
              <w:rPr>
                <w:rFonts w:ascii="仿宋_GB2312" w:hAnsi="仿宋_GB2312" w:cs="仿宋_GB2312" w:eastAsia="仿宋_GB2312"/>
              </w:rPr>
              <w:t>商务应答表 其他说明.docx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响应文件未含有采购人不能接受的附加条件的</w:t>
            </w:r>
          </w:p>
        </w:tc>
        <w:tc>
          <w:tcPr>
            <w:tcW w:type="dxa" w:w="1661"/>
          </w:tcPr>
          <w:p>
            <w:pPr>
              <w:pStyle w:val="null3"/>
            </w:pPr>
            <w:r>
              <w:rPr>
                <w:rFonts w:ascii="仿宋_GB2312" w:hAnsi="仿宋_GB2312" w:cs="仿宋_GB2312" w:eastAsia="仿宋_GB2312"/>
              </w:rPr>
              <w:t>产品技术参数表 商务应答表 标的清单 报价表 项目实施方案 其他说明.docx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符合法律、法规和采购文件中规定的其他实质性要求</w:t>
            </w:r>
          </w:p>
        </w:tc>
        <w:tc>
          <w:tcPr>
            <w:tcW w:type="dxa" w:w="3322"/>
          </w:tcPr>
          <w:p>
            <w:pPr>
              <w:pStyle w:val="null3"/>
            </w:pPr>
            <w:r>
              <w:rPr>
                <w:rFonts w:ascii="仿宋_GB2312" w:hAnsi="仿宋_GB2312" w:cs="仿宋_GB2312" w:eastAsia="仿宋_GB2312"/>
              </w:rPr>
              <w:t>符合法律、法规和采购文件中规定的其他实质性要求</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标的清单 报价表 项目实施方案 响应函 其他说明.docx 监狱企业的证明文件 供应商资格条件证明文件.docx</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一、协商会议在项目电子化交易系统进行。协商会议由代理机构在线主持，供应商代表在线参加。</w:t>
      </w:r>
    </w:p>
    <w:p>
      <w:pPr>
        <w:pStyle w:val="null3"/>
        <w:ind w:firstLine="480"/>
      </w:pPr>
      <w:r>
        <w:rPr>
          <w:rFonts w:ascii="仿宋_GB2312" w:hAnsi="仿宋_GB2312" w:cs="仿宋_GB2312" w:eastAsia="仿宋_GB2312"/>
        </w:rPr>
        <w:t>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jc w:val="left"/>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jc w:val="left"/>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jc w:val="left"/>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jc w:val="left"/>
      </w:pPr>
      <w:r>
        <w:rPr>
          <w:rFonts w:ascii="仿宋_GB2312" w:hAnsi="仿宋_GB2312" w:cs="仿宋_GB2312" w:eastAsia="仿宋_GB2312"/>
        </w:rPr>
        <w:t>（一）因情况变化，不再符合规定的单一来源采购方式适用情形的；</w:t>
      </w:r>
    </w:p>
    <w:p>
      <w:pPr>
        <w:pStyle w:val="null3"/>
        <w:jc w:val="left"/>
      </w:pPr>
      <w:r>
        <w:rPr>
          <w:rFonts w:ascii="仿宋_GB2312" w:hAnsi="仿宋_GB2312" w:cs="仿宋_GB2312" w:eastAsia="仿宋_GB2312"/>
        </w:rPr>
        <w:t>（二）出现影响采购公正的违法、违规行为的；</w:t>
      </w:r>
    </w:p>
    <w:p>
      <w:pPr>
        <w:pStyle w:val="null3"/>
        <w:jc w:val="left"/>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jc w:val="left"/>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 xml:space="preserve"> 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详见附件：项目实施方案</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详见附件：其他说明.docx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