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30DFC">
      <w:pPr>
        <w:jc w:val="center"/>
      </w:pPr>
      <w:r>
        <w:rPr>
          <w:rFonts w:hint="eastAsia"/>
        </w:rPr>
        <w:t>　　合同编号：</w:t>
      </w:r>
    </w:p>
    <w:p w14:paraId="3132523E">
      <w:pPr>
        <w:snapToGrid w:val="0"/>
        <w:spacing w:line="360" w:lineRule="auto"/>
        <w:jc w:val="center"/>
        <w:rPr>
          <w:rStyle w:val="8"/>
          <w:rFonts w:hint="default"/>
          <w:sz w:val="40"/>
          <w:szCs w:val="40"/>
        </w:rPr>
      </w:pPr>
      <w:bookmarkStart w:id="0" w:name="_Toc29289"/>
      <w:bookmarkStart w:id="1" w:name="_Toc10379"/>
      <w:bookmarkStart w:id="2" w:name="_Toc28907"/>
    </w:p>
    <w:bookmarkEnd w:id="0"/>
    <w:bookmarkEnd w:id="1"/>
    <w:bookmarkEnd w:id="2"/>
    <w:p w14:paraId="3A213EE7">
      <w:pPr>
        <w:snapToGrid w:val="0"/>
        <w:spacing w:line="360" w:lineRule="auto"/>
        <w:jc w:val="center"/>
        <w:rPr>
          <w:rStyle w:val="8"/>
          <w:rFonts w:hint="default"/>
          <w:color w:val="auto"/>
          <w:sz w:val="28"/>
          <w:szCs w:val="28"/>
        </w:rPr>
      </w:pPr>
      <w:r>
        <w:rPr>
          <w:rStyle w:val="8"/>
          <w:rFonts w:hint="default"/>
          <w:color w:val="auto"/>
          <w:sz w:val="28"/>
          <w:szCs w:val="28"/>
        </w:rPr>
        <w:t>（</w:t>
      </w:r>
      <w:r>
        <w:rPr>
          <w:rStyle w:val="8"/>
          <w:rFonts w:hint="eastAsia"/>
          <w:color w:val="auto"/>
          <w:sz w:val="28"/>
          <w:szCs w:val="28"/>
          <w:lang w:val="en-US" w:eastAsia="zh-CN"/>
        </w:rPr>
        <w:t>合同文本仅供参考</w:t>
      </w:r>
      <w:r>
        <w:rPr>
          <w:rStyle w:val="8"/>
          <w:rFonts w:hint="default"/>
          <w:color w:val="auto"/>
          <w:sz w:val="28"/>
          <w:szCs w:val="28"/>
        </w:rPr>
        <w:t>，最终以实际签订为准</w:t>
      </w:r>
      <w:r>
        <w:rPr>
          <w:rStyle w:val="8"/>
          <w:rFonts w:hint="eastAsia"/>
          <w:color w:val="auto"/>
          <w:sz w:val="28"/>
          <w:szCs w:val="28"/>
          <w:lang w:eastAsia="zh-CN"/>
        </w:rPr>
        <w:t>，</w:t>
      </w:r>
      <w:r>
        <w:rPr>
          <w:rStyle w:val="8"/>
          <w:rFonts w:hint="eastAsia"/>
          <w:color w:val="auto"/>
          <w:sz w:val="28"/>
          <w:szCs w:val="28"/>
          <w:lang w:val="en-US" w:eastAsia="zh-CN"/>
        </w:rPr>
        <w:t>但不得改变招标实质内容</w:t>
      </w:r>
      <w:r>
        <w:rPr>
          <w:rStyle w:val="8"/>
          <w:rFonts w:hint="default"/>
          <w:color w:val="auto"/>
          <w:sz w:val="28"/>
          <w:szCs w:val="28"/>
        </w:rPr>
        <w:t>）</w:t>
      </w:r>
    </w:p>
    <w:p w14:paraId="0F8F3ED2">
      <w:pPr>
        <w:snapToGrid w:val="0"/>
        <w:spacing w:line="360" w:lineRule="auto"/>
        <w:jc w:val="center"/>
        <w:rPr>
          <w:rFonts w:ascii="宋体" w:hAnsi="宋体"/>
          <w:b/>
          <w:bCs/>
          <w:sz w:val="44"/>
          <w:szCs w:val="44"/>
        </w:rPr>
      </w:pPr>
    </w:p>
    <w:p w14:paraId="4910C77F">
      <w:pPr>
        <w:spacing w:line="360" w:lineRule="auto"/>
        <w:jc w:val="center"/>
        <w:outlineLvl w:val="9"/>
        <w:rPr>
          <w:rFonts w:hint="eastAsia" w:ascii="宋体" w:hAnsi="宋体" w:eastAsia="宋体" w:cs="宋体"/>
          <w:b/>
          <w:color w:val="000000"/>
          <w:spacing w:val="0"/>
          <w:kern w:val="0"/>
          <w:sz w:val="56"/>
          <w:szCs w:val="56"/>
          <w:highlight w:val="none"/>
          <w:lang w:eastAsia="zh-CN"/>
        </w:rPr>
      </w:pPr>
      <w:r>
        <w:rPr>
          <w:rFonts w:hint="eastAsia" w:ascii="宋体" w:hAnsi="宋体" w:cs="宋体"/>
          <w:b/>
          <w:color w:val="000000"/>
          <w:spacing w:val="0"/>
          <w:kern w:val="0"/>
          <w:sz w:val="56"/>
          <w:szCs w:val="56"/>
          <w:highlight w:val="none"/>
          <w:lang w:eastAsia="zh-CN"/>
        </w:rPr>
        <w:t>2026年“戏曲进乡村”惠民演出活动</w:t>
      </w:r>
    </w:p>
    <w:p w14:paraId="465A6CAB">
      <w:pPr>
        <w:jc w:val="center"/>
        <w:outlineLvl w:val="9"/>
        <w:rPr>
          <w:rFonts w:hint="eastAsia" w:ascii="宋体" w:hAnsi="宋体" w:eastAsia="宋体" w:cs="宋体"/>
          <w:b/>
          <w:color w:val="000000"/>
          <w:spacing w:val="0"/>
          <w:kern w:val="0"/>
          <w:sz w:val="36"/>
          <w:szCs w:val="36"/>
          <w:highlight w:val="none"/>
          <w:lang w:eastAsia="zh-CN"/>
        </w:rPr>
      </w:pPr>
      <w:r>
        <w:rPr>
          <w:rFonts w:hint="eastAsia" w:ascii="宋体" w:hAnsi="宋体" w:eastAsia="宋体" w:cs="宋体"/>
          <w:b/>
          <w:color w:val="000000"/>
          <w:spacing w:val="0"/>
          <w:kern w:val="0"/>
          <w:sz w:val="56"/>
          <w:szCs w:val="56"/>
          <w:highlight w:val="none"/>
          <w:lang w:eastAsia="zh-CN"/>
        </w:rPr>
        <w:t>（</w:t>
      </w:r>
      <w:r>
        <w:rPr>
          <w:rFonts w:hint="eastAsia" w:ascii="宋体" w:hAnsi="宋体" w:eastAsia="宋体" w:cs="宋体"/>
          <w:b/>
          <w:color w:val="000000"/>
          <w:spacing w:val="0"/>
          <w:kern w:val="0"/>
          <w:sz w:val="56"/>
          <w:szCs w:val="56"/>
          <w:highlight w:val="none"/>
          <w:lang w:val="en-US" w:eastAsia="zh-CN"/>
        </w:rPr>
        <w:t>包</w:t>
      </w:r>
      <w:r>
        <w:rPr>
          <w:rFonts w:hint="eastAsia" w:ascii="宋体" w:hAnsi="宋体" w:cs="宋体"/>
          <w:b/>
          <w:color w:val="000000"/>
          <w:spacing w:val="0"/>
          <w:kern w:val="0"/>
          <w:sz w:val="56"/>
          <w:szCs w:val="56"/>
          <w:highlight w:val="none"/>
          <w:u w:val="single"/>
          <w:lang w:val="en-US" w:eastAsia="zh-CN"/>
        </w:rPr>
        <w:t xml:space="preserve">    </w:t>
      </w:r>
      <w:r>
        <w:rPr>
          <w:rFonts w:hint="eastAsia" w:ascii="宋体" w:hAnsi="宋体" w:eastAsia="宋体" w:cs="宋体"/>
          <w:b/>
          <w:color w:val="000000"/>
          <w:spacing w:val="0"/>
          <w:kern w:val="0"/>
          <w:sz w:val="56"/>
          <w:szCs w:val="56"/>
          <w:highlight w:val="none"/>
          <w:lang w:eastAsia="zh-CN"/>
        </w:rPr>
        <w:t>）</w:t>
      </w:r>
    </w:p>
    <w:p w14:paraId="0676E475">
      <w:pPr>
        <w:snapToGrid w:val="0"/>
        <w:spacing w:line="360" w:lineRule="auto"/>
        <w:rPr>
          <w:rFonts w:ascii="宋体" w:hAnsi="宋体"/>
          <w:b/>
          <w:bCs/>
          <w:spacing w:val="26"/>
          <w:sz w:val="36"/>
          <w:szCs w:val="36"/>
        </w:rPr>
      </w:pPr>
    </w:p>
    <w:p w14:paraId="3BB349BD">
      <w:pPr>
        <w:snapToGrid w:val="0"/>
        <w:spacing w:line="360" w:lineRule="auto"/>
        <w:rPr>
          <w:rFonts w:ascii="宋体" w:hAnsi="宋体"/>
          <w:b/>
          <w:sz w:val="32"/>
          <w:szCs w:val="32"/>
        </w:rPr>
      </w:pPr>
      <w:bookmarkStart w:id="3" w:name="_GoBack"/>
      <w:bookmarkEnd w:id="3"/>
    </w:p>
    <w:p w14:paraId="059A3D4D">
      <w:pPr>
        <w:snapToGrid w:val="0"/>
        <w:spacing w:line="360" w:lineRule="auto"/>
        <w:rPr>
          <w:rFonts w:ascii="宋体" w:hAnsi="宋体"/>
          <w:b/>
          <w:sz w:val="32"/>
          <w:szCs w:val="32"/>
        </w:rPr>
      </w:pPr>
    </w:p>
    <w:p w14:paraId="6CB1364D">
      <w:pPr>
        <w:snapToGrid w:val="0"/>
        <w:spacing w:line="360" w:lineRule="auto"/>
        <w:rPr>
          <w:rFonts w:ascii="宋体" w:hAnsi="宋体"/>
          <w:b/>
          <w:sz w:val="32"/>
          <w:szCs w:val="32"/>
        </w:rPr>
      </w:pPr>
    </w:p>
    <w:p w14:paraId="6E0EAC3A">
      <w:pPr>
        <w:snapToGrid w:val="0"/>
        <w:spacing w:line="360" w:lineRule="auto"/>
        <w:rPr>
          <w:rFonts w:ascii="宋体" w:hAnsi="宋体"/>
          <w:b/>
          <w:sz w:val="32"/>
          <w:szCs w:val="32"/>
        </w:rPr>
      </w:pPr>
    </w:p>
    <w:p w14:paraId="006416B9">
      <w:pPr>
        <w:snapToGrid w:val="0"/>
        <w:spacing w:line="360" w:lineRule="auto"/>
        <w:rPr>
          <w:rFonts w:ascii="宋体" w:hAnsi="宋体"/>
          <w:b/>
          <w:sz w:val="32"/>
          <w:szCs w:val="32"/>
        </w:rPr>
      </w:pPr>
    </w:p>
    <w:p w14:paraId="0F3484E0">
      <w:pPr>
        <w:snapToGrid w:val="0"/>
        <w:spacing w:line="360" w:lineRule="auto"/>
        <w:rPr>
          <w:rFonts w:ascii="宋体" w:hAnsi="宋体"/>
          <w:b/>
          <w:sz w:val="32"/>
          <w:szCs w:val="32"/>
        </w:rPr>
      </w:pPr>
    </w:p>
    <w:p w14:paraId="3AAB94A4">
      <w:pPr>
        <w:snapToGrid w:val="0"/>
        <w:spacing w:line="360" w:lineRule="auto"/>
        <w:rPr>
          <w:rFonts w:ascii="宋体" w:hAnsi="宋体"/>
          <w:b/>
          <w:sz w:val="32"/>
          <w:szCs w:val="32"/>
        </w:rPr>
      </w:pPr>
    </w:p>
    <w:p w14:paraId="76039EBA">
      <w:pPr>
        <w:snapToGrid w:val="0"/>
        <w:spacing w:line="360" w:lineRule="auto"/>
        <w:rPr>
          <w:rFonts w:ascii="宋体" w:hAnsi="宋体"/>
          <w:b/>
          <w:sz w:val="32"/>
          <w:szCs w:val="32"/>
        </w:rPr>
      </w:pPr>
    </w:p>
    <w:p w14:paraId="62EBC43D">
      <w:pPr>
        <w:snapToGrid w:val="0"/>
        <w:spacing w:line="360" w:lineRule="auto"/>
        <w:rPr>
          <w:rFonts w:ascii="宋体" w:hAnsi="宋体"/>
          <w:b/>
          <w:sz w:val="32"/>
          <w:szCs w:val="32"/>
        </w:rPr>
      </w:pPr>
    </w:p>
    <w:p w14:paraId="5870D877">
      <w:pPr>
        <w:snapToGrid w:val="0"/>
        <w:spacing w:line="360" w:lineRule="auto"/>
        <w:ind w:firstLine="2108" w:firstLineChars="700"/>
        <w:rPr>
          <w:rFonts w:ascii="宋体" w:hAnsi="宋体"/>
          <w:b/>
          <w:bCs/>
          <w:sz w:val="30"/>
          <w:szCs w:val="30"/>
        </w:rPr>
      </w:pPr>
      <w:r>
        <w:rPr>
          <w:rFonts w:hint="eastAsia" w:ascii="宋体" w:hAnsi="宋体"/>
          <w:b/>
          <w:bCs/>
          <w:sz w:val="30"/>
          <w:szCs w:val="30"/>
        </w:rPr>
        <w:t>甲方：</w:t>
      </w:r>
      <w:r>
        <w:rPr>
          <w:rFonts w:hint="eastAsia" w:ascii="宋体" w:hAnsi="宋体"/>
          <w:b/>
          <w:bCs/>
          <w:sz w:val="30"/>
          <w:szCs w:val="30"/>
          <w:u w:val="single"/>
        </w:rPr>
        <w:t xml:space="preserve">      </w:t>
      </w:r>
      <w:r>
        <w:rPr>
          <w:rFonts w:hint="eastAsia" w:ascii="宋体" w:hAnsi="宋体"/>
          <w:b/>
          <w:bCs/>
          <w:sz w:val="30"/>
          <w:szCs w:val="30"/>
          <w:u w:val="single"/>
          <w:lang w:eastAsia="zh-CN"/>
        </w:rPr>
        <w:t>蒲城县文化和旅游局</w:t>
      </w:r>
      <w:r>
        <w:rPr>
          <w:rFonts w:hint="eastAsia" w:ascii="宋体" w:hAnsi="宋体"/>
          <w:b/>
          <w:bCs/>
          <w:sz w:val="30"/>
          <w:szCs w:val="30"/>
          <w:u w:val="single"/>
        </w:rPr>
        <w:t xml:space="preserve">    </w:t>
      </w:r>
      <w:r>
        <w:rPr>
          <w:rFonts w:hint="eastAsia" w:ascii="宋体" w:hAnsi="宋体"/>
          <w:b/>
          <w:bCs/>
          <w:sz w:val="30"/>
          <w:szCs w:val="30"/>
          <w:u w:val="single"/>
          <w:lang w:val="en-US" w:eastAsia="zh-CN"/>
        </w:rPr>
        <w:t xml:space="preserve"> </w:t>
      </w:r>
      <w:r>
        <w:rPr>
          <w:rFonts w:hint="eastAsia" w:ascii="宋体" w:hAnsi="宋体"/>
          <w:b/>
          <w:bCs/>
          <w:sz w:val="30"/>
          <w:szCs w:val="30"/>
          <w:u w:val="single"/>
        </w:rPr>
        <w:t xml:space="preserve">   </w:t>
      </w:r>
    </w:p>
    <w:p w14:paraId="20432B54">
      <w:pPr>
        <w:snapToGrid w:val="0"/>
        <w:spacing w:line="360" w:lineRule="auto"/>
        <w:ind w:firstLine="2108" w:firstLineChars="700"/>
        <w:rPr>
          <w:rFonts w:ascii="宋体" w:hAnsi="宋体"/>
          <w:b/>
          <w:bCs/>
          <w:sz w:val="30"/>
          <w:szCs w:val="30"/>
        </w:rPr>
      </w:pPr>
      <w:r>
        <w:rPr>
          <w:rFonts w:hint="eastAsia" w:ascii="宋体" w:hAnsi="宋体"/>
          <w:b/>
          <w:bCs/>
          <w:sz w:val="30"/>
          <w:szCs w:val="30"/>
        </w:rPr>
        <w:t>乙方：</w:t>
      </w:r>
      <w:r>
        <w:rPr>
          <w:rFonts w:hint="eastAsia" w:ascii="宋体" w:hAnsi="宋体"/>
          <w:b/>
          <w:bCs/>
          <w:sz w:val="30"/>
          <w:szCs w:val="30"/>
          <w:u w:val="single"/>
        </w:rPr>
        <w:t xml:space="preserve">                          </w:t>
      </w:r>
    </w:p>
    <w:p w14:paraId="74D2C792">
      <w:pPr>
        <w:snapToGrid w:val="0"/>
        <w:spacing w:line="360" w:lineRule="auto"/>
        <w:jc w:val="center"/>
        <w:rPr>
          <w:rFonts w:ascii="宋体" w:hAnsi="宋体"/>
          <w:b/>
          <w:bCs/>
          <w:spacing w:val="26"/>
          <w:sz w:val="30"/>
          <w:szCs w:val="30"/>
        </w:rPr>
      </w:pPr>
      <w:r>
        <w:rPr>
          <w:rFonts w:hint="eastAsia" w:ascii="宋体" w:hAnsi="宋体"/>
          <w:b/>
          <w:bCs/>
          <w:spacing w:val="26"/>
          <w:sz w:val="30"/>
          <w:szCs w:val="30"/>
        </w:rPr>
        <w:t xml:space="preserve"> </w:t>
      </w:r>
      <w:r>
        <w:rPr>
          <w:rFonts w:hint="eastAsia" w:ascii="宋体" w:hAnsi="宋体"/>
          <w:b/>
          <w:bCs/>
          <w:spacing w:val="26"/>
          <w:sz w:val="30"/>
          <w:szCs w:val="30"/>
          <w:lang w:eastAsia="zh-CN"/>
        </w:rPr>
        <w:t>二〇二六</w:t>
      </w:r>
      <w:r>
        <w:rPr>
          <w:rFonts w:hint="eastAsia" w:ascii="宋体" w:hAnsi="宋体"/>
          <w:b/>
          <w:bCs/>
          <w:spacing w:val="26"/>
          <w:sz w:val="30"/>
          <w:szCs w:val="30"/>
        </w:rPr>
        <w:t>年</w:t>
      </w:r>
      <w:r>
        <w:rPr>
          <w:rFonts w:hint="eastAsia" w:ascii="宋体" w:hAnsi="宋体"/>
          <w:b/>
          <w:bCs/>
          <w:spacing w:val="26"/>
          <w:sz w:val="30"/>
          <w:szCs w:val="30"/>
          <w:u w:val="single"/>
        </w:rPr>
        <w:t xml:space="preserve">  </w:t>
      </w:r>
      <w:r>
        <w:rPr>
          <w:rFonts w:hint="eastAsia" w:ascii="宋体" w:hAnsi="宋体"/>
          <w:b/>
          <w:bCs/>
          <w:spacing w:val="26"/>
          <w:sz w:val="30"/>
          <w:szCs w:val="30"/>
        </w:rPr>
        <w:t>月</w:t>
      </w:r>
      <w:r>
        <w:rPr>
          <w:rFonts w:hint="eastAsia" w:ascii="宋体" w:hAnsi="宋体"/>
          <w:b/>
          <w:bCs/>
          <w:spacing w:val="26"/>
          <w:sz w:val="30"/>
          <w:szCs w:val="30"/>
          <w:u w:val="single"/>
        </w:rPr>
        <w:t xml:space="preserve">  </w:t>
      </w:r>
      <w:r>
        <w:rPr>
          <w:rFonts w:hint="eastAsia" w:ascii="宋体" w:hAnsi="宋体"/>
          <w:b/>
          <w:bCs/>
          <w:spacing w:val="26"/>
          <w:sz w:val="30"/>
          <w:szCs w:val="30"/>
        </w:rPr>
        <w:t>日</w:t>
      </w:r>
    </w:p>
    <w:p w14:paraId="34C97D01">
      <w:pPr>
        <w:adjustRightInd w:val="0"/>
        <w:snapToGrid w:val="0"/>
        <w:spacing w:line="360" w:lineRule="auto"/>
        <w:rPr>
          <w:rFonts w:ascii="宋体" w:hAnsi="宋体" w:cs="宋体"/>
          <w:sz w:val="24"/>
        </w:rPr>
        <w:sectPr>
          <w:footerReference r:id="rId3" w:type="default"/>
          <w:pgSz w:w="11906" w:h="16838"/>
          <w:pgMar w:top="1417" w:right="1417" w:bottom="1417" w:left="1417" w:header="851" w:footer="992" w:gutter="0"/>
          <w:pgNumType w:fmt="decimal"/>
          <w:cols w:space="720" w:num="1"/>
          <w:docGrid w:type="lines" w:linePitch="312" w:charSpace="0"/>
        </w:sectPr>
      </w:pPr>
    </w:p>
    <w:p w14:paraId="3052AE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bCs/>
          <w:sz w:val="24"/>
          <w:highlight w:val="none"/>
        </w:rPr>
      </w:pPr>
      <w:r>
        <w:rPr>
          <w:rFonts w:hint="eastAsia" w:ascii="宋体" w:hAnsi="宋体"/>
          <w:bCs/>
          <w:sz w:val="24"/>
          <w:highlight w:val="none"/>
          <w:lang w:eastAsia="zh-CN"/>
        </w:rPr>
        <w:t>蒲城县文化和旅游局</w:t>
      </w:r>
      <w:r>
        <w:rPr>
          <w:rFonts w:hint="eastAsia" w:ascii="宋体" w:hAnsi="宋体"/>
          <w:bCs/>
          <w:sz w:val="24"/>
          <w:highlight w:val="none"/>
        </w:rPr>
        <w:t>（以下简称甲方）</w:t>
      </w:r>
      <w:r>
        <w:rPr>
          <w:rFonts w:hint="eastAsia" w:ascii="宋体" w:hAnsi="宋体"/>
          <w:bCs/>
          <w:sz w:val="24"/>
          <w:highlight w:val="none"/>
          <w:shd w:val="clear" w:color="auto" w:fill="FFFFFF"/>
        </w:rPr>
        <w:t>经</w:t>
      </w:r>
      <w:r>
        <w:rPr>
          <w:rFonts w:hint="eastAsia" w:ascii="宋体" w:hAnsi="宋体"/>
          <w:bCs/>
          <w:sz w:val="24"/>
          <w:highlight w:val="none"/>
          <w:shd w:val="clear" w:color="auto" w:fill="FFFFFF"/>
          <w:lang w:eastAsia="zh-CN"/>
        </w:rPr>
        <w:t>政府</w:t>
      </w:r>
      <w:r>
        <w:rPr>
          <w:rFonts w:hint="eastAsia" w:ascii="宋体" w:hAnsi="宋体"/>
          <w:bCs/>
          <w:sz w:val="24"/>
          <w:highlight w:val="none"/>
          <w:shd w:val="clear" w:color="auto" w:fill="FFFFFF"/>
        </w:rPr>
        <w:t>采</w:t>
      </w:r>
      <w:r>
        <w:rPr>
          <w:rFonts w:hint="eastAsia" w:ascii="宋体" w:hAnsi="宋体"/>
          <w:bCs/>
          <w:sz w:val="24"/>
          <w:highlight w:val="none"/>
        </w:rPr>
        <w:t>购，选定</w:t>
      </w:r>
      <w:r>
        <w:rPr>
          <w:rFonts w:hint="eastAsia" w:ascii="宋体" w:hAnsi="宋体"/>
          <w:bCs/>
          <w:sz w:val="24"/>
          <w:highlight w:val="none"/>
          <w:u w:val="single"/>
        </w:rPr>
        <w:t xml:space="preserve">        公司</w:t>
      </w:r>
      <w:r>
        <w:rPr>
          <w:rFonts w:hint="eastAsia" w:ascii="宋体" w:hAnsi="宋体"/>
          <w:bCs/>
          <w:sz w:val="24"/>
          <w:highlight w:val="none"/>
        </w:rPr>
        <w:t>（以下简称乙方）为</w:t>
      </w:r>
      <w:r>
        <w:rPr>
          <w:rFonts w:hint="eastAsia" w:ascii="宋体" w:hAnsi="宋体"/>
          <w:bCs/>
          <w:sz w:val="24"/>
          <w:highlight w:val="none"/>
          <w:lang w:eastAsia="zh-CN"/>
        </w:rPr>
        <w:t>蒲城县文化和旅游局2026年“戏曲进乡村”惠民演出活动项目</w:t>
      </w:r>
      <w:r>
        <w:rPr>
          <w:rFonts w:hint="eastAsia" w:ascii="宋体" w:hAnsi="宋体"/>
          <w:bCs/>
          <w:sz w:val="24"/>
          <w:highlight w:val="none"/>
        </w:rPr>
        <w:t>成交</w:t>
      </w:r>
      <w:r>
        <w:rPr>
          <w:rFonts w:hint="eastAsia" w:ascii="宋体" w:hAnsi="宋体" w:eastAsia="宋体"/>
          <w:bCs/>
          <w:sz w:val="24"/>
          <w:highlight w:val="none"/>
          <w:lang w:eastAsia="zh-CN"/>
        </w:rPr>
        <w:t>供应商</w:t>
      </w:r>
      <w:r>
        <w:rPr>
          <w:rFonts w:hint="eastAsia" w:ascii="宋体" w:hAnsi="宋体"/>
          <w:bCs/>
          <w:sz w:val="24"/>
          <w:highlight w:val="none"/>
        </w:rPr>
        <w:t>。依据《中华人民共和国民法典》，经甲、乙双方共同协商，按下述条款和条件签署本合同。</w:t>
      </w:r>
    </w:p>
    <w:p w14:paraId="63B2C5C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采购人（甲方）：</w:t>
      </w:r>
      <w:r>
        <w:rPr>
          <w:rFonts w:hint="eastAsia" w:ascii="宋体" w:hAnsi="宋体" w:eastAsia="宋体" w:cs="宋体"/>
          <w:color w:val="000000"/>
          <w:spacing w:val="0"/>
          <w:position w:val="0"/>
          <w:sz w:val="24"/>
          <w:szCs w:val="24"/>
          <w:highlight w:val="none"/>
          <w:u w:val="single" w:color="auto"/>
        </w:rPr>
        <w:t xml:space="preserve">                                           </w:t>
      </w:r>
    </w:p>
    <w:p w14:paraId="03BB338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供应商（乙方）：</w:t>
      </w:r>
      <w:r>
        <w:rPr>
          <w:rFonts w:hint="eastAsia" w:ascii="宋体" w:hAnsi="宋体" w:eastAsia="宋体" w:cs="宋体"/>
          <w:color w:val="000000"/>
          <w:spacing w:val="0"/>
          <w:position w:val="0"/>
          <w:sz w:val="24"/>
          <w:szCs w:val="24"/>
          <w:highlight w:val="none"/>
          <w:u w:val="single" w:color="auto"/>
        </w:rPr>
        <w:t xml:space="preserve">                                           </w:t>
      </w:r>
    </w:p>
    <w:p w14:paraId="3677FF0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根据《中华人民共和国政府采购法》及实施条例、《中华人民共和国民法典》及其 他有关法律、法规，和甲方就</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项目的磋商、磋商响应文件，为保证甲方采购项目的顺利实施，遵循平等、自愿、公平和诚信的原则，甲、乙双方同意签订本合同，并共同遵守如下条款：</w:t>
      </w:r>
    </w:p>
    <w:p w14:paraId="0781AFC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第一条 项目基本情况</w:t>
      </w:r>
    </w:p>
    <w:p w14:paraId="1A1876D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default" w:ascii="宋体" w:hAnsi="宋体" w:eastAsia="宋体" w:cs="宋体"/>
          <w:b/>
          <w:bCs/>
          <w:color w:val="000000"/>
          <w:spacing w:val="0"/>
          <w:position w:val="0"/>
          <w:sz w:val="24"/>
          <w:szCs w:val="24"/>
          <w:highlight w:val="none"/>
          <w:lang w:val="en-US" w:eastAsia="zh-CN"/>
        </w:rPr>
      </w:pP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u w:val="single" w:color="auto"/>
          <w:lang w:val="en-US" w:eastAsia="zh-CN"/>
        </w:rPr>
        <w:t xml:space="preserve">                                   </w:t>
      </w:r>
    </w:p>
    <w:p w14:paraId="050BA24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第二条 合同期限</w:t>
      </w:r>
    </w:p>
    <w:p w14:paraId="2EFB14C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自</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年</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月</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日至</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年</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月</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日，共</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日历日。</w:t>
      </w:r>
    </w:p>
    <w:p w14:paraId="5FF8D93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第三条 服务内容与质量标准</w:t>
      </w:r>
    </w:p>
    <w:p w14:paraId="0E0B650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w:t>
      </w:r>
    </w:p>
    <w:p w14:paraId="20A5929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w:t>
      </w:r>
    </w:p>
    <w:p w14:paraId="624DC9F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 、</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w:t>
      </w:r>
    </w:p>
    <w:p w14:paraId="2C2E931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第四条 服务费用</w:t>
      </w:r>
    </w:p>
    <w:p w14:paraId="09E1F15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default" w:ascii="宋体" w:hAnsi="宋体" w:eastAsia="宋体" w:cs="宋体"/>
          <w:color w:val="000000"/>
          <w:spacing w:val="0"/>
          <w:position w:val="0"/>
          <w:sz w:val="24"/>
          <w:szCs w:val="24"/>
          <w:highlight w:val="none"/>
          <w:u w:val="single"/>
          <w:lang w:val="en-US" w:eastAsia="zh-CN"/>
        </w:rPr>
      </w:pPr>
      <w:r>
        <w:rPr>
          <w:rFonts w:hint="eastAsia" w:ascii="宋体" w:hAnsi="宋体" w:eastAsia="宋体" w:cs="宋体"/>
          <w:color w:val="000000"/>
          <w:spacing w:val="0"/>
          <w:position w:val="0"/>
          <w:sz w:val="24"/>
          <w:szCs w:val="24"/>
          <w:highlight w:val="none"/>
        </w:rPr>
        <w:t>（一）合同价为</w:t>
      </w:r>
      <w:r>
        <w:rPr>
          <w:rFonts w:hint="eastAsia" w:ascii="宋体" w:hAnsi="宋体" w:eastAsia="宋体" w:cs="宋体"/>
          <w:color w:val="000000"/>
          <w:spacing w:val="0"/>
          <w:position w:val="0"/>
          <w:sz w:val="24"/>
          <w:szCs w:val="24"/>
          <w:highlight w:val="none"/>
          <w:lang w:eastAsia="zh-CN"/>
        </w:rPr>
        <w:t>：</w:t>
      </w:r>
      <w:r>
        <w:rPr>
          <w:rFonts w:hint="eastAsia" w:ascii="宋体" w:hAnsi="宋体" w:eastAsia="宋体" w:cs="宋体"/>
          <w:color w:val="000000"/>
          <w:spacing w:val="0"/>
          <w:position w:val="0"/>
          <w:sz w:val="24"/>
          <w:szCs w:val="24"/>
          <w:highlight w:val="none"/>
          <w:u w:val="single"/>
          <w:lang w:val="en-US" w:eastAsia="zh-CN"/>
        </w:rPr>
        <w:t xml:space="preserve">                                                 </w:t>
      </w:r>
    </w:p>
    <w:p w14:paraId="2AD3DFE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（二）合同价一次性包死，不受市场价格变化因素的影响。</w:t>
      </w:r>
    </w:p>
    <w:p w14:paraId="068F230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第五条 服务费支付方式</w:t>
      </w:r>
    </w:p>
    <w:p w14:paraId="6F2994D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w:t>
      </w:r>
      <w:r>
        <w:rPr>
          <w:rFonts w:hint="eastAsia" w:ascii="宋体" w:hAnsi="宋体" w:eastAsia="宋体" w:cs="宋体"/>
          <w:color w:val="000000"/>
          <w:spacing w:val="0"/>
          <w:position w:val="0"/>
          <w:sz w:val="24"/>
          <w:szCs w:val="24"/>
          <w:highlight w:val="none"/>
          <w:u w:val="single" w:color="auto"/>
        </w:rPr>
        <w:t xml:space="preserve">                                                                     </w:t>
      </w:r>
    </w:p>
    <w:p w14:paraId="0C015F1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、乙方须向甲方出具合法有效完整的完税发票，甲方进行支付结算。</w:t>
      </w:r>
    </w:p>
    <w:p w14:paraId="2CE47E7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 、结算方式：银行转账。</w:t>
      </w:r>
    </w:p>
    <w:p w14:paraId="405D136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第六条 知识产权</w:t>
      </w:r>
    </w:p>
    <w:p w14:paraId="29B534C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、乙方应保证所提供的服务或其任何一部分均不会侵犯任何第三方的专利权、商标权或著作权。</w:t>
      </w:r>
    </w:p>
    <w:p w14:paraId="7F9A1A3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第七条 无产权瑕疵条款</w:t>
      </w:r>
    </w:p>
    <w:p w14:paraId="209399C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、乙方保证所提供的服务的所有权完全属于乙方且无任何抵押、查封等产权瑕疵。</w:t>
      </w:r>
    </w:p>
    <w:p w14:paraId="7994EA3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如有产权瑕疵的，视为乙方违约。乙方应负担由此而产生的一切损失。</w:t>
      </w:r>
    </w:p>
    <w:p w14:paraId="65FCEF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第八条 履约保证金</w:t>
      </w:r>
    </w:p>
    <w:p w14:paraId="766F9BA1">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1 、乙方在签订本合同之前，须向甲方提交履约保证金人民币       元。</w:t>
      </w:r>
    </w:p>
    <w:p w14:paraId="248B87AA">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2、履约保证金的有效期为乙方承诺的服务期限。</w:t>
      </w:r>
    </w:p>
    <w:p w14:paraId="536B1E1E">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3、履约保证金作为违约金的一部分及用于补偿甲方因乙方不能履行合同义务而蒙受的损失。</w:t>
      </w:r>
    </w:p>
    <w:p w14:paraId="378033FE">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 xml:space="preserve">4、服务期限结束后，甲方财务部门接到甲方确认本合同服务等约定事项已经履行完毕的正式书面文件后的  </w:t>
      </w:r>
      <w:r>
        <w:rPr>
          <w:rFonts w:hint="eastAsia" w:ascii="宋体" w:hAnsi="宋体" w:eastAsia="宋体" w:cs="宋体"/>
          <w:color w:val="000000"/>
          <w:spacing w:val="0"/>
          <w:kern w:val="0"/>
          <w:sz w:val="24"/>
          <w:szCs w:val="24"/>
          <w:highlight w:val="none"/>
          <w:lang w:val="en-US" w:eastAsia="zh-CN"/>
        </w:rPr>
        <w:t xml:space="preserve">  </w:t>
      </w:r>
      <w:r>
        <w:rPr>
          <w:rFonts w:hint="eastAsia" w:ascii="宋体" w:hAnsi="宋体" w:eastAsia="宋体" w:cs="宋体"/>
          <w:color w:val="000000"/>
          <w:spacing w:val="0"/>
          <w:kern w:val="0"/>
          <w:sz w:val="24"/>
          <w:szCs w:val="24"/>
          <w:highlight w:val="none"/>
        </w:rPr>
        <w:t>日内，向乙方退还履约保证金。</w:t>
      </w:r>
    </w:p>
    <w:p w14:paraId="3817F270">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5 、若乙方不能按本须知规定交纳履约保证金，甲方将有充分理由拒绝签订合同，由此给甲方造成的损失应当予以赔偿。</w:t>
      </w:r>
    </w:p>
    <w:p w14:paraId="61527CE0">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6 、若乙方未能履行合同规定的义务，甲方有权没收履约保证金取得补偿，因此给甲方造成的损失超过磋商担保数额的，还应当对超过部分予以赔偿。</w:t>
      </w:r>
    </w:p>
    <w:p w14:paraId="0FBD419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第九条 甲方的权利和义务</w:t>
      </w:r>
    </w:p>
    <w:p w14:paraId="29B40B0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、甲方有权对合同规定范围内乙方的服务行为进行监督和检查，拥有监管权。有 权定期核对乙方提供服务所配备的人员数量。对甲方认为不合理的部分有权下达整改通知书，并要求乙方限期整改。</w:t>
      </w:r>
    </w:p>
    <w:p w14:paraId="7CBA15E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、甲方有权依据双方签订的考评办法对乙方提供的服务进行定期考评。当考评结果未达到标准时，有权依据考评办法约定的数额扣除履约保证金。</w:t>
      </w:r>
    </w:p>
    <w:p w14:paraId="1788485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 、负责检查监督乙方管理工作的实施及制度的执行情况。</w:t>
      </w:r>
    </w:p>
    <w:p w14:paraId="6C4D3E5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4 、根据本合同规定，按时向乙方支付应付服务费用。</w:t>
      </w:r>
    </w:p>
    <w:p w14:paraId="2B17318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5 、国家法律、法规所规定由甲方承担的其它责任。</w:t>
      </w:r>
    </w:p>
    <w:p w14:paraId="030C583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第十条 乙方的权利和义务</w:t>
      </w:r>
    </w:p>
    <w:p w14:paraId="6C29496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、对本合同规定的委托服务范围内的项目享有管理权及服务义务。</w:t>
      </w:r>
    </w:p>
    <w:p w14:paraId="2F0ED1D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、根据本合同的规定向甲方收取相关服务费用，并有权在本项目管理范围内管理及合理使用。</w:t>
      </w:r>
    </w:p>
    <w:p w14:paraId="774B64A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 、及时向甲方通告本项目服务范围内有关服务的重大事项，及时配合处理投诉。</w:t>
      </w:r>
    </w:p>
    <w:p w14:paraId="7A27888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4 、接受项目行业管理部门及政府有关部门的指导，接受甲方的监督。</w:t>
      </w:r>
    </w:p>
    <w:p w14:paraId="32ED794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5 、国家法律、法规所规定由乙方承担的其它责任。</w:t>
      </w:r>
    </w:p>
    <w:p w14:paraId="2A9AD10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第十一条 违约责任</w:t>
      </w:r>
    </w:p>
    <w:p w14:paraId="2B9B8AD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、甲乙双方必须遵守本合同并执行合同中的各项规定，保证本合同的正常履行。</w:t>
      </w:r>
    </w:p>
    <w:p w14:paraId="1F51E96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、如因乙方工作人员在履行职务过程中的的疏忽、失职、过错等故意或者过失原 因给甲方造成损失或侵害，包括但不限于甲方本身的财产损失、由此而导致的甲方对任何第三方的法律责任等，乙方对此均应承担全部的赔偿责任。</w:t>
      </w:r>
    </w:p>
    <w:p w14:paraId="7AAC7DB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第十二条 不可抗力事件处理</w:t>
      </w:r>
    </w:p>
    <w:p w14:paraId="69B7AD7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、在合同有效期内，任何一方因不可抗力事件导致不能履行合同，则合同履行期可延长，其延长期与不可抗力影响期相同。</w:t>
      </w:r>
    </w:p>
    <w:p w14:paraId="78D27BA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、不可抗力事件发生后，应立即通知对方，并寄送有关权威机构出具的证明。</w:t>
      </w:r>
    </w:p>
    <w:p w14:paraId="1D71FE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3、不可抗力事件延续</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天以上，双方应通过友好协商，确定是否继续履行合同。</w:t>
      </w:r>
    </w:p>
    <w:p w14:paraId="7900BCD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第十三条 合同的变更和终止</w:t>
      </w:r>
    </w:p>
    <w:p w14:paraId="66B0F8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除《</w:t>
      </w:r>
      <w:r>
        <w:rPr>
          <w:rFonts w:hint="eastAsia" w:ascii="宋体" w:hAnsi="宋体" w:eastAsia="宋体" w:cs="宋体"/>
          <w:color w:val="000000"/>
          <w:spacing w:val="0"/>
          <w:position w:val="0"/>
          <w:sz w:val="24"/>
          <w:szCs w:val="24"/>
          <w:highlight w:val="none"/>
          <w:lang w:val="en-US" w:eastAsia="zh-CN"/>
        </w:rPr>
        <w:t>中华人民共和国</w:t>
      </w:r>
      <w:r>
        <w:rPr>
          <w:rFonts w:hint="eastAsia" w:ascii="宋体" w:hAnsi="宋体" w:eastAsia="宋体" w:cs="宋体"/>
          <w:color w:val="000000"/>
          <w:spacing w:val="0"/>
          <w:position w:val="0"/>
          <w:sz w:val="24"/>
          <w:szCs w:val="24"/>
          <w:highlight w:val="none"/>
        </w:rPr>
        <w:t>政府采购法》第 49 条、第 50 条第二款规定的情形外，本合同一经签订，甲乙双方不得擅自变更、中止或终止合同。</w:t>
      </w:r>
    </w:p>
    <w:p w14:paraId="77DE680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第十四条 争议的解决</w:t>
      </w:r>
    </w:p>
    <w:p w14:paraId="3ACBE44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、因履行本合同引起的或与本合同有关的争议，甲、乙双方应首先通过友好协商解决，如果协商不能解决争议，则采取以下第</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种方式解决争议：</w:t>
      </w:r>
    </w:p>
    <w:p w14:paraId="6B8A2C3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（1）向甲方所在地有管辖权的人民法院提起诉讼；</w:t>
      </w:r>
    </w:p>
    <w:p w14:paraId="1334234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（2）向</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仲裁委员会按其仲裁规则申请仲裁。</w:t>
      </w:r>
    </w:p>
    <w:p w14:paraId="0E6C9B7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、在仲裁期间，本合同应继续履行。</w:t>
      </w:r>
    </w:p>
    <w:p w14:paraId="4AF4D59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第十五条 合同文件</w:t>
      </w:r>
    </w:p>
    <w:p w14:paraId="0D239DD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5FF6BAC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、本合同书</w:t>
      </w:r>
    </w:p>
    <w:p w14:paraId="489900A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、成交通知书</w:t>
      </w:r>
    </w:p>
    <w:p w14:paraId="277724C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 、协议</w:t>
      </w:r>
    </w:p>
    <w:p w14:paraId="32F945E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4 、磋商响应文件(含澄清文件)</w:t>
      </w:r>
    </w:p>
    <w:p w14:paraId="16A3EB4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5 、磋商文件(含磋商文件补充通知)</w:t>
      </w:r>
    </w:p>
    <w:p w14:paraId="5AC825F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第十六条  合同生效及其他</w:t>
      </w:r>
    </w:p>
    <w:p w14:paraId="2C4E81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、如有未尽事宜，由双方依法订立补充合同。</w:t>
      </w:r>
    </w:p>
    <w:p w14:paraId="2A5672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、本合同自双方签订盖章之日起生效。</w:t>
      </w:r>
    </w:p>
    <w:p w14:paraId="7496CC4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 xml:space="preserve">3 、本合同一式 </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份，甲乙双方各执 </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份，所有合同具有同等法律效力。</w:t>
      </w:r>
    </w:p>
    <w:p w14:paraId="4321796B">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000000"/>
          <w:spacing w:val="0"/>
          <w:kern w:val="0"/>
          <w:sz w:val="24"/>
          <w:szCs w:val="24"/>
          <w:highlight w:val="none"/>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88A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500" w:type="pct"/>
            <w:tcBorders>
              <w:top w:val="nil"/>
              <w:left w:val="nil"/>
              <w:bottom w:val="nil"/>
              <w:right w:val="nil"/>
            </w:tcBorders>
            <w:noWrap w:val="0"/>
            <w:vAlign w:val="center"/>
          </w:tcPr>
          <w:p w14:paraId="062E72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rPr>
              <w:t>甲方(盖章)</w:t>
            </w:r>
          </w:p>
        </w:tc>
        <w:tc>
          <w:tcPr>
            <w:tcW w:w="2500" w:type="pct"/>
            <w:tcBorders>
              <w:top w:val="nil"/>
              <w:left w:val="nil"/>
              <w:bottom w:val="nil"/>
              <w:right w:val="nil"/>
            </w:tcBorders>
            <w:noWrap w:val="0"/>
            <w:vAlign w:val="center"/>
          </w:tcPr>
          <w:p w14:paraId="01B5B9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lang w:val="en-US" w:eastAsia="zh-CN"/>
              </w:rPr>
              <w:t>乙方</w:t>
            </w:r>
            <w:r>
              <w:rPr>
                <w:rFonts w:hint="eastAsia" w:ascii="宋体" w:hAnsi="宋体" w:eastAsia="宋体" w:cs="宋体"/>
                <w:color w:val="000000"/>
                <w:spacing w:val="0"/>
                <w:kern w:val="0"/>
                <w:sz w:val="24"/>
                <w:szCs w:val="24"/>
                <w:highlight w:val="none"/>
              </w:rPr>
              <w:t>(盖章)</w:t>
            </w:r>
          </w:p>
        </w:tc>
      </w:tr>
      <w:tr w14:paraId="1AC1B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500" w:type="pct"/>
            <w:tcBorders>
              <w:top w:val="nil"/>
              <w:left w:val="nil"/>
              <w:bottom w:val="nil"/>
              <w:right w:val="nil"/>
            </w:tcBorders>
            <w:noWrap w:val="0"/>
            <w:vAlign w:val="center"/>
          </w:tcPr>
          <w:p w14:paraId="494D12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lang w:val="en-US" w:eastAsia="zh-CN"/>
              </w:rPr>
            </w:pPr>
            <w:r>
              <w:rPr>
                <w:rFonts w:hint="eastAsia" w:ascii="宋体" w:hAnsi="宋体" w:eastAsia="宋体" w:cs="宋体"/>
                <w:color w:val="000000"/>
                <w:spacing w:val="0"/>
                <w:kern w:val="0"/>
                <w:sz w:val="24"/>
                <w:szCs w:val="24"/>
                <w:highlight w:val="none"/>
              </w:rPr>
              <w:t>法人代表</w:t>
            </w:r>
            <w:r>
              <w:rPr>
                <w:rFonts w:hint="eastAsia" w:ascii="宋体" w:hAnsi="宋体" w:eastAsia="宋体" w:cs="宋体"/>
                <w:color w:val="000000"/>
                <w:spacing w:val="0"/>
                <w:kern w:val="0"/>
                <w:sz w:val="24"/>
                <w:szCs w:val="24"/>
                <w:highlight w:val="none"/>
                <w:lang w:val="en-US" w:eastAsia="zh-CN"/>
              </w:rPr>
              <w:t>或</w:t>
            </w:r>
          </w:p>
          <w:p w14:paraId="264DFD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lang w:val="en-US" w:eastAsia="zh-CN"/>
              </w:rPr>
              <w:t>委托代理人</w:t>
            </w:r>
            <w:r>
              <w:rPr>
                <w:rFonts w:hint="eastAsia" w:ascii="宋体" w:hAnsi="宋体" w:eastAsia="宋体" w:cs="宋体"/>
                <w:color w:val="000000"/>
                <w:spacing w:val="0"/>
                <w:kern w:val="0"/>
                <w:sz w:val="24"/>
                <w:szCs w:val="24"/>
                <w:highlight w:val="none"/>
              </w:rPr>
              <w:t xml:space="preserve">(签字)   </w:t>
            </w:r>
          </w:p>
        </w:tc>
        <w:tc>
          <w:tcPr>
            <w:tcW w:w="2500" w:type="pct"/>
            <w:tcBorders>
              <w:top w:val="nil"/>
              <w:left w:val="nil"/>
              <w:bottom w:val="nil"/>
              <w:right w:val="nil"/>
            </w:tcBorders>
            <w:noWrap w:val="0"/>
            <w:vAlign w:val="center"/>
          </w:tcPr>
          <w:p w14:paraId="066460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lang w:val="en-US" w:eastAsia="zh-CN"/>
              </w:rPr>
            </w:pPr>
            <w:r>
              <w:rPr>
                <w:rFonts w:hint="eastAsia" w:ascii="宋体" w:hAnsi="宋体" w:eastAsia="宋体" w:cs="宋体"/>
                <w:color w:val="000000"/>
                <w:spacing w:val="0"/>
                <w:kern w:val="0"/>
                <w:sz w:val="24"/>
                <w:szCs w:val="24"/>
                <w:highlight w:val="none"/>
              </w:rPr>
              <w:t>法人代表</w:t>
            </w:r>
            <w:r>
              <w:rPr>
                <w:rFonts w:hint="eastAsia" w:ascii="宋体" w:hAnsi="宋体" w:eastAsia="宋体" w:cs="宋体"/>
                <w:color w:val="000000"/>
                <w:spacing w:val="0"/>
                <w:kern w:val="0"/>
                <w:sz w:val="24"/>
                <w:szCs w:val="24"/>
                <w:highlight w:val="none"/>
                <w:lang w:val="en-US" w:eastAsia="zh-CN"/>
              </w:rPr>
              <w:t>或</w:t>
            </w:r>
          </w:p>
          <w:p w14:paraId="190022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lang w:val="en-US" w:eastAsia="zh-CN"/>
              </w:rPr>
              <w:t>委托代理人</w:t>
            </w:r>
            <w:r>
              <w:rPr>
                <w:rFonts w:hint="eastAsia" w:ascii="宋体" w:hAnsi="宋体" w:eastAsia="宋体" w:cs="宋体"/>
                <w:color w:val="000000"/>
                <w:spacing w:val="0"/>
                <w:kern w:val="0"/>
                <w:sz w:val="24"/>
                <w:szCs w:val="24"/>
                <w:highlight w:val="none"/>
              </w:rPr>
              <w:t xml:space="preserve">(签字)   </w:t>
            </w:r>
          </w:p>
        </w:tc>
      </w:tr>
      <w:tr w14:paraId="6887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500" w:type="pct"/>
            <w:tcBorders>
              <w:top w:val="nil"/>
              <w:left w:val="nil"/>
              <w:bottom w:val="nil"/>
              <w:right w:val="nil"/>
            </w:tcBorders>
            <w:noWrap w:val="0"/>
            <w:vAlign w:val="center"/>
          </w:tcPr>
          <w:p w14:paraId="12E999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rPr>
              <w:t>地址：</w:t>
            </w:r>
            <w:r>
              <w:rPr>
                <w:rFonts w:hint="eastAsia" w:ascii="宋体" w:hAnsi="宋体" w:eastAsia="宋体" w:cs="宋体"/>
                <w:color w:val="000000"/>
                <w:spacing w:val="0"/>
                <w:kern w:val="0"/>
                <w:sz w:val="24"/>
                <w:szCs w:val="24"/>
                <w:highlight w:val="none"/>
                <w:lang w:val="en-US" w:eastAsia="zh-CN"/>
              </w:rPr>
              <w:t xml:space="preserve"> </w:t>
            </w:r>
            <w:r>
              <w:rPr>
                <w:rFonts w:hint="eastAsia" w:ascii="宋体" w:hAnsi="宋体" w:eastAsia="宋体" w:cs="宋体"/>
                <w:color w:val="000000"/>
                <w:spacing w:val="0"/>
                <w:kern w:val="0"/>
                <w:sz w:val="24"/>
                <w:szCs w:val="24"/>
                <w:highlight w:val="none"/>
              </w:rPr>
              <w:t xml:space="preserve"> </w:t>
            </w:r>
          </w:p>
        </w:tc>
        <w:tc>
          <w:tcPr>
            <w:tcW w:w="2500" w:type="pct"/>
            <w:tcBorders>
              <w:top w:val="nil"/>
              <w:left w:val="nil"/>
              <w:bottom w:val="nil"/>
              <w:right w:val="nil"/>
            </w:tcBorders>
            <w:noWrap w:val="0"/>
            <w:vAlign w:val="center"/>
          </w:tcPr>
          <w:p w14:paraId="4EF67A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rPr>
              <w:t>地址：</w:t>
            </w:r>
            <w:r>
              <w:rPr>
                <w:rFonts w:hint="eastAsia" w:ascii="宋体" w:hAnsi="宋体" w:eastAsia="宋体" w:cs="宋体"/>
                <w:color w:val="000000"/>
                <w:spacing w:val="0"/>
                <w:kern w:val="0"/>
                <w:sz w:val="24"/>
                <w:szCs w:val="24"/>
                <w:highlight w:val="none"/>
                <w:lang w:val="en-US" w:eastAsia="zh-CN"/>
              </w:rPr>
              <w:t xml:space="preserve"> </w:t>
            </w:r>
            <w:r>
              <w:rPr>
                <w:rFonts w:hint="eastAsia" w:ascii="宋体" w:hAnsi="宋体" w:eastAsia="宋体" w:cs="宋体"/>
                <w:color w:val="000000"/>
                <w:spacing w:val="0"/>
                <w:kern w:val="0"/>
                <w:sz w:val="24"/>
                <w:szCs w:val="24"/>
                <w:highlight w:val="none"/>
              </w:rPr>
              <w:t xml:space="preserve"> </w:t>
            </w:r>
          </w:p>
        </w:tc>
      </w:tr>
      <w:tr w14:paraId="3F88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500" w:type="pct"/>
            <w:tcBorders>
              <w:top w:val="nil"/>
              <w:left w:val="nil"/>
              <w:bottom w:val="nil"/>
              <w:right w:val="nil"/>
            </w:tcBorders>
            <w:noWrap w:val="0"/>
            <w:vAlign w:val="center"/>
          </w:tcPr>
          <w:p w14:paraId="421CBE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lang w:val="en-US" w:eastAsia="zh-CN"/>
              </w:rPr>
            </w:pPr>
            <w:r>
              <w:rPr>
                <w:rFonts w:hint="eastAsia" w:ascii="宋体" w:hAnsi="宋体" w:eastAsia="宋体" w:cs="宋体"/>
                <w:color w:val="000000"/>
                <w:spacing w:val="0"/>
                <w:kern w:val="0"/>
                <w:sz w:val="24"/>
                <w:szCs w:val="24"/>
                <w:highlight w:val="none"/>
                <w:vertAlign w:val="baseline"/>
                <w:lang w:val="en-US" w:eastAsia="zh-CN"/>
              </w:rPr>
              <w:t>电话：</w:t>
            </w:r>
          </w:p>
        </w:tc>
        <w:tc>
          <w:tcPr>
            <w:tcW w:w="2500" w:type="pct"/>
            <w:tcBorders>
              <w:top w:val="nil"/>
              <w:left w:val="nil"/>
              <w:bottom w:val="nil"/>
              <w:right w:val="nil"/>
            </w:tcBorders>
            <w:noWrap w:val="0"/>
            <w:vAlign w:val="center"/>
          </w:tcPr>
          <w:p w14:paraId="69556D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vertAlign w:val="baseline"/>
                <w:lang w:val="en-US" w:eastAsia="zh-CN"/>
              </w:rPr>
              <w:t>电话：</w:t>
            </w:r>
          </w:p>
        </w:tc>
      </w:tr>
      <w:tr w14:paraId="2419D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500" w:type="pct"/>
            <w:tcBorders>
              <w:top w:val="nil"/>
              <w:left w:val="nil"/>
              <w:bottom w:val="nil"/>
              <w:right w:val="nil"/>
            </w:tcBorders>
            <w:noWrap w:val="0"/>
            <w:vAlign w:val="center"/>
          </w:tcPr>
          <w:p w14:paraId="08A8AB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lang w:val="en-US" w:eastAsia="zh-CN"/>
              </w:rPr>
            </w:pPr>
            <w:r>
              <w:rPr>
                <w:rFonts w:hint="eastAsia" w:ascii="宋体" w:hAnsi="宋体" w:eastAsia="宋体" w:cs="宋体"/>
                <w:color w:val="000000"/>
                <w:spacing w:val="0"/>
                <w:kern w:val="0"/>
                <w:sz w:val="24"/>
                <w:szCs w:val="24"/>
                <w:highlight w:val="none"/>
                <w:vertAlign w:val="baseline"/>
                <w:lang w:val="en-US" w:eastAsia="zh-CN"/>
              </w:rPr>
              <w:t>日期：</w:t>
            </w:r>
          </w:p>
        </w:tc>
        <w:tc>
          <w:tcPr>
            <w:tcW w:w="2500" w:type="pct"/>
            <w:tcBorders>
              <w:top w:val="nil"/>
              <w:left w:val="nil"/>
              <w:bottom w:val="nil"/>
              <w:right w:val="nil"/>
            </w:tcBorders>
            <w:noWrap w:val="0"/>
            <w:vAlign w:val="center"/>
          </w:tcPr>
          <w:p w14:paraId="4A81DD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vertAlign w:val="baseline"/>
                <w:lang w:val="en-US" w:eastAsia="zh-CN"/>
              </w:rPr>
              <w:t>日期：</w:t>
            </w:r>
          </w:p>
        </w:tc>
      </w:tr>
    </w:tbl>
    <w:p w14:paraId="685A6D7F">
      <w:pPr>
        <w:keepNext w:val="0"/>
        <w:keepLines w:val="0"/>
        <w:pageBreakBefore w:val="0"/>
        <w:kinsoku/>
        <w:wordWrap/>
        <w:overflowPunct/>
        <w:topLinePunct/>
        <w:autoSpaceDE/>
        <w:autoSpaceDN/>
        <w:bidi w:val="0"/>
        <w:spacing w:line="360" w:lineRule="auto"/>
        <w:ind w:firstLine="422" w:firstLineChars="200"/>
        <w:textAlignment w:val="auto"/>
        <w:rPr>
          <w:rFonts w:hint="eastAsia" w:ascii="宋体" w:hAnsi="宋体" w:eastAsia="宋体" w:cs="宋体"/>
          <w:b/>
          <w:bCs/>
          <w:color w:val="000000"/>
          <w:spacing w:val="0"/>
          <w:kern w:val="0"/>
          <w:sz w:val="24"/>
          <w:szCs w:val="24"/>
          <w:highlight w:val="none"/>
        </w:rPr>
      </w:pPr>
      <w:r>
        <w:rPr>
          <w:rFonts w:hint="eastAsia" w:ascii="宋体" w:hAnsi="宋体" w:eastAsia="宋体" w:cs="宋体"/>
          <w:b/>
          <w:bCs/>
          <w:color w:val="000000"/>
          <w:spacing w:val="0"/>
          <w:kern w:val="0"/>
          <w:sz w:val="21"/>
          <w:szCs w:val="21"/>
          <w:highlight w:val="none"/>
        </w:rPr>
        <w:t>注：上述合同仅作为参考文本，合同签订时双方可根据项目的具体要求进行修订，实质性内容不得违背</w:t>
      </w:r>
      <w:r>
        <w:rPr>
          <w:rFonts w:hint="eastAsia" w:ascii="宋体" w:hAnsi="宋体" w:eastAsia="宋体" w:cs="宋体"/>
          <w:b/>
          <w:bCs/>
          <w:color w:val="000000"/>
          <w:spacing w:val="0"/>
          <w:kern w:val="0"/>
          <w:sz w:val="21"/>
          <w:szCs w:val="21"/>
          <w:highlight w:val="none"/>
          <w:lang w:val="en-US" w:eastAsia="zh-CN"/>
        </w:rPr>
        <w:t>磋商</w:t>
      </w:r>
      <w:r>
        <w:rPr>
          <w:rFonts w:hint="eastAsia" w:ascii="宋体" w:hAnsi="宋体" w:eastAsia="宋体" w:cs="宋体"/>
          <w:b/>
          <w:bCs/>
          <w:color w:val="000000"/>
          <w:spacing w:val="0"/>
          <w:kern w:val="0"/>
          <w:sz w:val="21"/>
          <w:szCs w:val="21"/>
          <w:highlight w:val="none"/>
        </w:rPr>
        <w:t>文件的条款</w:t>
      </w:r>
      <w:r>
        <w:rPr>
          <w:rFonts w:hint="eastAsia" w:ascii="宋体" w:hAnsi="宋体" w:eastAsia="宋体" w:cs="宋体"/>
          <w:b/>
          <w:bCs/>
          <w:color w:val="000000"/>
          <w:spacing w:val="0"/>
          <w:kern w:val="0"/>
          <w:sz w:val="24"/>
          <w:szCs w:val="24"/>
          <w:highlight w:val="none"/>
        </w:rPr>
        <w:t>。</w:t>
      </w:r>
    </w:p>
    <w:p w14:paraId="1988B53A">
      <w:pPr>
        <w:pStyle w:val="3"/>
        <w:spacing w:line="400" w:lineRule="exact"/>
        <w:ind w:firstLine="0" w:firstLineChars="0"/>
        <w:jc w:val="left"/>
        <w:rPr>
          <w:rFonts w:hint="eastAsia" w:ascii="华文仿宋" w:hAnsi="华文仿宋" w:cs="华文仿宋"/>
          <w:b/>
          <w:bCs/>
          <w:sz w:val="28"/>
          <w:szCs w:val="28"/>
        </w:rPr>
      </w:pPr>
    </w:p>
    <w:p w14:paraId="2DF7B222">
      <w:pPr>
        <w:pStyle w:val="3"/>
        <w:spacing w:line="400" w:lineRule="exact"/>
        <w:ind w:firstLine="0" w:firstLineChars="0"/>
        <w:jc w:val="left"/>
        <w:rPr>
          <w:rFonts w:hint="eastAsia" w:ascii="华文仿宋" w:hAnsi="华文仿宋" w:cs="华文仿宋"/>
          <w:b/>
          <w:bCs/>
          <w:sz w:val="28"/>
          <w:szCs w:val="28"/>
        </w:rPr>
      </w:pPr>
    </w:p>
    <w:p w14:paraId="4E0771AB">
      <w:pPr>
        <w:pStyle w:val="3"/>
        <w:spacing w:line="400" w:lineRule="exact"/>
        <w:ind w:firstLine="0" w:firstLineChars="0"/>
        <w:jc w:val="left"/>
        <w:rPr>
          <w:rFonts w:hint="eastAsia" w:ascii="华文仿宋" w:hAnsi="华文仿宋" w:cs="华文仿宋"/>
          <w:b/>
          <w:bCs/>
          <w:sz w:val="28"/>
          <w:szCs w:val="28"/>
        </w:rPr>
      </w:pPr>
    </w:p>
    <w:p w14:paraId="16B7D1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roman"/>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C3097">
    <w:pPr>
      <w:pStyle w:val="10"/>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3F821A">
                          <w:pPr>
                            <w:pStyle w:val="4"/>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v:imagedata o:title=""/>
              <o:lock v:ext="edit" aspectratio="f"/>
              <v:textbox inset="0mm,0mm,0mm,0mm" style="mso-fit-shape-to-text:t;">
                <w:txbxContent>
                  <w:p w14:paraId="653F821A">
                    <w:pPr>
                      <w:pStyle w:val="4"/>
                    </w:pPr>
                    <w:r>
                      <w:fldChar w:fldCharType="begin"/>
                    </w:r>
                    <w:r>
                      <w:instrText xml:space="preserve"> PAGE  \* MERGEFORMAT </w:instrText>
                    </w:r>
                    <w:r>
                      <w:fldChar w:fldCharType="separate"/>
                    </w:r>
                    <w:r>
                      <w:t>58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FB0D50"/>
    <w:rsid w:val="45FB0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First Indent"/>
    <w:basedOn w:val="2"/>
    <w:next w:val="2"/>
    <w:qFormat/>
    <w:uiPriority w:val="99"/>
    <w:pPr>
      <w:adjustRightInd/>
      <w:snapToGrid/>
      <w:spacing w:after="200"/>
      <w:ind w:firstLine="420" w:firstLineChars="100"/>
      <w:jc w:val="both"/>
    </w:pPr>
    <w:rPr>
      <w:rFonts w:ascii="Times New Roman" w:hAnsi="Times New Roman" w:eastAsia="华文仿宋"/>
      <w:kern w:val="2"/>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table" w:styleId="6">
    <w:name w:val="Table Grid"/>
    <w:basedOn w:val="5"/>
    <w:qFormat/>
    <w:uiPriority w:val="59"/>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1 字符"/>
    <w:link w:val="9"/>
    <w:qFormat/>
    <w:uiPriority w:val="0"/>
    <w:rPr>
      <w:rFonts w:hint="eastAsia" w:ascii="宋体" w:hAnsi="宋体"/>
      <w:b/>
      <w:bCs/>
      <w:kern w:val="44"/>
      <w:sz w:val="48"/>
      <w:szCs w:val="48"/>
    </w:rPr>
  </w:style>
  <w:style w:type="paragraph" w:customStyle="1" w:styleId="9">
    <w:name w:val="标题 11"/>
    <w:basedOn w:val="1"/>
    <w:link w:val="8"/>
    <w:qFormat/>
    <w:uiPriority w:val="0"/>
    <w:pPr>
      <w:spacing w:beforeAutospacing="1" w:afterAutospacing="1"/>
      <w:jc w:val="left"/>
      <w:outlineLvl w:val="0"/>
    </w:pPr>
    <w:rPr>
      <w:rFonts w:hint="eastAsia" w:ascii="宋体" w:hAnsi="宋体"/>
      <w:b/>
      <w:bCs/>
      <w:kern w:val="44"/>
      <w:sz w:val="48"/>
      <w:szCs w:val="48"/>
    </w:rPr>
  </w:style>
  <w:style w:type="paragraph" w:customStyle="1" w:styleId="10">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2026-04-30T09:07:00Z</dcterms:created>
  <dc:creator>半个爷们儿。</dc:creator>
  <cp:lastModifiedBy>半个爷们儿。</cp:lastModifiedBy>
  <dcterms:modified xsi:type="dcterms:W3CDTF">2026-04-30T09:08:53Z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83FB807CB4C54AE5ADA43EF5F7756322_11</vt:lpwstr>
  </property>
  <property fmtid="{D5CDD505-2E9C-101B-9397-08002B2CF9AE}" pid="4" name="KSOTemplateDocerSaveRecord">
    <vt:lpwstr>eyJoZGlkIjoiOWUwOWY1OThjOTBmY2I1M2U5OGEyOWE4OWU3MTI0MDIiLCJ1c2VySWQiOiIyNjgwMDUyNjAifQ==</vt:lpwstr>
  </property>
</Properties>
</file>