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版本号：HRPD-ZFCG-2026-01820260716001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2026年富平县到贤镇田村村柿子加工建设项目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HRPD-ZFCG-2026-018</w:t>
      </w:r>
      <w:r>
        <w:br/>
      </w:r>
      <w:r>
        <w:br/>
      </w:r>
      <w:r>
        <w:br/>
      </w:r>
    </w:p>
    <w:p>
      <w:pPr>
        <w:pStyle w:val="null3"/>
        <w:jc w:val="center"/>
        <w:outlineLvl w:val="2"/>
      </w:pPr>
      <w:r>
        <w:rPr>
          <w:rFonts w:ascii="仿宋_GB2312" w:hAnsi="仿宋_GB2312" w:cs="仿宋_GB2312" w:eastAsia="仿宋_GB2312"/>
          <w:sz w:val="28"/>
          <w:b/>
        </w:rPr>
        <w:t>富平县到贤镇人民政府（本级）</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富平县到贤镇人民政府（本级）</w:t>
      </w:r>
      <w:r>
        <w:rPr>
          <w:rFonts w:ascii="仿宋_GB2312" w:hAnsi="仿宋_GB2312" w:cs="仿宋_GB2312" w:eastAsia="仿宋_GB2312"/>
        </w:rPr>
        <w:t>委托，拟对</w:t>
      </w:r>
      <w:r>
        <w:rPr>
          <w:rFonts w:ascii="仿宋_GB2312" w:hAnsi="仿宋_GB2312" w:cs="仿宋_GB2312" w:eastAsia="仿宋_GB2312"/>
        </w:rPr>
        <w:t>2026年富平县到贤镇田村村柿子加工建设项目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HRPD-ZFCG-2026-018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2026年富平县到贤镇田村村柿子加工建设项目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新建柿子包装厂房360m²(长30m,宽12m, 高6m);新建250吨冷库一座1000m³(长14.38m,宽12m,高5.8m)。</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采购包1（2026年富平县到贤镇田村村柿子加工建设项目）：属于专门面向中小企业采购。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3、资质和专业要求：需具有建设行政主管部门核发的建筑工程施工总承包三级及以上或钢结构工程专业承包三级及以上资质；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项目经理需具备建筑工程注册建造师二级及以上注册建造师资格和有效的安全生产考核合格证书；（可提供证书复印件或有可识别的二维码证书复印件并加盖公章），且无在建工程（须提供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11、磋商保证金要求：a.提供磋商保证金转账凭证和基本存款账户信息证明资料复印件或扫描件；b.提供金融机构、担保机构出具的保函复印件或扫描件。以上两种方式二选一；</w:t>
      </w:r>
    </w:p>
    <w:p>
      <w:pPr>
        <w:pStyle w:val="null3"/>
      </w:pPr>
      <w:r>
        <w:rPr>
          <w:rFonts w:ascii="仿宋_GB2312" w:hAnsi="仿宋_GB2312" w:cs="仿宋_GB2312" w:eastAsia="仿宋_GB2312"/>
        </w:rPr>
        <w:t>12、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13、具有履行本合同所必需的设备和专业技术能力的要求：提供具有履行本合同所必需的设备和专业技术能力的说明及承诺；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富平县到贤镇人民政府（本级）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富平县到贤镇街道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富平县到贤镇人民政府（本级）经办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15129556725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井红艳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15129556725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开户名称：宏睿鹏达项目管理有限公司富平分公司</w:t>
            </w:r>
          </w:p>
          <w:p>
            <w:pPr>
              <w:pStyle w:val="null3"/>
            </w:pPr>
            <w:r>
              <w:rPr>
                <w:rFonts w:ascii="仿宋_GB2312" w:hAnsi="仿宋_GB2312" w:cs="仿宋_GB2312" w:eastAsia="仿宋_GB2312"/>
              </w:rPr>
              <w:t>开户银行：中国建设银行股份有限公司富平县东新街支行</w:t>
            </w:r>
          </w:p>
          <w:p>
            <w:pPr>
              <w:pStyle w:val="null3"/>
            </w:pPr>
            <w:r>
              <w:rPr>
                <w:rFonts w:ascii="仿宋_GB2312" w:hAnsi="仿宋_GB2312" w:cs="仿宋_GB2312" w:eastAsia="仿宋_GB2312"/>
              </w:rPr>
              <w:t>银行账号：61050164831500002163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代理服务费收费标准：招标代理服务费参照国家计委印发《招标代理服务收费管理暂行办法》的通 知（计价格[2002]1980 号）计算收取，不计入工程造价，按照《国家发展改革委办公厅关于招标代理服务收费有关问题的通知》（发改办价格〔2003〕 857 号）规定收取。造价咨询服务费按（陕价行发【2014】88 号文件）计算收取，不计入工程造价，由成交供应商支付。若本次招标失败（非代理机构原因），招标代理服务费由采购人支付，造价咨询费由成交供应商支付。具体金额详见中标（成交）结果公告，在领取中标通知书时向采购代理机构一 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富平县到贤镇人民政府（本级）</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富平县到贤镇人民政府（本级）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富平县到贤镇人民政府（本级）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知识产权属发包人所有，承包人不得将此类图纸用于任何 与本工程以外的项目，承包人对所有图纸和工程文件负有保密义务，不得任意扩大接触和 使用范围，不得泄露给与本工程无关的其他人员。发包人无需支付保密措施费用。因承包人原因造成泄密的，应承担赔偿损失等法律责任。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(1)国家现行和相关技术规程；(2)工程所在地建设主管 部门的标准、规范；(3)工程所在地行业的标准、规范；(4)发包人施工图纸的具体要求 。</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联系人：井红艳</w:t>
      </w:r>
    </w:p>
    <w:p>
      <w:pPr>
        <w:pStyle w:val="null3"/>
      </w:pPr>
      <w:r>
        <w:rPr>
          <w:rFonts w:ascii="仿宋_GB2312" w:hAnsi="仿宋_GB2312" w:cs="仿宋_GB2312" w:eastAsia="仿宋_GB2312"/>
        </w:rPr>
        <w:t>联系电话： 15511636505</w:t>
      </w:r>
    </w:p>
    <w:p>
      <w:pPr>
        <w:pStyle w:val="null3"/>
      </w:pPr>
      <w:r>
        <w:rPr>
          <w:rFonts w:ascii="仿宋_GB2312" w:hAnsi="仿宋_GB2312" w:cs="仿宋_GB2312" w:eastAsia="仿宋_GB2312"/>
        </w:rPr>
        <w:t>地址：陕西省渭南市富平县城关街道新兴巷秦楚名苑小区对面二楼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794,070.53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2026年富平县到贤镇田村村柿子加工建设项目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标的名称：2026年富平县到贤镇田村村柿子加工建设项目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rPr>
              <w:t>一、项目概况</w:t>
            </w:r>
          </w:p>
          <w:p>
            <w:pPr>
              <w:pStyle w:val="null3"/>
              <w:spacing w:before="105" w:after="105"/>
              <w:jc w:val="left"/>
            </w:pPr>
            <w:r>
              <w:rPr>
                <w:rFonts w:ascii="仿宋_GB2312" w:hAnsi="仿宋_GB2312" w:cs="仿宋_GB2312" w:eastAsia="仿宋_GB2312"/>
                <w:sz w:val="24"/>
              </w:rPr>
              <w:t>新建柿子包装厂房</w:t>
            </w:r>
            <w:r>
              <w:rPr>
                <w:rFonts w:ascii="仿宋_GB2312" w:hAnsi="仿宋_GB2312" w:cs="仿宋_GB2312" w:eastAsia="仿宋_GB2312"/>
                <w:sz w:val="24"/>
              </w:rPr>
              <w:t>360m²(长30m,宽12m, 高6m);新建250吨冷库一座1000m³(长14.38m,宽12m,高5.8m)。</w:t>
            </w:r>
          </w:p>
          <w:p>
            <w:pPr>
              <w:pStyle w:val="null3"/>
              <w:spacing w:before="105" w:after="105"/>
              <w:jc w:val="left"/>
            </w:pPr>
            <w:r>
              <w:rPr>
                <w:rFonts w:ascii="仿宋_GB2312" w:hAnsi="仿宋_GB2312" w:cs="仿宋_GB2312" w:eastAsia="仿宋_GB2312"/>
                <w:sz w:val="24"/>
              </w:rPr>
              <w:t>二、实施地点：采购人指定地点</w:t>
            </w:r>
            <w:r>
              <w:br/>
            </w:r>
            <w:r>
              <w:rPr>
                <w:rFonts w:ascii="仿宋_GB2312" w:hAnsi="仿宋_GB2312" w:cs="仿宋_GB2312" w:eastAsia="仿宋_GB2312"/>
                <w:sz w:val="24"/>
              </w:rPr>
              <w:t>三、项目要求：</w:t>
            </w:r>
            <w:r>
              <w:br/>
            </w:r>
            <w:r>
              <w:rPr>
                <w:rFonts w:ascii="仿宋_GB2312" w:hAnsi="仿宋_GB2312" w:cs="仿宋_GB2312" w:eastAsia="仿宋_GB2312"/>
                <w:sz w:val="24"/>
              </w:rPr>
              <w:t>1.工程质量目标:达到国家现行施工验收规范“合格”标准。</w:t>
            </w:r>
            <w:r>
              <w:br/>
            </w:r>
            <w:r>
              <w:rPr>
                <w:rFonts w:ascii="仿宋_GB2312" w:hAnsi="仿宋_GB2312" w:cs="仿宋_GB2312" w:eastAsia="仿宋_GB2312"/>
                <w:sz w:val="24"/>
              </w:rPr>
              <w:t>2.文明施工:安全文明施工工地。</w:t>
            </w:r>
            <w:r>
              <w:br/>
            </w:r>
            <w:r>
              <w:rPr>
                <w:rFonts w:ascii="仿宋_GB2312" w:hAnsi="仿宋_GB2312" w:cs="仿宋_GB2312" w:eastAsia="仿宋_GB2312"/>
                <w:sz w:val="24"/>
              </w:rPr>
              <w:t>四、工期：</w:t>
            </w:r>
            <w:r>
              <w:br/>
            </w:r>
            <w:r>
              <w:rPr>
                <w:rFonts w:ascii="仿宋_GB2312" w:hAnsi="仿宋_GB2312" w:cs="仿宋_GB2312" w:eastAsia="仿宋_GB2312"/>
                <w:sz w:val="24"/>
              </w:rPr>
              <w:t>工期：</w:t>
            </w:r>
            <w:r>
              <w:rPr>
                <w:rFonts w:ascii="仿宋_GB2312" w:hAnsi="仿宋_GB2312" w:cs="仿宋_GB2312" w:eastAsia="仿宋_GB2312"/>
                <w:sz w:val="24"/>
              </w:rPr>
              <w:t>60日历天（计划开、竣工日期以施工合同签订时间为准）。</w:t>
            </w:r>
            <w:r>
              <w:br/>
            </w:r>
            <w:r>
              <w:rPr>
                <w:rFonts w:ascii="仿宋_GB2312" w:hAnsi="仿宋_GB2312" w:cs="仿宋_GB2312" w:eastAsia="仿宋_GB2312"/>
                <w:sz w:val="24"/>
              </w:rPr>
              <w:t>五、安全要求</w:t>
            </w:r>
            <w:r>
              <w:br/>
            </w:r>
            <w:r>
              <w:rPr>
                <w:rFonts w:ascii="仿宋_GB2312" w:hAnsi="仿宋_GB2312" w:cs="仿宋_GB2312" w:eastAsia="仿宋_GB2312"/>
                <w:sz w:val="24"/>
              </w:rPr>
              <w:t>遵守工程建设安全生产有关管理规定，严格按安全标准组织施工，采取必要的安全生产措施，消除事故隐患。安全措施不力造成事故责任和发生的费用由成交供应商承担。</w:t>
            </w:r>
            <w:r>
              <w:br/>
            </w:r>
            <w:r>
              <w:rPr>
                <w:rFonts w:ascii="仿宋_GB2312" w:hAnsi="仿宋_GB2312" w:cs="仿宋_GB2312" w:eastAsia="仿宋_GB2312"/>
                <w:sz w:val="24"/>
              </w:rPr>
              <w:t>六、工程施工基本要求</w:t>
            </w:r>
            <w:r>
              <w:br/>
            </w:r>
            <w:r>
              <w:rPr>
                <w:rFonts w:ascii="仿宋_GB2312" w:hAnsi="仿宋_GB2312" w:cs="仿宋_GB2312" w:eastAsia="仿宋_GB2312"/>
                <w:sz w:val="24"/>
              </w:rPr>
              <w:t>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合同签订后，支付合同总价30%作为预付款；工程竣工验收合格后，付至合同总价款的70%；待工程决算审计报告经双方签字盖章确认后，付至审定金额的97%；剩余3%作为质量保证金，于缺陷责任期满后一次性付清。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需具有建设行政主管部门核发的建筑工程施工总承包三级及以上或钢结构工程专业承包三级及以上资质；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项目经理需具备建筑工程注册建造师二级及以上注册建造师资格和有效的安全生产考核合格证书；（可提供证书复印件或有可识别的二维码证书复印件并加盖公章），且无在建工程（须提供无在建工程的相关证明材料或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a.提供磋商保证金转账凭证和基本存款账户信息证明资料复印件或扫描件；b.提供金融机构、担保机构出具的保函复印件或扫描件。以上两种方式二选一；</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具有履行本合同所必需的设备和专业技术能力的要求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供应商名称</w:t>
            </w:r>
          </w:p>
        </w:tc>
        <w:tc>
          <w:tcPr>
            <w:tcW w:type="dxa" w:w="3322"/>
          </w:tcPr>
          <w:p>
            <w:pPr>
              <w:pStyle w:val="null3"/>
            </w:pPr>
            <w:r>
              <w:rPr>
                <w:rFonts w:ascii="仿宋_GB2312" w:hAnsi="仿宋_GB2312" w:cs="仿宋_GB2312" w:eastAsia="仿宋_GB2312"/>
              </w:rPr>
              <w:t>与提供的证明材料一致</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已标价工程量清单 技术服务合同条款及其他商务要求应答表.docx 供应商类似项目业绩一览表.docx 中小企业声明函 强制优先采购产品承诺函 响应文件封面 项目管理机构组成表 主要人员简历表.docx 其他应说明的事项.docx 残疾人福利性单位声明函 报价函 标的清单 资格证明材料.docx 响应函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 xml:space="preserve"> 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磋商响应文件有效期</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技术服务合同条款及其他商务要求应答表.docx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、存在不适用项目实际情况的情形） 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 目特点 不匹配 、 凭空编造 、逻辑漏洞 、 出现常识性错误 、 套用其他项目方案 、存在不可能实现的夸大情形 、 存在不适用项目实际情况的情形） 每项扣1 分 ，方 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 述过于简单 、与项 目特点不匹配 、 凭空编造 、逻辑 漏洞 、 出现常识性错误 、套用其他项 目方案 、存在不可能实现的夸大情形 、存在不适用项目实际情况 的情形） 每项扣1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 目特点不匹配、 凭空编造 、逻辑漏洞 、 出现常识性错误 、套用其他项 目方案 、存在不可能实现的夸大情形 、存在不适 用项 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 方案粗略 、逻辑混乱 、描述过于简 单 、与项目特点不匹配 、 凭空编造 、逻辑漏洞 、 出现常识性错误 、套用其他项目方案 、存在不可能实现的夸大情形 、存在不适用项 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 ①劳动力计划②主要材料供应计划③施工机械设备配备计划。方案合理完整的计 6 分 ， 方案不完善或有缺陷 （不完善或有缺陷是指： 方案粗略 、逻辑混乱 、描 述过于简单 、与项 目特点不匹配 、凭空编造 、逻辑 漏洞 、 出现常识性错误 、套用其他项目方案 、存在不可能实现的夸大情形 、存在不适用项 目实际情况 的情形） 每项扣 1 分 ，方案缺漏项或只有标题没有实质性内容的每项扣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目特点不匹配 、 凭空编造 、逻辑漏洞 、 出现常识性错误 、套用其他项目方案 、存在不可能实现的夸大情 形 、存在不适用项 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近三年完成的类似业绩一项得2分，最多得6分（提供2023年5月1日至今类似工程；投标文件中须附类似工程业绩中标通知书或合同协议书或竣工验收证明材料复印件或扫描件，并加盖公章）。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