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A55E5">
      <w:pPr>
        <w:pStyle w:val="2"/>
        <w:numPr>
          <w:ilvl w:val="0"/>
          <w:numId w:val="0"/>
        </w:numPr>
        <w:rPr>
          <w:rFonts w:ascii="宋体" w:hAnsi="宋体" w:eastAsia="宋体" w:cs="宋体"/>
        </w:rPr>
      </w:pPr>
      <w:bookmarkStart w:id="0" w:name="_Toc2854"/>
      <w:r>
        <w:rPr>
          <w:rFonts w:hint="eastAsia" w:ascii="宋体" w:hAnsi="宋体" w:eastAsia="宋体" w:cs="宋体"/>
        </w:rPr>
        <w:t>拟签订的合同文本</w:t>
      </w:r>
      <w:bookmarkEnd w:id="0"/>
    </w:p>
    <w:p w14:paraId="54394BBA">
      <w:pPr>
        <w:ind w:firstLine="0" w:firstLineChars="0"/>
        <w:rPr>
          <w:rFonts w:ascii="宋体" w:hAnsi="宋体" w:eastAsia="宋体" w:cs="宋体"/>
          <w:b/>
          <w:bCs/>
        </w:rPr>
      </w:pPr>
      <w:r>
        <w:rPr>
          <w:rFonts w:hint="eastAsia" w:ascii="宋体" w:hAnsi="宋体" w:eastAsia="宋体" w:cs="宋体"/>
          <w:b/>
          <w:bCs/>
        </w:rPr>
        <w:t>（本格式条款供双方签订合同参考，采购人可根据项目的实际情况增减条款和内容）</w:t>
      </w:r>
    </w:p>
    <w:p w14:paraId="2F2B5721">
      <w:pPr>
        <w:rPr>
          <w:rFonts w:hint="eastAsia" w:asciiTheme="majorEastAsia" w:hAnsiTheme="majorEastAsia" w:eastAsiaTheme="majorEastAsia" w:cstheme="majorEastAsia"/>
          <w:b/>
          <w:bCs/>
          <w:color w:val="000000"/>
          <w:spacing w:val="0"/>
          <w:w w:val="100"/>
          <w:kern w:val="0"/>
          <w:position w:val="0"/>
          <w:sz w:val="28"/>
          <w:szCs w:val="28"/>
          <w:shd w:val="clear" w:color="auto" w:fill="auto"/>
          <w:lang w:val="en-US" w:eastAsia="zh-CN" w:bidi="en-US"/>
        </w:rPr>
      </w:pPr>
      <w:r>
        <w:rPr>
          <w:rFonts w:hint="eastAsia" w:asciiTheme="majorEastAsia" w:hAnsiTheme="majorEastAsia" w:eastAsiaTheme="majorEastAsia" w:cstheme="majorEastAsia"/>
          <w:b/>
          <w:bCs/>
          <w:color w:val="000000"/>
          <w:spacing w:val="0"/>
          <w:w w:val="100"/>
          <w:kern w:val="0"/>
          <w:position w:val="0"/>
          <w:sz w:val="28"/>
          <w:szCs w:val="28"/>
          <w:shd w:val="clear" w:color="auto" w:fill="auto"/>
          <w:lang w:val="en-US" w:eastAsia="zh-CN" w:bidi="en-US"/>
        </w:rPr>
        <w:br w:type="page"/>
      </w:r>
    </w:p>
    <w:p w14:paraId="51903B7C">
      <w:pPr>
        <w:keepNext w:val="0"/>
        <w:keepLines w:val="0"/>
        <w:shd w:val="clear" w:color="auto" w:fill="auto"/>
        <w:bidi w:val="0"/>
        <w:spacing w:before="0" w:after="0" w:line="240" w:lineRule="auto"/>
        <w:ind w:left="0" w:right="0" w:firstLine="0" w:firstLineChars="0"/>
        <w:jc w:val="left"/>
        <w:rPr>
          <w:rFonts w:hint="eastAsia" w:asciiTheme="majorEastAsia" w:hAnsiTheme="majorEastAsia" w:eastAsiaTheme="majorEastAsia" w:cstheme="majorEastAsia"/>
          <w:color w:val="000000"/>
          <w:spacing w:val="0"/>
          <w:w w:val="100"/>
          <w:kern w:val="0"/>
          <w:position w:val="0"/>
          <w:sz w:val="28"/>
          <w:szCs w:val="28"/>
          <w:shd w:val="clear" w:color="auto" w:fill="auto"/>
          <w:lang w:val="en-US" w:eastAsia="zh-CN" w:bidi="en-US"/>
        </w:rPr>
      </w:pPr>
      <w:r>
        <w:rPr>
          <w:rFonts w:hint="eastAsia" w:asciiTheme="majorEastAsia" w:hAnsiTheme="majorEastAsia" w:eastAsiaTheme="majorEastAsia" w:cstheme="majorEastAsia"/>
          <w:b/>
          <w:bCs/>
          <w:color w:val="000000"/>
          <w:spacing w:val="0"/>
          <w:w w:val="100"/>
          <w:kern w:val="0"/>
          <w:position w:val="0"/>
          <w:sz w:val="28"/>
          <w:szCs w:val="28"/>
          <w:shd w:val="clear" w:color="auto" w:fill="auto"/>
          <w:lang w:val="en-US" w:eastAsia="zh-CN" w:bidi="en-US"/>
        </w:rPr>
        <w:t xml:space="preserve">政府采购项目 </w:t>
      </w:r>
      <w:r>
        <w:rPr>
          <w:rFonts w:hint="eastAsia" w:asciiTheme="majorEastAsia" w:hAnsiTheme="majorEastAsia" w:eastAsiaTheme="majorEastAsia" w:cstheme="majorEastAsia"/>
          <w:color w:val="000000"/>
          <w:spacing w:val="0"/>
          <w:w w:val="100"/>
          <w:kern w:val="0"/>
          <w:position w:val="0"/>
          <w:sz w:val="28"/>
          <w:szCs w:val="28"/>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kern w:val="0"/>
          <w:position w:val="0"/>
          <w:sz w:val="28"/>
          <w:szCs w:val="28"/>
          <w:bdr w:val="single" w:color="000000" w:sz="4" w:space="0"/>
          <w:shd w:val="clear" w:color="auto" w:fill="auto"/>
          <w:lang w:val="en-US" w:eastAsia="zh-CN" w:bidi="en-US"/>
        </w:rPr>
        <w:t>竞争性谈判</w:t>
      </w:r>
    </w:p>
    <w:p w14:paraId="23E4E82E">
      <w:pPr>
        <w:keepNext/>
        <w:keepLines/>
        <w:widowControl w:val="0"/>
        <w:shd w:val="clear" w:color="auto" w:fill="auto"/>
        <w:bidi w:val="0"/>
        <w:spacing w:before="0" w:after="120" w:line="1133" w:lineRule="exact"/>
        <w:ind w:left="0" w:leftChars="0" w:right="0" w:firstLine="0" w:firstLineChars="0"/>
        <w:jc w:val="center"/>
        <w:outlineLvl w:val="0"/>
        <w:rPr>
          <w:rFonts w:hint="eastAsia" w:asciiTheme="majorEastAsia" w:hAnsiTheme="majorEastAsia" w:eastAsiaTheme="majorEastAsia" w:cstheme="majorEastAsia"/>
          <w:b/>
          <w:bCs/>
          <w:color w:val="auto"/>
          <w:spacing w:val="0"/>
          <w:w w:val="100"/>
          <w:position w:val="0"/>
          <w:sz w:val="44"/>
          <w:szCs w:val="44"/>
          <w:u w:val="none"/>
          <w:shd w:val="clear" w:color="auto" w:fill="auto"/>
          <w:lang w:val="en-US" w:eastAsia="zh-CN" w:bidi="en-US"/>
        </w:rPr>
      </w:pPr>
      <w:bookmarkStart w:id="1" w:name="bookmark2"/>
      <w:bookmarkStart w:id="2" w:name="bookmark0"/>
      <w:bookmarkStart w:id="3" w:name="bookmark1"/>
    </w:p>
    <w:p w14:paraId="76033715">
      <w:pPr>
        <w:keepNext/>
        <w:keepLines/>
        <w:widowControl w:val="0"/>
        <w:shd w:val="clear" w:color="auto" w:fill="auto"/>
        <w:bidi w:val="0"/>
        <w:spacing w:before="0" w:after="120" w:line="1133" w:lineRule="exact"/>
        <w:ind w:left="0" w:leftChars="0" w:right="0" w:firstLine="0" w:firstLineChars="0"/>
        <w:jc w:val="center"/>
        <w:outlineLvl w:val="0"/>
        <w:rPr>
          <w:rFonts w:hint="eastAsia" w:asciiTheme="majorEastAsia" w:hAnsiTheme="majorEastAsia" w:eastAsiaTheme="majorEastAsia" w:cstheme="majorEastAsia"/>
          <w:b/>
          <w:bCs/>
          <w:color w:val="auto"/>
          <w:spacing w:val="0"/>
          <w:w w:val="100"/>
          <w:position w:val="0"/>
          <w:sz w:val="44"/>
          <w:szCs w:val="44"/>
          <w:u w:val="none"/>
          <w:shd w:val="clear" w:color="auto" w:fill="auto"/>
          <w:lang w:val="en-US" w:eastAsia="zh-CN" w:bidi="en-US"/>
        </w:rPr>
      </w:pPr>
      <w:r>
        <w:rPr>
          <w:rFonts w:hint="eastAsia" w:asciiTheme="majorEastAsia" w:hAnsiTheme="majorEastAsia" w:eastAsiaTheme="majorEastAsia" w:cstheme="majorEastAsia"/>
          <w:b/>
          <w:bCs/>
          <w:color w:val="auto"/>
          <w:spacing w:val="0"/>
          <w:w w:val="100"/>
          <w:position w:val="0"/>
          <w:sz w:val="44"/>
          <w:szCs w:val="44"/>
          <w:u w:val="none"/>
          <w:shd w:val="clear" w:color="auto" w:fill="auto"/>
          <w:lang w:val="en-US" w:eastAsia="zh-CN" w:bidi="en-US"/>
        </w:rPr>
        <w:t>2026年度警犬犬粮、犬罐头、训练用品采购项目(二次)</w:t>
      </w:r>
    </w:p>
    <w:p w14:paraId="47745480">
      <w:pPr>
        <w:keepNext/>
        <w:keepLines/>
        <w:widowControl w:val="0"/>
        <w:shd w:val="clear" w:color="auto" w:fill="auto"/>
        <w:bidi w:val="0"/>
        <w:spacing w:before="0" w:after="120" w:line="1133" w:lineRule="exact"/>
        <w:ind w:left="0" w:leftChars="0" w:right="0" w:firstLine="0" w:firstLineChars="0"/>
        <w:jc w:val="center"/>
        <w:outlineLvl w:val="0"/>
        <w:rPr>
          <w:rFonts w:hint="eastAsia" w:asciiTheme="majorEastAsia" w:hAnsiTheme="majorEastAsia" w:eastAsiaTheme="majorEastAsia" w:cstheme="majorEastAsia"/>
          <w:b/>
          <w:bCs/>
          <w:color w:val="auto"/>
          <w:spacing w:val="0"/>
          <w:w w:val="100"/>
          <w:position w:val="0"/>
          <w:sz w:val="52"/>
          <w:szCs w:val="52"/>
          <w:u w:val="none"/>
          <w:shd w:val="clear" w:color="auto" w:fill="auto"/>
          <w:lang w:val="en-US" w:eastAsia="zh-CN" w:bidi="en-US"/>
        </w:rPr>
      </w:pPr>
    </w:p>
    <w:p w14:paraId="69860B1E">
      <w:pPr>
        <w:keepNext/>
        <w:keepLines/>
        <w:widowControl w:val="0"/>
        <w:shd w:val="clear" w:color="auto" w:fill="auto"/>
        <w:bidi w:val="0"/>
        <w:spacing w:before="0" w:after="120" w:line="1133" w:lineRule="exact"/>
        <w:ind w:right="0"/>
        <w:jc w:val="center"/>
        <w:outlineLvl w:val="0"/>
        <w:rPr>
          <w:rFonts w:hint="eastAsia" w:asciiTheme="majorEastAsia" w:hAnsiTheme="majorEastAsia" w:eastAsiaTheme="majorEastAsia" w:cstheme="majorEastAsia"/>
          <w:b/>
          <w:bCs/>
          <w:color w:val="auto"/>
          <w:spacing w:val="0"/>
          <w:w w:val="100"/>
          <w:position w:val="0"/>
          <w:sz w:val="52"/>
          <w:szCs w:val="52"/>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52"/>
          <w:szCs w:val="52"/>
          <w:u w:val="none"/>
          <w:shd w:val="clear" w:color="auto" w:fill="auto"/>
          <w:lang w:val="zh-TW" w:eastAsia="zh-TW" w:bidi="zh-TW"/>
        </w:rPr>
        <w:t>供货合同</w:t>
      </w:r>
      <w:bookmarkEnd w:id="1"/>
      <w:bookmarkEnd w:id="2"/>
      <w:bookmarkEnd w:id="3"/>
    </w:p>
    <w:p w14:paraId="28E78C32">
      <w:pPr>
        <w:keepNext w:val="0"/>
        <w:keepLines w:val="0"/>
        <w:widowControl w:val="0"/>
        <w:shd w:val="clear" w:color="auto" w:fill="auto"/>
        <w:bidi w:val="0"/>
        <w:spacing w:before="0" w:after="120" w:line="240" w:lineRule="auto"/>
        <w:ind w:left="0" w:right="0" w:firstLine="2700" w:firstLineChars="900"/>
        <w:jc w:val="both"/>
        <w:rPr>
          <w:rFonts w:hint="eastAsia" w:asciiTheme="majorEastAsia" w:hAnsiTheme="majorEastAsia" w:eastAsiaTheme="majorEastAsia" w:cstheme="majorEastAsia"/>
          <w:color w:val="auto"/>
          <w:spacing w:val="0"/>
          <w:w w:val="100"/>
          <w:position w:val="0"/>
          <w:sz w:val="30"/>
          <w:szCs w:val="30"/>
          <w:u w:val="none"/>
          <w:shd w:val="clear" w:color="auto" w:fill="auto"/>
          <w:lang w:val="en-US" w:eastAsia="en-US" w:bidi="en-US"/>
        </w:rPr>
      </w:pPr>
      <w:r>
        <w:rPr>
          <w:rFonts w:hint="eastAsia" w:asciiTheme="majorEastAsia" w:hAnsiTheme="majorEastAsia" w:eastAsiaTheme="majorEastAsia" w:cstheme="majorEastAsia"/>
          <w:color w:val="auto"/>
          <w:spacing w:val="0"/>
          <w:w w:val="100"/>
          <w:position w:val="0"/>
          <w:sz w:val="30"/>
          <w:szCs w:val="30"/>
          <w:u w:val="none"/>
          <w:shd w:val="clear" w:color="auto" w:fill="auto"/>
          <w:lang w:val="zh-TW" w:eastAsia="zh-TW" w:bidi="zh-TW"/>
        </w:rPr>
        <w:t>（</w:t>
      </w:r>
      <w:r>
        <w:rPr>
          <w:rFonts w:hint="eastAsia" w:asciiTheme="majorEastAsia" w:hAnsiTheme="majorEastAsia" w:eastAsiaTheme="majorEastAsia" w:cstheme="majorEastAsia"/>
          <w:color w:val="auto"/>
          <w:spacing w:val="0"/>
          <w:w w:val="100"/>
          <w:position w:val="0"/>
          <w:sz w:val="30"/>
          <w:szCs w:val="30"/>
          <w:u w:val="none"/>
          <w:shd w:val="clear" w:color="auto" w:fill="auto"/>
          <w:lang w:val="en-US" w:eastAsia="zh-CN" w:bidi="zh-TW"/>
        </w:rPr>
        <w:t>项目编号：</w:t>
      </w:r>
      <w:r>
        <w:rPr>
          <w:rFonts w:hint="eastAsia" w:asciiTheme="majorEastAsia" w:hAnsiTheme="majorEastAsia" w:eastAsiaTheme="majorEastAsia" w:cstheme="majorEastAsia"/>
          <w:color w:val="auto"/>
          <w:spacing w:val="0"/>
          <w:w w:val="100"/>
          <w:position w:val="0"/>
          <w:sz w:val="30"/>
          <w:szCs w:val="30"/>
          <w:u w:val="none"/>
          <w:shd w:val="clear" w:color="auto" w:fill="auto"/>
          <w:lang w:val="en-US" w:eastAsia="en-US" w:bidi="en-US"/>
        </w:rPr>
        <w:t>）</w:t>
      </w:r>
    </w:p>
    <w:p w14:paraId="448F902E">
      <w:pPr>
        <w:keepNext w:val="0"/>
        <w:keepLines w:val="0"/>
        <w:widowControl w:val="0"/>
        <w:shd w:val="clear" w:color="auto" w:fill="auto"/>
        <w:bidi w:val="0"/>
        <w:spacing w:before="0" w:after="0" w:line="499" w:lineRule="exact"/>
        <w:ind w:left="0" w:right="0" w:firstLine="0"/>
        <w:jc w:val="both"/>
        <w:rPr>
          <w:rFonts w:hint="eastAsia" w:asciiTheme="majorEastAsia" w:hAnsiTheme="majorEastAsia" w:eastAsiaTheme="majorEastAsia" w:cstheme="majorEastAsia"/>
          <w:color w:val="auto"/>
          <w:spacing w:val="0"/>
          <w:w w:val="100"/>
          <w:position w:val="0"/>
          <w:sz w:val="30"/>
          <w:szCs w:val="30"/>
          <w:u w:val="none"/>
          <w:shd w:val="clear" w:color="auto" w:fill="auto"/>
          <w:lang w:val="zh-TW" w:eastAsia="zh-TW" w:bidi="zh-TW"/>
        </w:rPr>
      </w:pPr>
    </w:p>
    <w:p w14:paraId="334102D5">
      <w:pPr>
        <w:keepNext w:val="0"/>
        <w:keepLines w:val="0"/>
        <w:widowControl w:val="0"/>
        <w:shd w:val="clear" w:color="auto" w:fill="auto"/>
        <w:bidi w:val="0"/>
        <w:spacing w:before="0" w:after="0" w:line="499" w:lineRule="exact"/>
        <w:ind w:left="0" w:leftChars="0" w:right="0" w:firstLine="0" w:firstLineChars="0"/>
        <w:jc w:val="both"/>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pPr>
    </w:p>
    <w:p w14:paraId="378A22EA">
      <w:pPr>
        <w:keepNext w:val="0"/>
        <w:keepLines w:val="0"/>
        <w:widowControl w:val="0"/>
        <w:shd w:val="clear" w:color="auto" w:fill="auto"/>
        <w:bidi w:val="0"/>
        <w:spacing w:before="0" w:after="0" w:line="499" w:lineRule="exact"/>
        <w:ind w:left="0" w:right="0" w:firstLine="0"/>
        <w:jc w:val="both"/>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pPr>
    </w:p>
    <w:p w14:paraId="388BC8A0">
      <w:pPr>
        <w:keepNext w:val="0"/>
        <w:keepLines w:val="0"/>
        <w:widowControl w:val="0"/>
        <w:shd w:val="clear" w:color="auto" w:fill="auto"/>
        <w:bidi w:val="0"/>
        <w:spacing w:before="0" w:after="0" w:line="480" w:lineRule="auto"/>
        <w:ind w:left="3294" w:leftChars="700" w:right="0" w:hanging="1614" w:hangingChars="538"/>
        <w:jc w:val="both"/>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en-US"/>
        </w:rPr>
      </w:pP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甲方：西安市公安局公交轨道公安局</w:t>
      </w:r>
    </w:p>
    <w:p w14:paraId="76DE4B02">
      <w:pPr>
        <w:keepNext w:val="0"/>
        <w:keepLines w:val="0"/>
        <w:widowControl w:val="0"/>
        <w:shd w:val="clear" w:color="auto" w:fill="auto"/>
        <w:bidi w:val="0"/>
        <w:spacing w:before="0" w:after="0" w:line="480" w:lineRule="auto"/>
        <w:ind w:left="3294" w:leftChars="700" w:right="0" w:hanging="1614" w:hangingChars="538"/>
        <w:jc w:val="both"/>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en-US"/>
        </w:rPr>
      </w:pP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乙方:</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zh-TW"/>
        </w:rPr>
        <w:t xml:space="preserve">                                 </w:t>
      </w:r>
    </w:p>
    <w:p w14:paraId="4CEAAFF8">
      <w:pPr>
        <w:keepNext w:val="0"/>
        <w:keepLines w:val="0"/>
        <w:widowControl w:val="0"/>
        <w:shd w:val="clear" w:color="auto" w:fill="auto"/>
        <w:bidi w:val="0"/>
        <w:spacing w:before="0" w:after="660" w:line="499" w:lineRule="exact"/>
        <w:ind w:left="3294" w:leftChars="700" w:right="0" w:hanging="1614" w:hangingChars="538"/>
        <w:jc w:val="left"/>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en-US" w:bidi="en-US"/>
        </w:rPr>
      </w:pPr>
    </w:p>
    <w:p w14:paraId="60C0A28E">
      <w:pPr>
        <w:keepNext w:val="0"/>
        <w:keepLines w:val="0"/>
        <w:widowControl w:val="0"/>
        <w:shd w:val="clear" w:color="auto" w:fill="auto"/>
        <w:bidi w:val="0"/>
        <w:spacing w:before="0" w:after="0" w:line="348" w:lineRule="auto"/>
        <w:ind w:left="0" w:right="0" w:firstLine="0"/>
        <w:jc w:val="cente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en-US" w:bidi="en-US"/>
        </w:rPr>
      </w:pP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en-US" w:bidi="en-US"/>
        </w:rPr>
        <w:t>202</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en-US"/>
        </w:rPr>
        <w:t>6</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年</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月</w:t>
      </w:r>
    </w:p>
    <w:p w14:paraId="607BC22B">
      <w:pPr>
        <w:keepNext w:val="0"/>
        <w:keepLines w:val="0"/>
        <w:widowControl w:val="0"/>
        <w:shd w:val="clear" w:color="auto" w:fill="auto"/>
        <w:bidi w:val="0"/>
        <w:spacing w:before="0" w:after="0" w:line="499" w:lineRule="exact"/>
        <w:ind w:left="0" w:right="0" w:firstLine="0"/>
        <w:jc w:val="cente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中国</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西安</w:t>
      </w:r>
    </w:p>
    <w:p w14:paraId="5688596E">
      <w:pPr>
        <w:pStyle w:val="2"/>
        <w:spacing w:before="230" w:after="230"/>
      </w:pPr>
      <w:r>
        <w:br w:type="page"/>
      </w:r>
    </w:p>
    <w:p w14:paraId="0DA205A8">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left"/>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甲方</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CN" w:bidi="zh-TW"/>
        </w:rPr>
        <w:t>采</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购人名称全称）</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en-US" w:bidi="zh-TW"/>
        </w:rPr>
        <w:t>西安市公安局公交轨道公安局</w:t>
      </w:r>
    </w:p>
    <w:p w14:paraId="2715C358">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left"/>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乙方</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（供应商名称全称）</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w:t>
      </w:r>
    </w:p>
    <w:p w14:paraId="1C5A56F8">
      <w:pPr>
        <w:keepNext w:val="0"/>
        <w:keepLines w:val="0"/>
        <w:pageBreakBefore w:val="0"/>
        <w:widowControl w:val="0"/>
        <w:shd w:val="clear" w:color="auto" w:fill="auto"/>
        <w:kinsoku/>
        <w:wordWrap w:val="0"/>
        <w:overflowPunct/>
        <w:topLinePunct w:val="0"/>
        <w:autoSpaceDE/>
        <w:autoSpaceDN/>
        <w:bidi w:val="0"/>
        <w:adjustRightInd/>
        <w:snapToGrid/>
        <w:spacing w:before="0" w:after="0" w:line="360" w:lineRule="auto"/>
        <w:ind w:left="0" w:right="0" w:firstLine="420" w:firstLineChars="200"/>
        <w:jc w:val="left"/>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陕西慧科工程管理咨询有限公司</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就甲方所需货物，在西安市财政局的监督管理下，按照政府</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采</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购程序组织竞争性谈判，确定乙方为</w:t>
      </w:r>
      <w:r>
        <w:rPr>
          <w:rFonts w:hint="eastAsia" w:asciiTheme="majorEastAsia" w:hAnsiTheme="majorEastAsia" w:eastAsiaTheme="majorEastAsia" w:cstheme="majorEastAsia"/>
          <w:color w:val="auto"/>
          <w:spacing w:val="0"/>
          <w:w w:val="100"/>
          <w:position w:val="0"/>
          <w:sz w:val="21"/>
          <w:szCs w:val="21"/>
          <w:highlight w:val="none"/>
          <w:u w:val="single"/>
          <w:shd w:val="clear" w:color="auto" w:fill="auto"/>
          <w:lang w:val="zh-TW" w:eastAsia="zh-CN" w:bidi="zh-TW"/>
        </w:rPr>
        <w:t>2026年度警犬犬粮、犬罐头、训练用品采购项目(二次)</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（项目编号：</w:t>
      </w:r>
      <w:r>
        <w:rPr>
          <w:rFonts w:hint="eastAsia" w:asciiTheme="majorEastAsia" w:hAnsiTheme="majorEastAsia" w:eastAsiaTheme="majorEastAsia" w:cstheme="majorEastAsia"/>
          <w:color w:val="auto"/>
          <w:spacing w:val="0"/>
          <w:w w:val="100"/>
          <w:position w:val="0"/>
          <w:sz w:val="21"/>
          <w:szCs w:val="21"/>
          <w:highlight w:val="none"/>
          <w:u w:val="single"/>
          <w:shd w:val="clear" w:color="auto" w:fill="auto"/>
          <w:lang w:val="en-US" w:eastAsia="zh-CN" w:bidi="zh-TW"/>
        </w:rPr>
        <w:t>慧科ZX-CG01115BF.1B1</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en-US" w:bidi="en-US"/>
        </w:rPr>
        <w:t>）</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成交供应商。</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依</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据《中华人民共和国政府采购法》、《中华人民共和国民法典》以及竞争性谈判文件、成交通知书，经甲、乙双方协商，达成如下合同条款。</w:t>
      </w:r>
    </w:p>
    <w:p w14:paraId="4E26C04E">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100" w:line="360" w:lineRule="auto"/>
        <w:ind w:left="0" w:leftChars="0" w:right="0" w:rightChars="0" w:firstLine="422" w:firstLineChars="200"/>
        <w:jc w:val="left"/>
        <w:textAlignment w:val="auto"/>
        <w:rPr>
          <w:rFonts w:hint="eastAsia"/>
          <w:sz w:val="21"/>
          <w:szCs w:val="21"/>
          <w:lang w:val="zh-TW" w:eastAsia="zh-TW"/>
        </w:rPr>
      </w:pPr>
      <w:r>
        <w:rPr>
          <w:rFonts w:hint="eastAsia" w:asciiTheme="majorEastAsia" w:hAnsiTheme="majorEastAsia" w:eastAsiaTheme="majorEastAsia" w:cstheme="majorEastAsia"/>
          <w:b/>
          <w:bCs/>
          <w:color w:val="auto"/>
          <w:spacing w:val="0"/>
          <w:w w:val="100"/>
          <w:kern w:val="2"/>
          <w:position w:val="0"/>
          <w:sz w:val="21"/>
          <w:szCs w:val="21"/>
          <w:shd w:val="clear" w:fill="auto"/>
          <w:lang w:val="zh-TW" w:eastAsia="zh-TW" w:bidi="zh-TW"/>
        </w:rPr>
        <w:t>一、</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合同标的物内容（以响应文件正本和澄清表〈函〉为准）</w:t>
      </w:r>
    </w:p>
    <w:tbl>
      <w:tblPr>
        <w:tblStyle w:val="6"/>
        <w:tblW w:w="4998" w:type="pct"/>
        <w:jc w:val="center"/>
        <w:tblLayout w:type="autofit"/>
        <w:tblCellMar>
          <w:top w:w="0" w:type="dxa"/>
          <w:left w:w="10" w:type="dxa"/>
          <w:bottom w:w="0" w:type="dxa"/>
          <w:right w:w="10" w:type="dxa"/>
        </w:tblCellMar>
      </w:tblPr>
      <w:tblGrid>
        <w:gridCol w:w="513"/>
        <w:gridCol w:w="1112"/>
        <w:gridCol w:w="1112"/>
        <w:gridCol w:w="1112"/>
        <w:gridCol w:w="1112"/>
        <w:gridCol w:w="1112"/>
        <w:gridCol w:w="1112"/>
        <w:gridCol w:w="1138"/>
      </w:tblGrid>
      <w:tr w14:paraId="5B18AFC7">
        <w:tblPrEx>
          <w:tblCellMar>
            <w:top w:w="0" w:type="dxa"/>
            <w:left w:w="10" w:type="dxa"/>
            <w:bottom w:w="0" w:type="dxa"/>
            <w:right w:w="10" w:type="dxa"/>
          </w:tblCellMar>
        </w:tblPrEx>
        <w:trPr>
          <w:trHeight w:val="968" w:hRule="exact"/>
          <w:jc w:val="center"/>
        </w:trPr>
        <w:tc>
          <w:tcPr>
            <w:tcW w:w="308" w:type="pct"/>
            <w:tcBorders>
              <w:top w:val="single" w:color="auto" w:sz="4" w:space="0"/>
              <w:left w:val="single" w:color="auto" w:sz="4" w:space="0"/>
            </w:tcBorders>
            <w:shd w:val="clear" w:color="auto" w:fill="FFFFFF"/>
            <w:vAlign w:val="center"/>
          </w:tcPr>
          <w:p w14:paraId="01CBB59A">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序号</w:t>
            </w:r>
          </w:p>
        </w:tc>
        <w:tc>
          <w:tcPr>
            <w:tcW w:w="668" w:type="pct"/>
            <w:tcBorders>
              <w:top w:val="single" w:color="auto" w:sz="4" w:space="0"/>
              <w:left w:val="single" w:color="auto" w:sz="4" w:space="0"/>
            </w:tcBorders>
            <w:shd w:val="clear" w:color="auto" w:fill="FFFFFF"/>
            <w:vAlign w:val="center"/>
          </w:tcPr>
          <w:p w14:paraId="1DC74802">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货物名称</w:t>
            </w:r>
          </w:p>
        </w:tc>
        <w:tc>
          <w:tcPr>
            <w:tcW w:w="668" w:type="pct"/>
            <w:tcBorders>
              <w:top w:val="single" w:color="auto" w:sz="4" w:space="0"/>
              <w:left w:val="single" w:color="auto" w:sz="4" w:space="0"/>
            </w:tcBorders>
            <w:shd w:val="clear" w:color="auto" w:fill="FFFFFF"/>
            <w:vAlign w:val="center"/>
          </w:tcPr>
          <w:p w14:paraId="51B6523A">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color w:val="000000"/>
                <w:spacing w:val="0"/>
                <w:w w:val="100"/>
                <w:position w:val="0"/>
                <w:sz w:val="21"/>
                <w:szCs w:val="21"/>
                <w:highlight w:val="none"/>
                <w:u w:val="none"/>
                <w:shd w:val="clear" w:color="auto" w:fill="auto"/>
                <w:lang w:val="en-US" w:eastAsia="zh-CN" w:bidi="zh-TW"/>
              </w:rPr>
              <w:t>制造商名称</w:t>
            </w:r>
          </w:p>
        </w:tc>
        <w:tc>
          <w:tcPr>
            <w:tcW w:w="668" w:type="pct"/>
            <w:tcBorders>
              <w:top w:val="single" w:color="auto" w:sz="4" w:space="0"/>
              <w:left w:val="single" w:color="auto" w:sz="4" w:space="0"/>
            </w:tcBorders>
            <w:shd w:val="clear" w:color="auto" w:fill="FFFFFF"/>
            <w:vAlign w:val="center"/>
          </w:tcPr>
          <w:p w14:paraId="49B49396">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color w:val="000000"/>
                <w:spacing w:val="0"/>
                <w:w w:val="100"/>
                <w:position w:val="0"/>
                <w:sz w:val="21"/>
                <w:szCs w:val="21"/>
                <w:highlight w:val="none"/>
                <w:u w:val="none"/>
                <w:shd w:val="clear" w:color="auto" w:fill="auto"/>
                <w:lang w:val="en-US" w:eastAsia="zh-CN" w:bidi="zh-TW"/>
              </w:rPr>
              <w:t>品牌</w:t>
            </w:r>
          </w:p>
        </w:tc>
        <w:tc>
          <w:tcPr>
            <w:tcW w:w="668" w:type="pct"/>
            <w:tcBorders>
              <w:top w:val="single" w:color="auto" w:sz="4" w:space="0"/>
              <w:left w:val="single" w:color="auto" w:sz="4" w:space="0"/>
            </w:tcBorders>
            <w:shd w:val="clear" w:color="auto" w:fill="FFFFFF"/>
            <w:vAlign w:val="center"/>
          </w:tcPr>
          <w:p w14:paraId="1713C093">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规格型号</w:t>
            </w:r>
          </w:p>
        </w:tc>
        <w:tc>
          <w:tcPr>
            <w:tcW w:w="668" w:type="pct"/>
            <w:tcBorders>
              <w:top w:val="single" w:color="auto" w:sz="4" w:space="0"/>
              <w:left w:val="single" w:color="auto" w:sz="4" w:space="0"/>
            </w:tcBorders>
            <w:shd w:val="clear" w:color="auto" w:fill="FFFFFF"/>
            <w:vAlign w:val="center"/>
          </w:tcPr>
          <w:p w14:paraId="1FA6AAAE">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单价</w:t>
            </w:r>
          </w:p>
          <w:p w14:paraId="13FA18DA">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（元）</w:t>
            </w:r>
          </w:p>
        </w:tc>
        <w:tc>
          <w:tcPr>
            <w:tcW w:w="668" w:type="pct"/>
            <w:tcBorders>
              <w:top w:val="single" w:color="auto" w:sz="4" w:space="0"/>
              <w:left w:val="single" w:color="auto" w:sz="4" w:space="0"/>
            </w:tcBorders>
            <w:shd w:val="clear" w:color="auto" w:fill="FFFFFF"/>
            <w:vAlign w:val="center"/>
          </w:tcPr>
          <w:p w14:paraId="62DCCD66">
            <w:pPr>
              <w:keepNext w:val="0"/>
              <w:keepLines w:val="0"/>
              <w:pageBreakBefore w:val="0"/>
              <w:widowControl w:val="0"/>
              <w:shd w:val="clear" w:color="auto" w:fill="auto"/>
              <w:kinsoku/>
              <w:wordWrap/>
              <w:overflowPunct/>
              <w:topLinePunct w:val="0"/>
              <w:autoSpaceDE/>
              <w:autoSpaceDN/>
              <w:bidi w:val="0"/>
              <w:adjustRightInd/>
              <w:snapToGrid/>
              <w:spacing w:before="14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数量</w:t>
            </w:r>
          </w:p>
        </w:tc>
        <w:tc>
          <w:tcPr>
            <w:tcW w:w="683" w:type="pct"/>
            <w:tcBorders>
              <w:top w:val="single" w:color="auto" w:sz="4" w:space="0"/>
              <w:left w:val="single" w:color="auto" w:sz="4" w:space="0"/>
              <w:right w:val="single" w:color="auto" w:sz="4" w:space="0"/>
            </w:tcBorders>
            <w:shd w:val="clear" w:color="auto" w:fill="FFFFFF"/>
            <w:vAlign w:val="center"/>
          </w:tcPr>
          <w:p w14:paraId="58D4FD3B">
            <w:pPr>
              <w:keepNext w:val="0"/>
              <w:keepLines w:val="0"/>
              <w:pageBreakBefore w:val="0"/>
              <w:widowControl w:val="0"/>
              <w:shd w:val="clear" w:color="auto" w:fill="auto"/>
              <w:kinsoku/>
              <w:wordWrap/>
              <w:overflowPunct/>
              <w:topLinePunct w:val="0"/>
              <w:autoSpaceDE/>
              <w:autoSpaceDN/>
              <w:bidi w:val="0"/>
              <w:adjustRightInd/>
              <w:snapToGrid/>
              <w:spacing w:before="140" w:after="0" w:line="240" w:lineRule="auto"/>
              <w:ind w:left="0" w:right="32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总价（元）</w:t>
            </w:r>
          </w:p>
        </w:tc>
      </w:tr>
      <w:tr w14:paraId="564F9B63">
        <w:tblPrEx>
          <w:tblCellMar>
            <w:top w:w="0" w:type="dxa"/>
            <w:left w:w="10" w:type="dxa"/>
            <w:bottom w:w="0" w:type="dxa"/>
            <w:right w:w="10" w:type="dxa"/>
          </w:tblCellMar>
        </w:tblPrEx>
        <w:trPr>
          <w:trHeight w:val="499" w:hRule="exact"/>
          <w:jc w:val="center"/>
        </w:trPr>
        <w:tc>
          <w:tcPr>
            <w:tcW w:w="308" w:type="pct"/>
            <w:tcBorders>
              <w:top w:val="single" w:color="auto" w:sz="4" w:space="0"/>
              <w:left w:val="single" w:color="auto" w:sz="4" w:space="0"/>
            </w:tcBorders>
            <w:shd w:val="clear" w:color="auto" w:fill="FFFFFF"/>
            <w:vAlign w:val="center"/>
          </w:tcPr>
          <w:p w14:paraId="6C43EF3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1</w:t>
            </w:r>
          </w:p>
        </w:tc>
        <w:tc>
          <w:tcPr>
            <w:tcW w:w="668" w:type="pct"/>
            <w:tcBorders>
              <w:top w:val="single" w:color="auto" w:sz="4" w:space="0"/>
              <w:left w:val="single" w:color="auto" w:sz="4" w:space="0"/>
            </w:tcBorders>
            <w:shd w:val="clear" w:color="auto" w:fill="FFFFFF"/>
            <w:vAlign w:val="center"/>
          </w:tcPr>
          <w:p w14:paraId="2C737BA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34B6F7FD">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56D1897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0915541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56DCBEF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3F2E266A">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37A2B62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4114957C">
        <w:tblPrEx>
          <w:tblCellMar>
            <w:top w:w="0" w:type="dxa"/>
            <w:left w:w="10" w:type="dxa"/>
            <w:bottom w:w="0" w:type="dxa"/>
            <w:right w:w="10" w:type="dxa"/>
          </w:tblCellMar>
        </w:tblPrEx>
        <w:trPr>
          <w:trHeight w:val="509" w:hRule="exact"/>
          <w:jc w:val="center"/>
        </w:trPr>
        <w:tc>
          <w:tcPr>
            <w:tcW w:w="308" w:type="pct"/>
            <w:tcBorders>
              <w:top w:val="single" w:color="auto" w:sz="4" w:space="0"/>
              <w:left w:val="single" w:color="auto" w:sz="4" w:space="0"/>
            </w:tcBorders>
            <w:shd w:val="clear" w:color="auto" w:fill="FFFFFF"/>
            <w:vAlign w:val="center"/>
          </w:tcPr>
          <w:p w14:paraId="2E84B24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2</w:t>
            </w:r>
          </w:p>
        </w:tc>
        <w:tc>
          <w:tcPr>
            <w:tcW w:w="668" w:type="pct"/>
            <w:tcBorders>
              <w:top w:val="single" w:color="auto" w:sz="4" w:space="0"/>
              <w:left w:val="single" w:color="auto" w:sz="4" w:space="0"/>
            </w:tcBorders>
            <w:shd w:val="clear" w:color="auto" w:fill="FFFFFF"/>
            <w:vAlign w:val="center"/>
          </w:tcPr>
          <w:p w14:paraId="21579D1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288CAED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2745CD03">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62DB87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35CF21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E80F72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7AD6F57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68335DCB">
        <w:tblPrEx>
          <w:tblCellMar>
            <w:top w:w="0" w:type="dxa"/>
            <w:left w:w="10" w:type="dxa"/>
            <w:bottom w:w="0" w:type="dxa"/>
            <w:right w:w="10" w:type="dxa"/>
          </w:tblCellMar>
        </w:tblPrEx>
        <w:trPr>
          <w:trHeight w:val="518" w:hRule="exact"/>
          <w:jc w:val="center"/>
        </w:trPr>
        <w:tc>
          <w:tcPr>
            <w:tcW w:w="308" w:type="pct"/>
            <w:tcBorders>
              <w:top w:val="single" w:color="auto" w:sz="4" w:space="0"/>
              <w:left w:val="single" w:color="auto" w:sz="4" w:space="0"/>
            </w:tcBorders>
            <w:shd w:val="clear" w:color="auto" w:fill="FFFFFF"/>
            <w:vAlign w:val="center"/>
          </w:tcPr>
          <w:p w14:paraId="00AF830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3</w:t>
            </w:r>
          </w:p>
        </w:tc>
        <w:tc>
          <w:tcPr>
            <w:tcW w:w="668" w:type="pct"/>
            <w:tcBorders>
              <w:top w:val="single" w:color="auto" w:sz="4" w:space="0"/>
              <w:left w:val="single" w:color="auto" w:sz="4" w:space="0"/>
            </w:tcBorders>
            <w:shd w:val="clear" w:color="auto" w:fill="FFFFFF"/>
            <w:vAlign w:val="center"/>
          </w:tcPr>
          <w:p w14:paraId="7FD6FAC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7D311AB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561D912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7CBB66A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7E507814">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513A91F">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20706C5F">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237178AA">
        <w:tblPrEx>
          <w:tblCellMar>
            <w:top w:w="0" w:type="dxa"/>
            <w:left w:w="10" w:type="dxa"/>
            <w:bottom w:w="0" w:type="dxa"/>
            <w:right w:w="10" w:type="dxa"/>
          </w:tblCellMar>
        </w:tblPrEx>
        <w:trPr>
          <w:trHeight w:val="509" w:hRule="exact"/>
          <w:jc w:val="center"/>
        </w:trPr>
        <w:tc>
          <w:tcPr>
            <w:tcW w:w="308" w:type="pct"/>
            <w:tcBorders>
              <w:top w:val="single" w:color="auto" w:sz="4" w:space="0"/>
              <w:left w:val="single" w:color="auto" w:sz="4" w:space="0"/>
            </w:tcBorders>
            <w:shd w:val="clear" w:color="auto" w:fill="FFFFFF"/>
            <w:vAlign w:val="center"/>
          </w:tcPr>
          <w:p w14:paraId="31B88A5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4</w:t>
            </w:r>
          </w:p>
        </w:tc>
        <w:tc>
          <w:tcPr>
            <w:tcW w:w="668" w:type="pct"/>
            <w:tcBorders>
              <w:top w:val="single" w:color="auto" w:sz="4" w:space="0"/>
              <w:left w:val="single" w:color="auto" w:sz="4" w:space="0"/>
            </w:tcBorders>
            <w:shd w:val="clear" w:color="auto" w:fill="FFFFFF"/>
            <w:vAlign w:val="center"/>
          </w:tcPr>
          <w:p w14:paraId="4E9F160D">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4838CF0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5E16C883">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0D8A9F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4EC2411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08AA070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5368BACD">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635096E2">
        <w:tblPrEx>
          <w:tblCellMar>
            <w:top w:w="0" w:type="dxa"/>
            <w:left w:w="10" w:type="dxa"/>
            <w:bottom w:w="0" w:type="dxa"/>
            <w:right w:w="10" w:type="dxa"/>
          </w:tblCellMar>
        </w:tblPrEx>
        <w:trPr>
          <w:trHeight w:val="499" w:hRule="exact"/>
          <w:jc w:val="center"/>
        </w:trPr>
        <w:tc>
          <w:tcPr>
            <w:tcW w:w="308" w:type="pct"/>
            <w:tcBorders>
              <w:top w:val="single" w:color="auto" w:sz="4" w:space="0"/>
              <w:left w:val="single" w:color="auto" w:sz="4" w:space="0"/>
            </w:tcBorders>
            <w:shd w:val="clear" w:color="auto" w:fill="FFFFFF"/>
            <w:vAlign w:val="center"/>
          </w:tcPr>
          <w:p w14:paraId="4B17FFEF">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5</w:t>
            </w:r>
          </w:p>
        </w:tc>
        <w:tc>
          <w:tcPr>
            <w:tcW w:w="668" w:type="pct"/>
            <w:tcBorders>
              <w:top w:val="single" w:color="auto" w:sz="4" w:space="0"/>
              <w:left w:val="single" w:color="auto" w:sz="4" w:space="0"/>
            </w:tcBorders>
            <w:shd w:val="clear" w:color="auto" w:fill="FFFFFF"/>
            <w:vAlign w:val="center"/>
          </w:tcPr>
          <w:p w14:paraId="46297D8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110D4AB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2D0CA84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2B77876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444D57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3292471C">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4283A0C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149BE9C0">
        <w:tblPrEx>
          <w:tblCellMar>
            <w:top w:w="0" w:type="dxa"/>
            <w:left w:w="10" w:type="dxa"/>
            <w:bottom w:w="0" w:type="dxa"/>
            <w:right w:w="10" w:type="dxa"/>
          </w:tblCellMar>
        </w:tblPrEx>
        <w:trPr>
          <w:trHeight w:val="499" w:hRule="exact"/>
          <w:jc w:val="center"/>
        </w:trPr>
        <w:tc>
          <w:tcPr>
            <w:tcW w:w="308" w:type="pct"/>
            <w:tcBorders>
              <w:top w:val="single" w:color="auto" w:sz="4" w:space="0"/>
              <w:left w:val="single" w:color="auto" w:sz="4" w:space="0"/>
            </w:tcBorders>
            <w:shd w:val="clear" w:color="auto" w:fill="FFFFFF"/>
            <w:vAlign w:val="center"/>
          </w:tcPr>
          <w:p w14:paraId="18E3A0DC">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w:t>
            </w:r>
          </w:p>
        </w:tc>
        <w:tc>
          <w:tcPr>
            <w:tcW w:w="668" w:type="pct"/>
            <w:tcBorders>
              <w:top w:val="single" w:color="auto" w:sz="4" w:space="0"/>
              <w:left w:val="single" w:color="auto" w:sz="4" w:space="0"/>
            </w:tcBorders>
            <w:shd w:val="clear" w:color="auto" w:fill="FFFFFF"/>
            <w:vAlign w:val="center"/>
          </w:tcPr>
          <w:p w14:paraId="34CEF9A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5DC6427C">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44415AE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71D0C50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46CBAE7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1B8E335E">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670D9D3A">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4CF82A3E">
        <w:tblPrEx>
          <w:tblCellMar>
            <w:top w:w="0" w:type="dxa"/>
            <w:left w:w="10" w:type="dxa"/>
            <w:bottom w:w="0" w:type="dxa"/>
            <w:right w:w="10" w:type="dxa"/>
          </w:tblCellMar>
        </w:tblPrEx>
        <w:trPr>
          <w:trHeight w:val="509" w:hRule="exact"/>
          <w:jc w:val="center"/>
        </w:trPr>
        <w:tc>
          <w:tcPr>
            <w:tcW w:w="308" w:type="pct"/>
            <w:tcBorders>
              <w:top w:val="single" w:color="auto" w:sz="4" w:space="0"/>
              <w:left w:val="single" w:color="auto" w:sz="4" w:space="0"/>
            </w:tcBorders>
            <w:shd w:val="clear" w:color="auto" w:fill="FFFFFF"/>
            <w:vAlign w:val="center"/>
          </w:tcPr>
          <w:p w14:paraId="74B37EA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p>
        </w:tc>
        <w:tc>
          <w:tcPr>
            <w:tcW w:w="668" w:type="pct"/>
            <w:tcBorders>
              <w:top w:val="single" w:color="auto" w:sz="4" w:space="0"/>
              <w:left w:val="single" w:color="auto" w:sz="4" w:space="0"/>
            </w:tcBorders>
            <w:shd w:val="clear" w:color="auto" w:fill="FFFFFF"/>
            <w:vAlign w:val="center"/>
          </w:tcPr>
          <w:p w14:paraId="264CB93E">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73532B6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422E7BB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151334C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17C166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2958B3F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6FEB40A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01156FAA">
        <w:tblPrEx>
          <w:tblCellMar>
            <w:top w:w="0" w:type="dxa"/>
            <w:left w:w="10" w:type="dxa"/>
            <w:bottom w:w="0" w:type="dxa"/>
            <w:right w:w="10" w:type="dxa"/>
          </w:tblCellMar>
        </w:tblPrEx>
        <w:trPr>
          <w:trHeight w:val="509" w:hRule="exact"/>
          <w:jc w:val="center"/>
        </w:trPr>
        <w:tc>
          <w:tcPr>
            <w:tcW w:w="1644" w:type="pct"/>
            <w:gridSpan w:val="3"/>
            <w:tcBorders>
              <w:top w:val="single" w:color="auto" w:sz="4" w:space="0"/>
              <w:left w:val="single" w:color="auto" w:sz="4" w:space="0"/>
              <w:right w:val="single" w:color="auto" w:sz="4" w:space="0"/>
            </w:tcBorders>
            <w:shd w:val="clear" w:color="auto" w:fill="FFFFFF"/>
            <w:vAlign w:val="center"/>
          </w:tcPr>
          <w:p w14:paraId="57BC28E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合计</w:t>
            </w:r>
          </w:p>
        </w:tc>
        <w:tc>
          <w:tcPr>
            <w:tcW w:w="3355" w:type="pct"/>
            <w:gridSpan w:val="5"/>
            <w:tcBorders>
              <w:top w:val="single" w:color="auto" w:sz="4" w:space="0"/>
              <w:left w:val="single" w:color="auto" w:sz="4" w:space="0"/>
              <w:right w:val="single" w:color="auto" w:sz="4" w:space="0"/>
            </w:tcBorders>
            <w:shd w:val="clear" w:color="auto" w:fill="FFFFFF"/>
            <w:vAlign w:val="center"/>
          </w:tcPr>
          <w:p w14:paraId="5706B62E">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6FBB8AC5">
        <w:tblPrEx>
          <w:tblCellMar>
            <w:top w:w="0" w:type="dxa"/>
            <w:left w:w="10" w:type="dxa"/>
            <w:bottom w:w="0" w:type="dxa"/>
            <w:right w:w="10" w:type="dxa"/>
          </w:tblCellMar>
        </w:tblPrEx>
        <w:trPr>
          <w:trHeight w:val="518" w:hRule="exact"/>
          <w:jc w:val="center"/>
        </w:trPr>
        <w:tc>
          <w:tcPr>
            <w:tcW w:w="1644" w:type="pct"/>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1E242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备注</w:t>
            </w:r>
          </w:p>
        </w:tc>
        <w:tc>
          <w:tcPr>
            <w:tcW w:w="3355"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83102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bl>
    <w:p w14:paraId="7EE7D3DA">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right="0"/>
        <w:jc w:val="left"/>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（技术</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en-US" w:eastAsia="zh-CN" w:bidi="zh-TW"/>
        </w:rPr>
        <w:t>参数可附附件</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或详见响应文件，需说明清楚，表格可根据实际情况调整）</w:t>
      </w:r>
    </w:p>
    <w:p w14:paraId="1E64C5C1">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22" w:firstLineChars="200"/>
        <w:jc w:val="left"/>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CN" w:bidi="zh-TW"/>
        </w:rPr>
      </w:pPr>
      <w:bookmarkStart w:id="4" w:name="bookmark7"/>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二</w:t>
      </w:r>
      <w:bookmarkEnd w:id="4"/>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en-US" w:eastAsia="zh-CN" w:bidi="zh-TW"/>
        </w:rPr>
        <w:t>供货条件：</w:t>
      </w:r>
    </w:p>
    <w:p w14:paraId="4FCDC2BD">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490" w:lineRule="exact"/>
        <w:ind w:right="0" w:firstLine="420" w:firstLineChars="200"/>
        <w:jc w:val="both"/>
        <w:textAlignment w:val="auto"/>
        <w:rPr>
          <w:rFonts w:hint="default"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pPr>
      <w:bookmarkStart w:id="5" w:name="bookmark8"/>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w:t>
      </w:r>
      <w:bookmarkEnd w:id="5"/>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一）</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交货期限</w:t>
      </w:r>
    </w:p>
    <w:p w14:paraId="3C220F50">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490" w:lineRule="exact"/>
        <w:ind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供货期：犬粮、牛肉罐头供货期一年（按季度供货）；警犬训练用品供货期：自合同签订之日起</w:t>
      </w:r>
      <w:r>
        <w:rPr>
          <w:rFonts w:hint="eastAsia" w:asciiTheme="majorEastAsia" w:hAnsiTheme="majorEastAsia" w:eastAsiaTheme="majorEastAsia" w:cstheme="majorEastAsia"/>
          <w:color w:val="auto"/>
          <w:spacing w:val="0"/>
          <w:w w:val="100"/>
          <w:position w:val="0"/>
          <w:sz w:val="21"/>
          <w:szCs w:val="21"/>
          <w:highlight w:val="none"/>
          <w:u w:val="singl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个工作日内交货</w:t>
      </w:r>
    </w:p>
    <w:p w14:paraId="47DACFC1">
      <w:pPr>
        <w:keepNext w:val="0"/>
        <w:keepLines w:val="0"/>
        <w:pageBreakBefore w:val="0"/>
        <w:widowControl w:val="0"/>
        <w:numPr>
          <w:ilvl w:val="0"/>
          <w:numId w:val="2"/>
        </w:numPr>
        <w:shd w:val="clear" w:color="auto" w:fill="auto"/>
        <w:tabs>
          <w:tab w:val="left" w:pos="1390"/>
        </w:tabs>
        <w:kinsoku/>
        <w:wordWrap/>
        <w:overflowPunct/>
        <w:topLinePunct w:val="0"/>
        <w:autoSpaceDE/>
        <w:autoSpaceDN/>
        <w:bidi w:val="0"/>
        <w:adjustRightInd/>
        <w:snapToGrid/>
        <w:spacing w:before="0" w:after="0" w:line="403" w:lineRule="exact"/>
        <w:ind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交货地点：</w:t>
      </w:r>
      <w:r>
        <w:rPr>
          <w:rFonts w:hint="eastAsia" w:asciiTheme="majorEastAsia" w:hAnsiTheme="majorEastAsia" w:eastAsiaTheme="majorEastAsia" w:cstheme="majorEastAsia"/>
          <w:color w:val="auto"/>
          <w:spacing w:val="0"/>
          <w:w w:val="100"/>
          <w:position w:val="0"/>
          <w:sz w:val="21"/>
          <w:szCs w:val="21"/>
          <w:highlight w:val="none"/>
          <w:u w:val="single"/>
          <w:shd w:val="clear" w:color="auto" w:fill="auto"/>
          <w:lang w:val="en-US" w:eastAsia="zh-CN" w:bidi="zh-TW"/>
        </w:rPr>
        <w:t>甲方指定地点</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w:t>
      </w:r>
      <w:bookmarkStart w:id="6" w:name="bookmark10"/>
    </w:p>
    <w:p w14:paraId="0E41C526">
      <w:pPr>
        <w:keepNext w:val="0"/>
        <w:keepLines w:val="0"/>
        <w:pageBreakBefore w:val="0"/>
        <w:widowControl w:val="0"/>
        <w:numPr>
          <w:ilvl w:val="0"/>
          <w:numId w:val="2"/>
        </w:numPr>
        <w:shd w:val="clear" w:color="auto" w:fill="auto"/>
        <w:tabs>
          <w:tab w:val="left" w:pos="1390"/>
        </w:tabs>
        <w:kinsoku/>
        <w:wordWrap/>
        <w:overflowPunct/>
        <w:topLinePunct w:val="0"/>
        <w:autoSpaceDE/>
        <w:autoSpaceDN/>
        <w:bidi w:val="0"/>
        <w:adjustRightInd/>
        <w:snapToGrid/>
        <w:spacing w:before="0" w:after="0" w:line="403" w:lineRule="exact"/>
        <w:ind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single"/>
          <w:shd w:val="clear" w:color="auto" w:fill="auto"/>
          <w:lang w:val="zh-TW" w:eastAsia="zh-CN" w:bidi="zh-TW"/>
        </w:rPr>
      </w:pPr>
      <w:r>
        <w:rPr>
          <w:color w:val="auto"/>
          <w:sz w:val="21"/>
          <w:szCs w:val="21"/>
        </w:rPr>
        <w:t>质保期</w:t>
      </w:r>
      <w:r>
        <w:rPr>
          <w:rFonts w:hint="eastAsia"/>
          <w:color w:val="auto"/>
          <w:sz w:val="21"/>
          <w:szCs w:val="21"/>
          <w:lang w:eastAsia="zh-CN"/>
        </w:rPr>
        <w:t>：</w:t>
      </w:r>
      <w:r>
        <w:rPr>
          <w:rFonts w:hint="eastAsia"/>
          <w:color w:val="auto"/>
          <w:sz w:val="21"/>
          <w:szCs w:val="21"/>
          <w:u w:val="single"/>
          <w:lang w:val="en-US" w:eastAsia="zh-CN"/>
        </w:rPr>
        <w:t xml:space="preserve">          </w:t>
      </w:r>
    </w:p>
    <w:p w14:paraId="5170CCF2">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499" w:lineRule="exact"/>
        <w:ind w:left="0" w:right="0" w:firstLine="422" w:firstLineChars="200"/>
        <w:jc w:val="both"/>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三</w:t>
      </w:r>
      <w:bookmarkEnd w:id="6"/>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、合同价款</w:t>
      </w:r>
      <w:bookmarkStart w:id="19" w:name="_GoBack"/>
      <w:bookmarkEnd w:id="19"/>
    </w:p>
    <w:p w14:paraId="4D2195F8">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Theme="majorEastAsia" w:hAnsiTheme="majorEastAsia" w:eastAsiaTheme="majorEastAsia" w:cstheme="majorEastAsia"/>
          <w:i w:val="0"/>
          <w:iCs w:val="0"/>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en-US" w:bidi="en-US"/>
        </w:rPr>
        <w:t>（</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en-US"/>
        </w:rPr>
        <w:t>一</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en-US" w:bidi="en-US"/>
        </w:rPr>
        <w:t>）</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合同总价款为</w:t>
      </w:r>
      <w:r>
        <w:rPr>
          <w:rFonts w:hint="eastAsia" w:asciiTheme="majorEastAsia" w:hAnsiTheme="majorEastAsia" w:eastAsiaTheme="majorEastAsia" w:cstheme="majorEastAsia"/>
          <w:i w:val="0"/>
          <w:iCs w:val="0"/>
          <w:color w:val="auto"/>
          <w:spacing w:val="0"/>
          <w:w w:val="100"/>
          <w:position w:val="0"/>
          <w:sz w:val="21"/>
          <w:szCs w:val="21"/>
          <w:highlight w:val="none"/>
          <w:u w:val="none"/>
          <w:shd w:val="clear" w:color="auto" w:fill="auto"/>
          <w:lang w:val="zh-TW" w:eastAsia="zh-TW" w:bidi="zh-TW"/>
        </w:rPr>
        <w:t>（大写）</w:t>
      </w:r>
      <w:r>
        <w:rPr>
          <w:rFonts w:hint="eastAsia" w:asciiTheme="majorEastAsia" w:hAnsiTheme="majorEastAsia" w:eastAsiaTheme="majorEastAsia" w:cstheme="majorEastAsia"/>
          <w:color w:val="auto"/>
          <w:spacing w:val="0"/>
          <w:w w:val="100"/>
          <w:position w:val="0"/>
          <w:sz w:val="21"/>
          <w:szCs w:val="21"/>
          <w:highlight w:val="none"/>
          <w:u w:val="single"/>
          <w:shd w:val="clear" w:color="auto" w:fill="auto"/>
          <w:lang w:val="zh-TW" w:eastAsia="zh-TW" w:bidi="zh-TW"/>
        </w:rPr>
        <w:t>人民</w:t>
      </w:r>
      <w:r>
        <w:rPr>
          <w:rFonts w:hint="eastAsia" w:asciiTheme="majorEastAsia" w:hAnsiTheme="majorEastAsia" w:eastAsiaTheme="majorEastAsia" w:cstheme="majorEastAsia"/>
          <w:i w:val="0"/>
          <w:iCs w:val="0"/>
          <w:color w:val="auto"/>
          <w:spacing w:val="0"/>
          <w:w w:val="100"/>
          <w:position w:val="0"/>
          <w:sz w:val="21"/>
          <w:szCs w:val="21"/>
          <w:highlight w:val="none"/>
          <w:u w:val="single"/>
          <w:shd w:val="clear" w:color="auto" w:fill="auto"/>
          <w:lang w:val="zh-TW" w:eastAsia="zh-TW" w:bidi="zh-TW"/>
        </w:rPr>
        <w:t>币</w:t>
      </w:r>
      <w:r>
        <w:rPr>
          <w:rFonts w:hint="eastAsia" w:asciiTheme="majorEastAsia" w:hAnsiTheme="majorEastAsia" w:eastAsiaTheme="majorEastAsia" w:cstheme="majorEastAsia"/>
          <w:i w:val="0"/>
          <w:iCs w:val="0"/>
          <w:color w:val="auto"/>
          <w:spacing w:val="0"/>
          <w:w w:val="100"/>
          <w:position w:val="0"/>
          <w:sz w:val="21"/>
          <w:szCs w:val="21"/>
          <w:highlight w:val="none"/>
          <w:u w:val="single"/>
          <w:shd w:val="clear" w:color="auto" w:fill="auto"/>
          <w:lang w:val="en-US" w:eastAsia="zh-CN" w:bidi="zh-TW"/>
        </w:rPr>
        <w:t xml:space="preserve">         ；</w:t>
      </w:r>
      <w:r>
        <w:rPr>
          <w:rFonts w:hint="eastAsia" w:asciiTheme="majorEastAsia" w:hAnsiTheme="majorEastAsia" w:eastAsiaTheme="majorEastAsia" w:cstheme="majorEastAsia"/>
          <w:i w:val="0"/>
          <w:iCs w:val="0"/>
          <w:color w:val="auto"/>
          <w:spacing w:val="0"/>
          <w:w w:val="100"/>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i w:val="0"/>
          <w:iCs w:val="0"/>
          <w:color w:val="auto"/>
          <w:spacing w:val="0"/>
          <w:w w:val="100"/>
          <w:position w:val="0"/>
          <w:sz w:val="21"/>
          <w:szCs w:val="21"/>
          <w:highlight w:val="none"/>
          <w:u w:val="single"/>
          <w:shd w:val="clear" w:color="auto" w:fill="auto"/>
          <w:lang w:val="en-US" w:eastAsia="zh-CN" w:bidi="zh-TW"/>
        </w:rPr>
        <w:t xml:space="preserve">     </w:t>
      </w:r>
      <w:r>
        <w:rPr>
          <w:rFonts w:hint="eastAsia" w:asciiTheme="majorEastAsia" w:hAnsiTheme="majorEastAsia" w:eastAsiaTheme="majorEastAsia" w:cstheme="majorEastAsia"/>
          <w:i w:val="0"/>
          <w:iCs w:val="0"/>
          <w:color w:val="auto"/>
          <w:spacing w:val="0"/>
          <w:w w:val="100"/>
          <w:position w:val="0"/>
          <w:sz w:val="21"/>
          <w:szCs w:val="21"/>
          <w:highlight w:val="none"/>
          <w:u w:val="none"/>
          <w:shd w:val="clear" w:color="auto" w:fill="auto"/>
          <w:lang w:val="zh-TW" w:eastAsia="zh-TW" w:bidi="zh-TW"/>
        </w:rPr>
        <w:t>元。</w:t>
      </w:r>
      <w:bookmarkStart w:id="7" w:name="bookmark11"/>
    </w:p>
    <w:p w14:paraId="491ADB3E">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CN"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w:t>
      </w:r>
      <w:bookmarkEnd w:id="7"/>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二）合同总</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价</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包括：</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供货</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CN" w:eastAsia="zh-TW" w:bidi="zh-TW"/>
        </w:rPr>
        <w:t>期内全部供货和服务内容可能发生的全部费用。</w:t>
      </w:r>
      <w:bookmarkStart w:id="8" w:name="bookmark12"/>
    </w:p>
    <w:p w14:paraId="695122DC">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w:t>
      </w:r>
      <w:bookmarkEnd w:id="8"/>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三）合同总价一次性包死，不受市场价格变化因素的影响。</w:t>
      </w:r>
      <w:bookmarkStart w:id="9" w:name="bookmark13"/>
    </w:p>
    <w:p w14:paraId="1F961B23">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360" w:lineRule="auto"/>
        <w:ind w:left="0" w:right="0" w:firstLine="422" w:firstLineChars="200"/>
        <w:jc w:val="both"/>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四</w:t>
      </w:r>
      <w:bookmarkEnd w:id="9"/>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、款项结算</w:t>
      </w:r>
    </w:p>
    <w:p w14:paraId="063D8DB7">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pPr>
      <w:bookmarkStart w:id="10" w:name="bookmark17"/>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一</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款项</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的支付：</w:t>
      </w:r>
    </w:p>
    <w:p w14:paraId="533A3BC7">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（1）自合同签订后警犬训练用品经采购人验收合格后，达到付款条件起15个工作日内，支付合同总金额的50.00%；</w:t>
      </w:r>
    </w:p>
    <w:p w14:paraId="305B0F1F">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（2）所有产品供货完成经采购人验收合格后，达到付款条件起15个工作日内，支付合同总金额的50.00%。</w:t>
      </w:r>
    </w:p>
    <w:p w14:paraId="439AC499">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w:t>
      </w:r>
      <w:bookmarkEnd w:id="10"/>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二</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乙方</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应按</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甲方</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要求提供符合税务要求的正式税务发票</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w:t>
      </w:r>
    </w:p>
    <w:p w14:paraId="2584926D">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三</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支付方式：银行转账。</w:t>
      </w:r>
    </w:p>
    <w:p w14:paraId="3E793D77">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color w:val="auto"/>
          <w:sz w:val="21"/>
          <w:szCs w:val="21"/>
          <w:lang w:val="zh-TW" w:eastAsia="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四</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乙方</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须按照成交金额的5％，作为履约保证金在签订合同前向</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甲方</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缴纳。供货期结束后（如无质量问题）一个月内全额无息一次性退付</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乙方</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。缴纳形式：以保函、担保、本票等非现金形式缴纳。</w:t>
      </w:r>
    </w:p>
    <w:p w14:paraId="01FC602B">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360" w:lineRule="auto"/>
        <w:ind w:left="0" w:right="0" w:firstLine="422" w:firstLineChars="200"/>
        <w:jc w:val="both"/>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pPr>
      <w:bookmarkStart w:id="11" w:name="_Toc17760"/>
      <w:bookmarkStart w:id="12" w:name="_Toc14374"/>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五</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双方权利及义务</w:t>
      </w:r>
      <w:bookmarkEnd w:id="11"/>
      <w:bookmarkEnd w:id="12"/>
    </w:p>
    <w:p w14:paraId="4A0202EC">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1.甲乙双方必须遵守本合同并执行合同中的各项规定，保证本合同的正常履行。</w:t>
      </w:r>
    </w:p>
    <w:p w14:paraId="4A370582">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2.本合同签订后甲乙双方不得单方终止合同，如乙方违约，应赔偿给甲方实际造成的损失；如甲方违约，乙方收取的预付款不予退还。</w:t>
      </w:r>
    </w:p>
    <w:p w14:paraId="3BDB1AAD">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3.如因乙方存在以下行为，甲方有权终止合同，依法向乙方进行经济索赔，并报请政府采购监督管理机关进行相应的行政处罚。</w:t>
      </w:r>
    </w:p>
    <w:p w14:paraId="5F9B3F81">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①存在弄虚作假、传递虚假信息等违法违规行为；</w:t>
      </w:r>
    </w:p>
    <w:p w14:paraId="61E01DD7">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②网络舆情或媒体报道存在不规范操作行为；</w:t>
      </w:r>
    </w:p>
    <w:p w14:paraId="6DE5A31C">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③未全面履行合同义务或者发生违约；</w:t>
      </w:r>
    </w:p>
    <w:p w14:paraId="51AD584C">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4.甲方违约的，应当赔偿给乙方造成的直接经济损失。</w:t>
      </w:r>
    </w:p>
    <w:p w14:paraId="02214989">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5.本合同未经双方同意，任何一方不得以任何形式公开本合同及附件内容，以确保双方的商业机密。</w:t>
      </w:r>
    </w:p>
    <w:p w14:paraId="520EABCA">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6.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E934599">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360" w:lineRule="auto"/>
        <w:ind w:left="0" w:right="0" w:firstLine="422" w:firstLineChars="200"/>
        <w:jc w:val="both"/>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en-US" w:eastAsia="zh-CN" w:bidi="zh-TW"/>
        </w:rPr>
        <w:t>六、质量保证</w:t>
      </w:r>
    </w:p>
    <w:p w14:paraId="75559D1C">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1、</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CN" w:bidi="zh-TW"/>
        </w:rPr>
        <w:t>乙方</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须提供符合国家质量标准、行业标准、地方标准、规范或本</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采购</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文件规定标准的、供货渠道合法的合格产品，所提供的产品应当符合国家有关安全、卫生规定。</w:t>
      </w:r>
    </w:p>
    <w:p w14:paraId="33BDFC84">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2、</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CN" w:bidi="zh-TW"/>
        </w:rPr>
        <w:t>乙方</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应具有与经营饲料相适应的经营场所和仓储设施；具备饲料贮存等知识的技术人员及必要的产品质量管理和安全管理制度。</w:t>
      </w:r>
    </w:p>
    <w:p w14:paraId="6EA48D66">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3、包装要求：饲料的包装上应当附具标签。标签应当以中文或者适用符号标明产品名称、原料组成、产品成分分析保证值、净重或者净含量、贮存条件、使用说明、注意事项、产日期、保质期、生产企业名称及地址、许可证明文件编号和产品质量标准等。</w:t>
      </w:r>
    </w:p>
    <w:p w14:paraId="4161E111">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4、运输要求：运输工具应清洁卫生无污染；运输途中严防日晒、雨淋，注意通风散热；</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CN" w:bidi="zh-TW"/>
        </w:rPr>
        <w:t>乙方</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品应小心轻卸，严防机械损伤。</w:t>
      </w:r>
    </w:p>
    <w:p w14:paraId="23D2EA22">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5、每批次所供货物甲乙双方须取样留存，如</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犬只</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出现饮食健康等问题则对样品进行质量检测，如发生犬</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只</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因饲料质量出现健康问题，由</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CN" w:bidi="zh-TW"/>
        </w:rPr>
        <w:t>乙方</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承担全部责任。</w:t>
      </w:r>
    </w:p>
    <w:p w14:paraId="79E32582">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cs="宋体"/>
          <w:b w:val="0"/>
          <w:bCs/>
          <w:snapToGrid/>
          <w:color w:val="auto"/>
          <w:spacing w:val="0"/>
          <w:w w:val="100"/>
          <w:kern w:val="2"/>
          <w:position w:val="0"/>
          <w:sz w:val="21"/>
          <w:szCs w:val="21"/>
          <w:highlight w:val="none"/>
          <w:u w:val="none"/>
          <w:shd w:val="clear" w:color="auto" w:fill="auto"/>
          <w:lang w:val="zh-TW" w:eastAsia="zh-CN" w:bidi="zh-TW"/>
        </w:rPr>
      </w:pPr>
      <w:r>
        <w:rPr>
          <w:rFonts w:hint="eastAsia" w:ascii="宋体" w:hAnsi="宋体" w:cs="宋体"/>
          <w:b w:val="0"/>
          <w:bCs/>
          <w:snapToGrid/>
          <w:color w:val="auto"/>
          <w:spacing w:val="0"/>
          <w:w w:val="100"/>
          <w:kern w:val="2"/>
          <w:position w:val="0"/>
          <w:sz w:val="21"/>
          <w:szCs w:val="21"/>
          <w:highlight w:val="none"/>
          <w:u w:val="none"/>
          <w:shd w:val="clear" w:color="auto" w:fill="auto"/>
          <w:lang w:val="en-US" w:eastAsia="zh-CN" w:bidi="zh-TW"/>
        </w:rPr>
        <w:t>6、乙方须提供犬粮及犬营养品牛肉罐头的检测报告，检测报告样品名称、规格型号须与所投产品保持一致，采购人有权在货物到货后开展抽样复检，检测不合格无条件退换货并承担检测费用。退换货后仍不合格，甲方有权终止合同，</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乙方应赔偿给甲方实际造成的损失</w:t>
      </w:r>
      <w:r>
        <w:rPr>
          <w:rFonts w:hint="eastAsia" w:ascii="宋体" w:hAnsi="宋体" w:cs="宋体"/>
          <w:b w:val="0"/>
          <w:bCs/>
          <w:snapToGrid/>
          <w:color w:val="auto"/>
          <w:spacing w:val="0"/>
          <w:w w:val="100"/>
          <w:kern w:val="2"/>
          <w:position w:val="0"/>
          <w:sz w:val="21"/>
          <w:szCs w:val="21"/>
          <w:highlight w:val="none"/>
          <w:u w:val="none"/>
          <w:shd w:val="clear" w:color="auto" w:fill="auto"/>
          <w:lang w:val="zh-TW" w:eastAsia="zh-CN" w:bidi="zh-TW"/>
        </w:rPr>
        <w:t>。</w:t>
      </w:r>
    </w:p>
    <w:p w14:paraId="24C9B058">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cs="宋体"/>
          <w:b w:val="0"/>
          <w:bCs/>
          <w:snapToGrid/>
          <w:color w:val="auto"/>
          <w:spacing w:val="0"/>
          <w:w w:val="100"/>
          <w:kern w:val="2"/>
          <w:position w:val="0"/>
          <w:sz w:val="21"/>
          <w:szCs w:val="21"/>
          <w:highlight w:val="none"/>
          <w:u w:val="none"/>
          <w:shd w:val="clear" w:color="auto" w:fill="auto"/>
          <w:lang w:val="en-US" w:eastAsia="zh-CN" w:bidi="zh-TW"/>
        </w:rPr>
      </w:pPr>
      <w:r>
        <w:rPr>
          <w:rFonts w:hint="eastAsia" w:ascii="宋体" w:hAnsi="宋体" w:cs="宋体"/>
          <w:b w:val="0"/>
          <w:bCs/>
          <w:snapToGrid/>
          <w:color w:val="auto"/>
          <w:spacing w:val="0"/>
          <w:w w:val="100"/>
          <w:kern w:val="2"/>
          <w:position w:val="0"/>
          <w:sz w:val="21"/>
          <w:szCs w:val="21"/>
          <w:highlight w:val="none"/>
          <w:u w:val="none"/>
          <w:shd w:val="clear" w:color="auto" w:fill="auto"/>
          <w:lang w:val="en-US" w:eastAsia="zh-CN" w:bidi="zh-TW"/>
        </w:rPr>
        <w:t>7、若未能按甲方要求完成合同规定的义务，由此对甲方造成的延误和一切损失，由乙方承担和赔偿。</w:t>
      </w:r>
    </w:p>
    <w:p w14:paraId="338A4BA3">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cs="宋体"/>
          <w:b w:val="0"/>
          <w:bCs/>
          <w:snapToGrid/>
          <w:color w:val="auto"/>
          <w:spacing w:val="0"/>
          <w:w w:val="100"/>
          <w:kern w:val="2"/>
          <w:position w:val="0"/>
          <w:sz w:val="21"/>
          <w:szCs w:val="21"/>
          <w:highlight w:val="none"/>
          <w:u w:val="none"/>
          <w:shd w:val="clear" w:color="auto" w:fill="auto"/>
          <w:lang w:val="en-US" w:eastAsia="zh-CN" w:bidi="zh-TW"/>
        </w:rPr>
      </w:pPr>
      <w:r>
        <w:rPr>
          <w:rFonts w:hint="eastAsia" w:ascii="宋体" w:hAnsi="宋体" w:cs="宋体"/>
          <w:b w:val="0"/>
          <w:bCs/>
          <w:snapToGrid/>
          <w:color w:val="auto"/>
          <w:spacing w:val="0"/>
          <w:w w:val="100"/>
          <w:kern w:val="2"/>
          <w:position w:val="0"/>
          <w:sz w:val="21"/>
          <w:szCs w:val="21"/>
          <w:highlight w:val="none"/>
          <w:u w:val="none"/>
          <w:shd w:val="clear" w:color="auto" w:fill="auto"/>
          <w:lang w:val="en-US" w:eastAsia="zh-CN" w:bidi="zh-TW"/>
        </w:rPr>
        <w:t>8、乙方每次运送犬粮、牛肉罐头时须出具该批次的质检报告。</w:t>
      </w:r>
    </w:p>
    <w:p w14:paraId="0E625406">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360" w:lineRule="auto"/>
        <w:ind w:left="0" w:right="0" w:firstLine="422" w:firstLineChars="200"/>
        <w:jc w:val="both"/>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en-US" w:eastAsia="zh-CN" w:bidi="zh-TW"/>
        </w:rPr>
        <w:t>七</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、验收</w:t>
      </w:r>
    </w:p>
    <w:p w14:paraId="3510A325">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由</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甲方</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和</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乙方</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共同对项目整体进行验收。其内容包括确认设备(产品)的产地、规格、型号和数量，对其设备(产品)技术指标、性能参数以及产品质量是否达到现行国家有关验收规范“合格”标准进行逐项检查。</w:t>
      </w:r>
    </w:p>
    <w:p w14:paraId="56732AC7">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1.所验设备(产品)的指标、性能参数通过验收达不到竞争性谈判文件要求和谈判响应文件承诺的，或在使用中发现采购人不能容忍的缺陷等，将视为设备(产品)验收不合格，供应商应无条件免费更换或退货。</w:t>
      </w:r>
    </w:p>
    <w:p w14:paraId="1CC9D3D9">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2.若发现供应商有弄虚作假的，在谈判阶段故意或随意夸大设备(产品)技术性能，供应商应无条件退货，并赔偿采购人相应的损失。</w:t>
      </w:r>
    </w:p>
    <w:p w14:paraId="5EABC9A5">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3.验收标准：按竞争性谈判文件、谈判响应文件及澄清函等技术指标进行验收。各项指标均应符合验收标准及要求。</w:t>
      </w:r>
    </w:p>
    <w:p w14:paraId="2F6DFA25">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4.验收要求按照《西安市财政局关于进一步规范政府采购履约验收工作的通知》（市财函〔2025〕1562号）文件执行。</w:t>
      </w:r>
    </w:p>
    <w:p w14:paraId="06CE9CCC">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5</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.验收合格后，填写验收单，双方签字生效。</w:t>
      </w:r>
    </w:p>
    <w:p w14:paraId="479555F7">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6</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.验收依据：</w:t>
      </w:r>
    </w:p>
    <w:p w14:paraId="756366D9">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a)合同文本；</w:t>
      </w:r>
    </w:p>
    <w:p w14:paraId="05007AC9">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b)谈判响应文件及澄清函、竞争性谈判文件；</w:t>
      </w:r>
    </w:p>
    <w:p w14:paraId="75AA4E1C">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c)国家和行业制定的相应的标准和规范。</w:t>
      </w:r>
    </w:p>
    <w:p w14:paraId="5F1A16BF">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Theme="majorEastAsia" w:hAnsiTheme="majorEastAsia" w:eastAsiaTheme="majorEastAsia" w:cstheme="majorEastAsia"/>
          <w:b/>
          <w:bCs/>
          <w:color w:val="0000FF"/>
          <w:spacing w:val="0"/>
          <w:w w:val="100"/>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d)设备(产品)验收清单（注明各部件的品名、数量、规格型号和原产地或生产厂家）。</w:t>
      </w:r>
    </w:p>
    <w:p w14:paraId="17E145DF">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360" w:lineRule="auto"/>
        <w:ind w:left="0" w:right="0" w:firstLine="422" w:firstLineChars="200"/>
        <w:jc w:val="both"/>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en-US" w:eastAsia="zh-CN" w:bidi="zh-TW"/>
        </w:rPr>
        <w:t>八</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违约责任</w:t>
      </w:r>
    </w:p>
    <w:p w14:paraId="4A03EBD4">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1.由于乙方的错误，给甲方造成经济损失时，乙方应及时采取措施予以补救，并视损失大小，减收或免损失部分的服务费，直至付给甲方与直接受损失部分服务费相等的赔偿金。</w:t>
      </w:r>
    </w:p>
    <w:p w14:paraId="71F35A83">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2.由于乙方自身原因，延误了按本合同服务的交货时间，每延误一天，应减收该项目应收合同价的千分之五，合同生效后，乙方要求终止或解除合同，乙方应赔偿合同价的百分之三十。</w:t>
      </w:r>
    </w:p>
    <w:p w14:paraId="1FE437D9">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360" w:lineRule="auto"/>
        <w:ind w:left="0" w:right="0" w:firstLine="422" w:firstLineChars="200"/>
        <w:jc w:val="both"/>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pPr>
      <w:bookmarkStart w:id="13" w:name="_Toc5352"/>
      <w:bookmarkStart w:id="14" w:name="_Toc1600"/>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en-US" w:eastAsia="zh-CN" w:bidi="zh-TW"/>
        </w:rPr>
        <w:t>九</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知识产权</w:t>
      </w:r>
    </w:p>
    <w:p w14:paraId="113F34CF">
      <w:pPr>
        <w:spacing w:line="360" w:lineRule="auto"/>
        <w:ind w:firstLine="420" w:firstLineChars="200"/>
        <w:jc w:val="both"/>
        <w:rPr>
          <w:color w:val="auto"/>
          <w:sz w:val="21"/>
          <w:szCs w:val="21"/>
        </w:rPr>
      </w:pPr>
      <w:r>
        <w:rPr>
          <w:rFonts w:hint="eastAsia"/>
          <w:color w:val="auto"/>
          <w:sz w:val="21"/>
          <w:szCs w:val="21"/>
          <w:lang w:val="en-US" w:eastAsia="zh-CN"/>
        </w:rPr>
        <w:t>甲方</w:t>
      </w:r>
      <w:r>
        <w:rPr>
          <w:rFonts w:hint="eastAsia"/>
          <w:color w:val="auto"/>
          <w:sz w:val="21"/>
          <w:szCs w:val="21"/>
        </w:rPr>
        <w:t>在中华人民共和国境内使用</w:t>
      </w:r>
      <w:r>
        <w:rPr>
          <w:rFonts w:hint="eastAsia"/>
          <w:color w:val="auto"/>
          <w:sz w:val="21"/>
          <w:szCs w:val="21"/>
          <w:lang w:val="en-US" w:eastAsia="zh-CN"/>
        </w:rPr>
        <w:t>乙方</w:t>
      </w:r>
      <w:r>
        <w:rPr>
          <w:rFonts w:hint="eastAsia"/>
          <w:color w:val="auto"/>
          <w:sz w:val="21"/>
          <w:szCs w:val="21"/>
        </w:rPr>
        <w:t>提供的服务时免受第三方提出的侵犯其专利权或其它知识产权的起诉。如果第三方提出侵权指控，</w:t>
      </w:r>
      <w:r>
        <w:rPr>
          <w:rFonts w:hint="eastAsia"/>
          <w:color w:val="auto"/>
          <w:sz w:val="21"/>
          <w:szCs w:val="21"/>
          <w:lang w:val="en-US" w:eastAsia="zh-CN"/>
        </w:rPr>
        <w:t>乙方</w:t>
      </w:r>
      <w:r>
        <w:rPr>
          <w:rFonts w:hint="eastAsia"/>
          <w:color w:val="auto"/>
          <w:sz w:val="21"/>
          <w:szCs w:val="21"/>
        </w:rPr>
        <w:t>应承担由此而引起的一切法律责任和费用。</w:t>
      </w:r>
    </w:p>
    <w:p w14:paraId="150E4B52">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360" w:lineRule="auto"/>
        <w:ind w:left="0" w:right="0" w:firstLine="422" w:firstLineChars="200"/>
        <w:jc w:val="both"/>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en-US" w:eastAsia="zh-CN" w:bidi="zh-TW"/>
        </w:rPr>
        <w:t>十</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争议解决途径</w:t>
      </w:r>
    </w:p>
    <w:p w14:paraId="1F246663">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10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bookmarkStart w:id="15" w:name="bookmark65"/>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w:t>
      </w:r>
      <w:bookmarkEnd w:id="15"/>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一）本合同在履行过程中发生的争议，由甲、乙双方当事人协商解决，协商不成的按下列第</w:t>
      </w:r>
      <w:r>
        <w:rPr>
          <w:rFonts w:hint="eastAsia" w:asciiTheme="majorEastAsia" w:hAnsiTheme="majorEastAsia" w:eastAsiaTheme="majorEastAsia" w:cstheme="majorEastAsia"/>
          <w:color w:val="auto"/>
          <w:spacing w:val="0"/>
          <w:w w:val="100"/>
          <w:position w:val="0"/>
          <w:sz w:val="21"/>
          <w:szCs w:val="21"/>
          <w:highlight w:val="none"/>
          <w:u w:val="single"/>
          <w:shd w:val="clear" w:color="auto" w:fill="auto"/>
          <w:lang w:val="en-US" w:eastAsia="zh-CN" w:bidi="zh-TW"/>
        </w:rPr>
        <w:t xml:space="preserve"> 2 </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种方式解决：</w:t>
      </w:r>
    </w:p>
    <w:p w14:paraId="064A8D13">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bookmarkStart w:id="16" w:name="bookmark66"/>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1</w:t>
      </w:r>
      <w:bookmarkEnd w:id="16"/>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、提交西安仲裁委员会仲裁；</w:t>
      </w:r>
    </w:p>
    <w:p w14:paraId="60F2393E">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bookmarkStart w:id="17" w:name="bookmark67"/>
      <w:bookmarkEnd w:id="17"/>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2、</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CN" w:bidi="zh-TW"/>
        </w:rPr>
        <w:t>依</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法向甲方所在地人民法院起诉。</w:t>
      </w:r>
    </w:p>
    <w:p w14:paraId="5F984A45">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bookmarkStart w:id="18" w:name="bookmark68"/>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w:t>
      </w:r>
      <w:bookmarkEnd w:id="18"/>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二）本条款为独立条款，本合同的无效、变更、解除和终止均不影响本条款的效力。</w:t>
      </w:r>
    </w:p>
    <w:p w14:paraId="40D9ACC9">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360" w:lineRule="auto"/>
        <w:ind w:left="0" w:right="0" w:firstLine="422" w:firstLineChars="200"/>
        <w:jc w:val="both"/>
        <w:textAlignment w:val="auto"/>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en-US" w:eastAsia="zh-CN" w:bidi="zh-TW"/>
        </w:rPr>
        <w:t>十一</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b/>
          <w:bCs/>
          <w:color w:val="auto"/>
          <w:spacing w:val="0"/>
          <w:w w:val="100"/>
          <w:position w:val="0"/>
          <w:sz w:val="21"/>
          <w:szCs w:val="21"/>
          <w:highlight w:val="none"/>
          <w:u w:val="none"/>
          <w:shd w:val="clear" w:color="auto" w:fill="auto"/>
          <w:lang w:val="zh-TW" w:eastAsia="zh-TW" w:bidi="zh-TW"/>
        </w:rPr>
        <w:t>其他约定</w:t>
      </w:r>
      <w:bookmarkEnd w:id="13"/>
      <w:bookmarkEnd w:id="14"/>
    </w:p>
    <w:p w14:paraId="79C66EB6">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1.乙方应自行与其服务人员签订劳动合同、建立合法的劳动合同关系，并按照法律法规规定支付劳动报酬，按国家规定缴纳社保；甲方与乙方服务人员之间无劳动合同关系，不承担任何劳动合同义务，亦不对乙方与其服务人员之间的劳动合同纠纷承担任何连带责任。一旦甲方基于法律规定、生效仲裁裁决、法院判决而承担劳动合同纠纷连带责任的，乙方应赔偿甲方因此而受到的损失，包括但不限于违约金、赔偿金、行政处罚、仲裁费、诉讼费、律师费等。</w:t>
      </w:r>
    </w:p>
    <w:p w14:paraId="4C923833">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2.乙方服务人员在服务过程中受到人身损害或财产损失的，由乙方或乙方服务人员自行负责，</w:t>
      </w:r>
      <w:r>
        <w:rPr>
          <w:rFonts w:hint="eastAsia" w:ascii="宋体" w:hAnsi="宋体" w:cs="宋体"/>
          <w:b w:val="0"/>
          <w:bCs/>
          <w:snapToGrid/>
          <w:color w:val="auto"/>
          <w:spacing w:val="0"/>
          <w:w w:val="100"/>
          <w:kern w:val="2"/>
          <w:position w:val="0"/>
          <w:sz w:val="21"/>
          <w:szCs w:val="21"/>
          <w:highlight w:val="none"/>
          <w:u w:val="none"/>
          <w:shd w:val="clear" w:color="auto" w:fill="auto"/>
          <w:lang w:val="en-US" w:eastAsia="zh-CN" w:bidi="zh-TW"/>
        </w:rPr>
        <w:t>甲方</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对此不承担任何责任。</w:t>
      </w:r>
    </w:p>
    <w:p w14:paraId="553BB345">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3.合同执行期内，非法定或合同约定，甲乙双方均不得随意变更或解除合同。未尽事宜，经双方共同协商作出补充规定，补充规定签字盖章后与本合同具有同等效力。其他未尽事宜，按《中华人民共和国民法典》的有关规定执行。</w:t>
      </w:r>
    </w:p>
    <w:p w14:paraId="09F1241F">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4</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等不能预见、不能避免并不能克服的客观情况。</w:t>
      </w:r>
    </w:p>
    <w:p w14:paraId="024A9CA0">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en-US" w:eastAsia="zh-CN" w:bidi="zh-TW"/>
        </w:rPr>
        <w:t>5</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.本合同一式</w:t>
      </w:r>
      <w:r>
        <w:rPr>
          <w:rFonts w:hint="eastAsia" w:ascii="宋体" w:hAnsi="宋体" w:eastAsia="宋体" w:cs="宋体"/>
          <w:b w:val="0"/>
          <w:bCs/>
          <w:snapToGrid/>
          <w:color w:val="auto"/>
          <w:spacing w:val="0"/>
          <w:w w:val="100"/>
          <w:kern w:val="2"/>
          <w:position w:val="0"/>
          <w:sz w:val="21"/>
          <w:szCs w:val="21"/>
          <w:highlight w:val="none"/>
          <w:u w:val="single"/>
          <w:shd w:val="clear" w:color="auto" w:fill="auto"/>
          <w:lang w:val="en-US" w:eastAsia="zh-CN" w:bidi="zh-TW"/>
        </w:rPr>
        <w:t xml:space="preserve">    </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份，甲乙双方各执</w:t>
      </w:r>
      <w:r>
        <w:rPr>
          <w:rFonts w:hint="eastAsia" w:ascii="宋体" w:hAnsi="宋体" w:eastAsia="宋体" w:cs="宋体"/>
          <w:b w:val="0"/>
          <w:bCs/>
          <w:snapToGrid/>
          <w:color w:val="auto"/>
          <w:spacing w:val="0"/>
          <w:w w:val="100"/>
          <w:kern w:val="2"/>
          <w:position w:val="0"/>
          <w:sz w:val="21"/>
          <w:szCs w:val="21"/>
          <w:highlight w:val="none"/>
          <w:u w:val="single"/>
          <w:shd w:val="clear" w:color="auto" w:fill="auto"/>
          <w:lang w:val="en-US" w:eastAsia="zh-CN" w:bidi="zh-TW"/>
        </w:rPr>
        <w:t xml:space="preserve">    </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TW" w:bidi="zh-TW"/>
        </w:rPr>
        <w:t>份</w:t>
      </w:r>
      <w:r>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本合同甲、乙各方签字并盖章后生效，合同执行完毕后，自动失效（合同的服务承诺则长期有效）。</w:t>
      </w:r>
    </w:p>
    <w:p w14:paraId="7FCB0748">
      <w:pPr>
        <w:pStyle w:val="5"/>
        <w:rPr>
          <w:rFonts w:hint="eastAsia" w:asciiTheme="majorEastAsia" w:hAnsiTheme="majorEastAsia" w:eastAsiaTheme="majorEastAsia" w:cstheme="majorEastAsia"/>
          <w:sz w:val="21"/>
          <w:szCs w:val="21"/>
          <w:lang w:val="zh-TW" w:eastAsia="zh-CN"/>
        </w:rPr>
      </w:pPr>
      <w:r>
        <w:rPr>
          <w:rFonts w:hint="eastAsia" w:asciiTheme="majorEastAsia" w:hAnsiTheme="majorEastAsia" w:eastAsiaTheme="majorEastAsia" w:cstheme="majorEastAsia"/>
          <w:sz w:val="21"/>
          <w:szCs w:val="21"/>
          <w:lang w:val="zh-TW" w:eastAsia="zh-CN"/>
        </w:rPr>
        <w:t>（</w:t>
      </w:r>
      <w:r>
        <w:rPr>
          <w:rFonts w:hint="eastAsia" w:asciiTheme="majorEastAsia" w:hAnsiTheme="majorEastAsia" w:eastAsiaTheme="majorEastAsia" w:cstheme="majorEastAsia"/>
          <w:sz w:val="21"/>
          <w:szCs w:val="21"/>
          <w:lang w:val="en-US" w:eastAsia="zh-CN"/>
        </w:rPr>
        <w:t>本页无正文</w:t>
      </w:r>
      <w:r>
        <w:rPr>
          <w:rFonts w:hint="eastAsia" w:asciiTheme="majorEastAsia" w:hAnsiTheme="majorEastAsia" w:eastAsiaTheme="majorEastAsia" w:cstheme="majorEastAsia"/>
          <w:sz w:val="21"/>
          <w:szCs w:val="21"/>
          <w:lang w:val="zh-TW" w:eastAsia="zh-CN"/>
        </w:rPr>
        <w:t>）</w:t>
      </w:r>
    </w:p>
    <w:tbl>
      <w:tblPr>
        <w:tblStyle w:val="7"/>
        <w:tblW w:w="8894" w:type="dxa"/>
        <w:tblInd w:w="-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20"/>
        <w:gridCol w:w="3974"/>
      </w:tblGrid>
      <w:tr w14:paraId="5DF43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1EFB93FF">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甲方：</w:t>
            </w:r>
          </w:p>
        </w:tc>
        <w:tc>
          <w:tcPr>
            <w:tcW w:w="3974" w:type="dxa"/>
            <w:tcBorders>
              <w:top w:val="nil"/>
              <w:left w:val="nil"/>
              <w:bottom w:val="nil"/>
              <w:right w:val="nil"/>
            </w:tcBorders>
            <w:vAlign w:val="center"/>
          </w:tcPr>
          <w:p w14:paraId="295F0591">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乙方：</w:t>
            </w:r>
          </w:p>
        </w:tc>
      </w:tr>
      <w:tr w14:paraId="14818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exact"/>
        </w:trPr>
        <w:tc>
          <w:tcPr>
            <w:tcW w:w="4920" w:type="dxa"/>
            <w:tcBorders>
              <w:top w:val="nil"/>
              <w:left w:val="nil"/>
              <w:bottom w:val="nil"/>
              <w:right w:val="nil"/>
            </w:tcBorders>
            <w:vAlign w:val="center"/>
          </w:tcPr>
          <w:p w14:paraId="3B8F5B68">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地    址：</w:t>
            </w:r>
          </w:p>
        </w:tc>
        <w:tc>
          <w:tcPr>
            <w:tcW w:w="3974" w:type="dxa"/>
            <w:tcBorders>
              <w:top w:val="nil"/>
              <w:left w:val="nil"/>
              <w:bottom w:val="nil"/>
              <w:right w:val="nil"/>
            </w:tcBorders>
            <w:vAlign w:val="center"/>
          </w:tcPr>
          <w:p w14:paraId="137F8EF6">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地    址：</w:t>
            </w:r>
          </w:p>
        </w:tc>
      </w:tr>
      <w:tr w14:paraId="0B72C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exact"/>
        </w:trPr>
        <w:tc>
          <w:tcPr>
            <w:tcW w:w="4920" w:type="dxa"/>
            <w:tcBorders>
              <w:top w:val="nil"/>
              <w:left w:val="nil"/>
              <w:bottom w:val="nil"/>
              <w:right w:val="nil"/>
            </w:tcBorders>
            <w:vAlign w:val="center"/>
          </w:tcPr>
          <w:p w14:paraId="5DC9E003">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法定代表人或其</w:t>
            </w:r>
          </w:p>
          <w:p w14:paraId="72F77057">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授权的代理人（签字或盖章）：</w:t>
            </w:r>
          </w:p>
        </w:tc>
        <w:tc>
          <w:tcPr>
            <w:tcW w:w="3974" w:type="dxa"/>
            <w:tcBorders>
              <w:top w:val="nil"/>
              <w:left w:val="nil"/>
              <w:bottom w:val="nil"/>
              <w:right w:val="nil"/>
            </w:tcBorders>
            <w:vAlign w:val="center"/>
          </w:tcPr>
          <w:p w14:paraId="61DFDA93">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法定代表人或其</w:t>
            </w:r>
          </w:p>
          <w:p w14:paraId="300768B7">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授权的代理人（签字或盖章）：</w:t>
            </w:r>
          </w:p>
        </w:tc>
      </w:tr>
      <w:tr w14:paraId="4B9C9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0A23A4A9">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fldChar w:fldCharType="begin"/>
            </w:r>
            <w:r>
              <w:rPr>
                <w:rFonts w:hint="eastAsia" w:asciiTheme="majorEastAsia" w:hAnsiTheme="majorEastAsia" w:eastAsiaTheme="majorEastAsia" w:cstheme="majorEastAsia"/>
                <w:sz w:val="21"/>
                <w:szCs w:val="21"/>
                <w:lang w:val="en-US" w:eastAsia="zh-CN"/>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Theme="majorEastAsia" w:hAnsiTheme="majorEastAsia" w:eastAsiaTheme="majorEastAsia" w:cstheme="majorEastAsia"/>
                <w:sz w:val="21"/>
                <w:szCs w:val="21"/>
                <w:lang w:val="en-US" w:eastAsia="zh-CN"/>
              </w:rPr>
              <w:fldChar w:fldCharType="separate"/>
            </w:r>
            <w:r>
              <w:rPr>
                <w:rFonts w:hint="eastAsia" w:asciiTheme="majorEastAsia" w:hAnsiTheme="majorEastAsia" w:eastAsiaTheme="majorEastAsia" w:cstheme="majorEastAsia"/>
                <w:sz w:val="21"/>
                <w:szCs w:val="21"/>
                <w:lang w:val="en-US" w:eastAsia="zh-CN"/>
              </w:rPr>
              <w:t>开户银行</w:t>
            </w:r>
            <w:r>
              <w:rPr>
                <w:rFonts w:hint="eastAsia" w:asciiTheme="majorEastAsia" w:hAnsiTheme="majorEastAsia" w:eastAsiaTheme="majorEastAsia" w:cstheme="majorEastAsia"/>
                <w:sz w:val="21"/>
                <w:szCs w:val="21"/>
                <w:lang w:val="en-US" w:eastAsia="zh-CN"/>
              </w:rPr>
              <w:fldChar w:fldCharType="end"/>
            </w:r>
            <w:r>
              <w:rPr>
                <w:rFonts w:hint="eastAsia" w:asciiTheme="majorEastAsia" w:hAnsiTheme="majorEastAsia" w:eastAsiaTheme="majorEastAsia" w:cstheme="majorEastAsia"/>
                <w:sz w:val="21"/>
                <w:szCs w:val="21"/>
                <w:lang w:val="en-US" w:eastAsia="zh-CN"/>
              </w:rPr>
              <w:t>：</w:t>
            </w:r>
          </w:p>
        </w:tc>
        <w:tc>
          <w:tcPr>
            <w:tcW w:w="3974" w:type="dxa"/>
            <w:tcBorders>
              <w:top w:val="nil"/>
              <w:left w:val="nil"/>
              <w:bottom w:val="nil"/>
              <w:right w:val="nil"/>
            </w:tcBorders>
            <w:vAlign w:val="center"/>
          </w:tcPr>
          <w:p w14:paraId="5AAB2D8A">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fldChar w:fldCharType="begin"/>
            </w:r>
            <w:r>
              <w:rPr>
                <w:rFonts w:hint="eastAsia" w:asciiTheme="majorEastAsia" w:hAnsiTheme="majorEastAsia" w:eastAsiaTheme="majorEastAsia" w:cstheme="majorEastAsia"/>
                <w:sz w:val="21"/>
                <w:szCs w:val="21"/>
                <w:lang w:val="en-US" w:eastAsia="zh-CN"/>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Theme="majorEastAsia" w:hAnsiTheme="majorEastAsia" w:eastAsiaTheme="majorEastAsia" w:cstheme="majorEastAsia"/>
                <w:sz w:val="21"/>
                <w:szCs w:val="21"/>
                <w:lang w:val="en-US" w:eastAsia="zh-CN"/>
              </w:rPr>
              <w:fldChar w:fldCharType="separate"/>
            </w:r>
            <w:r>
              <w:rPr>
                <w:rFonts w:hint="eastAsia" w:asciiTheme="majorEastAsia" w:hAnsiTheme="majorEastAsia" w:eastAsiaTheme="majorEastAsia" w:cstheme="majorEastAsia"/>
                <w:sz w:val="21"/>
                <w:szCs w:val="21"/>
                <w:lang w:val="en-US" w:eastAsia="zh-CN"/>
              </w:rPr>
              <w:t>开户银行</w:t>
            </w:r>
            <w:r>
              <w:rPr>
                <w:rFonts w:hint="eastAsia" w:asciiTheme="majorEastAsia" w:hAnsiTheme="majorEastAsia" w:eastAsiaTheme="majorEastAsia" w:cstheme="majorEastAsia"/>
                <w:sz w:val="21"/>
                <w:szCs w:val="21"/>
                <w:lang w:val="en-US" w:eastAsia="zh-CN"/>
              </w:rPr>
              <w:fldChar w:fldCharType="end"/>
            </w:r>
            <w:r>
              <w:rPr>
                <w:rFonts w:hint="eastAsia" w:asciiTheme="majorEastAsia" w:hAnsiTheme="majorEastAsia" w:eastAsiaTheme="majorEastAsia" w:cstheme="majorEastAsia"/>
                <w:sz w:val="21"/>
                <w:szCs w:val="21"/>
                <w:lang w:val="en-US" w:eastAsia="zh-CN"/>
              </w:rPr>
              <w:t>：</w:t>
            </w:r>
          </w:p>
        </w:tc>
      </w:tr>
      <w:tr w14:paraId="23A8D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70C98E76">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账    号：</w:t>
            </w:r>
          </w:p>
        </w:tc>
        <w:tc>
          <w:tcPr>
            <w:tcW w:w="3974" w:type="dxa"/>
            <w:tcBorders>
              <w:top w:val="nil"/>
              <w:left w:val="nil"/>
              <w:bottom w:val="nil"/>
              <w:right w:val="nil"/>
            </w:tcBorders>
            <w:vAlign w:val="center"/>
          </w:tcPr>
          <w:p w14:paraId="6C9D6874">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账    号：</w:t>
            </w:r>
          </w:p>
        </w:tc>
      </w:tr>
      <w:tr w14:paraId="29E3F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00B41474">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电    话：</w:t>
            </w:r>
          </w:p>
        </w:tc>
        <w:tc>
          <w:tcPr>
            <w:tcW w:w="3974" w:type="dxa"/>
            <w:tcBorders>
              <w:top w:val="nil"/>
              <w:left w:val="nil"/>
              <w:bottom w:val="nil"/>
              <w:right w:val="nil"/>
            </w:tcBorders>
            <w:vAlign w:val="center"/>
          </w:tcPr>
          <w:p w14:paraId="47FECF12">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电    话：</w:t>
            </w:r>
          </w:p>
        </w:tc>
      </w:tr>
      <w:tr w14:paraId="1264B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0BBD3B66">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日    期：</w:t>
            </w:r>
          </w:p>
        </w:tc>
        <w:tc>
          <w:tcPr>
            <w:tcW w:w="3974" w:type="dxa"/>
            <w:tcBorders>
              <w:top w:val="nil"/>
              <w:left w:val="nil"/>
              <w:bottom w:val="nil"/>
              <w:right w:val="nil"/>
            </w:tcBorders>
            <w:vAlign w:val="center"/>
          </w:tcPr>
          <w:p w14:paraId="4E674CFA">
            <w:pPr>
              <w:widowControl w:val="0"/>
              <w:spacing w:line="360" w:lineRule="auto"/>
              <w:ind w:left="0" w:leftChars="0" w:firstLine="0" w:firstLineChars="0"/>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日    期：</w:t>
            </w:r>
          </w:p>
        </w:tc>
      </w:tr>
    </w:tbl>
    <w:p w14:paraId="4F087F7C">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20" w:firstLineChars="200"/>
        <w:jc w:val="both"/>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p>
    <w:p w14:paraId="0F3CA7FB">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CN" w:bidi="zh-TW"/>
        </w:rPr>
      </w:pPr>
    </w:p>
    <w:p w14:paraId="1D85E153">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snapToGrid/>
          <w:color w:val="auto"/>
          <w:spacing w:val="0"/>
          <w:w w:val="100"/>
          <w:kern w:val="2"/>
          <w:position w:val="0"/>
          <w:sz w:val="21"/>
          <w:szCs w:val="21"/>
          <w:highlight w:val="none"/>
          <w:u w:val="none"/>
          <w:shd w:val="clear" w:color="auto" w:fill="auto"/>
          <w:lang w:val="zh-TW" w:eastAsia="zh-CN" w:bidi="zh-T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none"/>
      <w:pStyle w:val="2"/>
      <w:suff w:val="nothing"/>
      <w:lvlText w:val=""/>
      <w:lvlJc w:val="center"/>
      <w:pPr>
        <w:ind w:left="0" w:firstLine="0"/>
      </w:pPr>
      <w:rPr>
        <w:rFonts w:hint="default" w:ascii="Calibri" w:hAnsi="Calibri" w:eastAsia="黑体"/>
        <w:b w:val="0"/>
        <w:i w:val="0"/>
        <w:caps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4DFC6910"/>
    <w:multiLevelType w:val="singleLevel"/>
    <w:tmpl w:val="4DFC691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86CE8"/>
    <w:rsid w:val="178169D1"/>
    <w:rsid w:val="1BB22192"/>
    <w:rsid w:val="1C2004DA"/>
    <w:rsid w:val="2B6C6F30"/>
    <w:rsid w:val="377A5619"/>
    <w:rsid w:val="3B9374AC"/>
    <w:rsid w:val="3BB8180B"/>
    <w:rsid w:val="4A8F14C8"/>
    <w:rsid w:val="55F054E2"/>
    <w:rsid w:val="5B6457BB"/>
    <w:rsid w:val="6C3913E3"/>
    <w:rsid w:val="6D433B37"/>
    <w:rsid w:val="74BD3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sz w:val="24"/>
      <w:szCs w:val="24"/>
      <w:lang w:val="en-US" w:eastAsia="zh-CN" w:bidi="ar-SA"/>
    </w:rPr>
  </w:style>
  <w:style w:type="paragraph" w:styleId="2">
    <w:name w:val="heading 1"/>
    <w:basedOn w:val="1"/>
    <w:next w:val="1"/>
    <w:qFormat/>
    <w:uiPriority w:val="9"/>
    <w:pPr>
      <w:keepNext/>
      <w:numPr>
        <w:ilvl w:val="0"/>
        <w:numId w:val="1"/>
      </w:numPr>
      <w:spacing w:before="50" w:beforeLines="50" w:after="50" w:afterLines="50"/>
      <w:jc w:val="center"/>
      <w:outlineLvl w:val="0"/>
    </w:pPr>
    <w:rPr>
      <w:rFonts w:eastAsia="黑体"/>
      <w:bCs/>
      <w:kern w:val="36"/>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left"/>
    </w:pPr>
    <w:rPr>
      <w:rFonts w:ascii="Copperplate Gothic Bold" w:hAnsi="Copperplate Gothic Bold"/>
      <w:sz w:val="28"/>
    </w:rPr>
  </w:style>
  <w:style w:type="paragraph" w:styleId="4">
    <w:name w:val="footer"/>
    <w:basedOn w:val="1"/>
    <w:qFormat/>
    <w:uiPriority w:val="99"/>
    <w:pPr>
      <w:tabs>
        <w:tab w:val="center" w:pos="4153"/>
        <w:tab w:val="right" w:pos="8306"/>
      </w:tabs>
      <w:snapToGrid w:val="0"/>
      <w:spacing w:line="240" w:lineRule="atLeast"/>
    </w:pPr>
    <w:rPr>
      <w:sz w:val="18"/>
      <w:szCs w:val="18"/>
    </w:rPr>
  </w:style>
  <w:style w:type="paragraph" w:styleId="5">
    <w:name w:val="Body Text First Indent"/>
    <w:basedOn w:val="3"/>
    <w:unhideWhenUsed/>
    <w:qFormat/>
    <w:uiPriority w:val="99"/>
    <w:pPr>
      <w:spacing w:after="120" w:line="240" w:lineRule="auto"/>
      <w:ind w:firstLine="420" w:firstLineChars="100"/>
    </w:pPr>
    <w:rPr>
      <w:rFonts w:ascii="Times New Roman" w:hAnsi="Times New Roman"/>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99"/>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3274</Words>
  <Characters>3341</Characters>
  <Lines>0</Lines>
  <Paragraphs>0</Paragraphs>
  <TotalTime>0</TotalTime>
  <ScaleCrop>false</ScaleCrop>
  <LinksUpToDate>false</LinksUpToDate>
  <CharactersWithSpaces>3471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2026-07-28T10:56:00Z</dcterms:created>
  <dc:creator>Administrator</dc:creator>
  <cp:lastModifiedBy>WPS_1646190872</cp:lastModifiedBy>
  <dcterms:modified xsi:type="dcterms:W3CDTF">2026-09-07T09:34:25Z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eyJoZGlkIjoiMGJiZjlkYThiNWIxMTczOThlMGQ2Y2VhMmVjNTExNGQiLCJ1c2VySWQiOiIxMzM0MjkzODc0In0=</vt:lpwstr>
  </property>
  <property fmtid="{D5CDD505-2E9C-101B-9397-08002B2CF9AE}" pid="4" name="ICV">
    <vt:lpwstr>58CD34C694124A079E58F43860346F76_12</vt:lpwstr>
  </property>
</Properties>
</file>