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0" w:lineRule="exact"/>
        <w:rPr>
          <w:rFonts w:hint="default" w:ascii="仿宋" w:hAnsi="仿宋" w:eastAsia="仿宋" w:cs="仿宋"/>
          <w:b/>
          <w:color w:val="auto"/>
          <w:sz w:val="30"/>
          <w:szCs w:val="30"/>
          <w:lang w:val="en-US"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HTZB2026-AK-024</w:t>
      </w: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jc w:val="center"/>
        <w:rPr>
          <w:rFonts w:hint="eastAsia" w:ascii="仿宋" w:hAnsi="仿宋" w:eastAsia="仿宋" w:cs="仿宋"/>
          <w:b/>
          <w:color w:val="auto"/>
          <w:sz w:val="36"/>
          <w:szCs w:val="36"/>
        </w:rPr>
      </w:pPr>
      <w:bookmarkStart w:id="0" w:name="OLE_LINK2"/>
    </w:p>
    <w:p>
      <w:pPr>
        <w:pStyle w:val="10"/>
        <w:rPr>
          <w:rFonts w:hint="eastAsia" w:ascii="仿宋" w:hAnsi="仿宋" w:eastAsia="仿宋" w:cs="仿宋"/>
          <w:b/>
          <w:color w:val="auto"/>
          <w:sz w:val="36"/>
          <w:szCs w:val="36"/>
        </w:rPr>
      </w:pPr>
    </w:p>
    <w:p>
      <w:pPr>
        <w:rPr>
          <w:rFonts w:hint="eastAsia" w:ascii="仿宋" w:hAnsi="仿宋" w:eastAsia="仿宋" w:cs="仿宋"/>
          <w:b/>
          <w:color w:val="auto"/>
          <w:sz w:val="36"/>
          <w:szCs w:val="36"/>
        </w:rPr>
      </w:pPr>
    </w:p>
    <w:p>
      <w:pPr>
        <w:pStyle w:val="10"/>
        <w:rPr>
          <w:rFonts w:hint="eastAsia"/>
          <w:color w:val="auto"/>
        </w:rPr>
      </w:pPr>
    </w:p>
    <w:p>
      <w:pPr>
        <w:adjustRightInd w:val="0"/>
        <w:snapToGrid w:val="0"/>
        <w:spacing w:line="360" w:lineRule="auto"/>
        <w:jc w:val="center"/>
        <w:rPr>
          <w:rFonts w:hint="eastAsia" w:ascii="仿宋" w:hAnsi="仿宋" w:eastAsia="仿宋" w:cs="仿宋"/>
          <w:b/>
          <w:color w:val="auto"/>
          <w:sz w:val="36"/>
          <w:szCs w:val="36"/>
        </w:rPr>
      </w:pPr>
    </w:p>
    <w:bookmarkEnd w:id="0"/>
    <w:p>
      <w:pPr>
        <w:widowControl w:val="0"/>
        <w:spacing w:line="360" w:lineRule="auto"/>
        <w:jc w:val="center"/>
        <w:rPr>
          <w:rFonts w:hint="eastAsia" w:ascii="仿宋" w:hAnsi="仿宋" w:eastAsia="仿宋" w:cs="仿宋"/>
          <w:b/>
          <w:color w:val="auto"/>
          <w:sz w:val="44"/>
          <w:szCs w:val="44"/>
          <w:lang w:eastAsia="zh-CN"/>
        </w:rPr>
      </w:pPr>
      <w:r>
        <w:rPr>
          <w:rFonts w:hint="eastAsia" w:ascii="仿宋" w:hAnsi="仿宋" w:eastAsia="仿宋" w:cs="仿宋"/>
          <w:b/>
          <w:color w:val="auto"/>
          <w:sz w:val="44"/>
          <w:szCs w:val="44"/>
          <w:lang w:eastAsia="zh-CN"/>
        </w:rPr>
        <w:t>平利县2026年公共数字文化云建设项目</w:t>
      </w:r>
    </w:p>
    <w:p>
      <w:pPr>
        <w:widowControl w:val="0"/>
        <w:spacing w:line="360" w:lineRule="auto"/>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竞争性磋商文件</w:t>
      </w: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ind w:firstLine="1555" w:firstLineChars="445"/>
        <w:rPr>
          <w:rFonts w:hint="eastAsia" w:ascii="仿宋" w:hAnsi="仿宋" w:eastAsia="仿宋" w:cs="仿宋"/>
          <w:b/>
          <w:color w:val="auto"/>
          <w:spacing w:val="-6"/>
          <w:sz w:val="36"/>
          <w:szCs w:val="36"/>
        </w:rPr>
      </w:pPr>
    </w:p>
    <w:p>
      <w:pPr>
        <w:adjustRightInd w:val="0"/>
        <w:snapToGrid w:val="0"/>
        <w:spacing w:line="360" w:lineRule="auto"/>
        <w:rPr>
          <w:rFonts w:hint="eastAsia" w:ascii="仿宋" w:hAnsi="仿宋" w:eastAsia="仿宋" w:cs="仿宋"/>
          <w:b/>
          <w:color w:val="auto"/>
          <w:sz w:val="30"/>
        </w:rPr>
      </w:pPr>
    </w:p>
    <w:p>
      <w:pPr>
        <w:adjustRightInd w:val="0"/>
        <w:snapToGrid w:val="0"/>
        <w:spacing w:line="360" w:lineRule="auto"/>
        <w:rPr>
          <w:rFonts w:hint="eastAsia" w:ascii="仿宋" w:hAnsi="仿宋" w:eastAsia="仿宋" w:cs="仿宋"/>
          <w:b/>
          <w:color w:val="auto"/>
          <w:sz w:val="30"/>
        </w:rPr>
      </w:pPr>
    </w:p>
    <w:p>
      <w:pPr>
        <w:keepNext w:val="0"/>
        <w:keepLines w:val="0"/>
        <w:pageBreakBefore w:val="0"/>
        <w:widowControl/>
        <w:kinsoku/>
        <w:wordWrap/>
        <w:overflowPunct/>
        <w:topLinePunct w:val="0"/>
        <w:autoSpaceDE/>
        <w:autoSpaceDN/>
        <w:bidi w:val="0"/>
        <w:adjustRightInd/>
        <w:snapToGrid/>
        <w:spacing w:line="480" w:lineRule="auto"/>
        <w:ind w:firstLine="1928" w:firstLineChars="600"/>
        <w:jc w:val="both"/>
        <w:textAlignment w:val="auto"/>
        <w:rPr>
          <w:rFonts w:hint="eastAsia" w:ascii="仿宋" w:hAnsi="仿宋" w:eastAsia="仿宋" w:cs="仿宋"/>
          <w:b/>
          <w:bCs/>
          <w:color w:val="auto"/>
          <w:sz w:val="32"/>
          <w:szCs w:val="20"/>
          <w:lang w:val="en-US" w:eastAsia="zh-CN"/>
        </w:rPr>
      </w:pPr>
      <w:r>
        <w:rPr>
          <w:rFonts w:hint="eastAsia" w:ascii="仿宋" w:hAnsi="仿宋" w:eastAsia="仿宋" w:cs="仿宋"/>
          <w:b/>
          <w:bCs/>
          <w:color w:val="auto"/>
          <w:sz w:val="32"/>
          <w:szCs w:val="20"/>
          <w:lang w:val="en-US" w:eastAsia="zh-CN"/>
        </w:rPr>
        <w:t>采 购 人：平利县文化馆</w:t>
      </w:r>
    </w:p>
    <w:p>
      <w:pPr>
        <w:keepNext w:val="0"/>
        <w:keepLines w:val="0"/>
        <w:pageBreakBefore w:val="0"/>
        <w:widowControl/>
        <w:kinsoku/>
        <w:wordWrap/>
        <w:overflowPunct/>
        <w:topLinePunct w:val="0"/>
        <w:autoSpaceDE/>
        <w:autoSpaceDN/>
        <w:bidi w:val="0"/>
        <w:adjustRightInd/>
        <w:snapToGrid/>
        <w:spacing w:line="480" w:lineRule="auto"/>
        <w:ind w:firstLine="1928" w:firstLineChars="600"/>
        <w:jc w:val="both"/>
        <w:textAlignment w:val="auto"/>
        <w:rPr>
          <w:rFonts w:hint="eastAsia" w:ascii="仿宋" w:hAnsi="仿宋" w:eastAsia="仿宋" w:cs="仿宋"/>
          <w:b/>
          <w:bCs/>
          <w:color w:val="auto"/>
          <w:sz w:val="32"/>
          <w:szCs w:val="20"/>
          <w:lang w:val="en-US" w:eastAsia="zh-CN"/>
        </w:rPr>
      </w:pPr>
      <w:r>
        <w:rPr>
          <w:rFonts w:hint="eastAsia" w:ascii="仿宋" w:hAnsi="仿宋" w:eastAsia="仿宋" w:cs="仿宋"/>
          <w:b/>
          <w:bCs/>
          <w:color w:val="auto"/>
          <w:sz w:val="32"/>
          <w:szCs w:val="20"/>
          <w:lang w:val="en-US" w:eastAsia="zh-CN"/>
        </w:rPr>
        <w:t>代理机构：宏泰项目管理有限公司</w:t>
      </w:r>
    </w:p>
    <w:p>
      <w:pPr>
        <w:keepNext w:val="0"/>
        <w:keepLines w:val="0"/>
        <w:pageBreakBefore w:val="0"/>
        <w:widowControl/>
        <w:kinsoku/>
        <w:wordWrap/>
        <w:overflowPunct/>
        <w:topLinePunct w:val="0"/>
        <w:autoSpaceDE/>
        <w:autoSpaceDN/>
        <w:bidi w:val="0"/>
        <w:adjustRightInd/>
        <w:snapToGrid/>
        <w:spacing w:line="480" w:lineRule="auto"/>
        <w:ind w:firstLine="3213" w:firstLineChars="1000"/>
        <w:jc w:val="both"/>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lang w:val="zh-CN"/>
        </w:rPr>
        <w:t>二</w:t>
      </w:r>
      <w:r>
        <w:rPr>
          <w:rFonts w:hint="eastAsia" w:ascii="仿宋" w:hAnsi="仿宋" w:eastAsia="仿宋" w:cs="仿宋"/>
          <w:b/>
          <w:color w:val="auto"/>
          <w:sz w:val="32"/>
          <w:szCs w:val="32"/>
          <w:lang w:val="en-US" w:eastAsia="zh-CN"/>
        </w:rPr>
        <w:t>〇</w:t>
      </w:r>
      <w:r>
        <w:rPr>
          <w:rFonts w:hint="eastAsia" w:ascii="仿宋" w:hAnsi="仿宋" w:eastAsia="仿宋" w:cs="仿宋"/>
          <w:b/>
          <w:color w:val="auto"/>
          <w:sz w:val="32"/>
          <w:szCs w:val="32"/>
          <w:lang w:val="zh-CN"/>
        </w:rPr>
        <w:t>二</w:t>
      </w:r>
      <w:r>
        <w:rPr>
          <w:rFonts w:hint="eastAsia" w:ascii="仿宋" w:hAnsi="仿宋" w:eastAsia="仿宋" w:cs="仿宋"/>
          <w:b/>
          <w:color w:val="auto"/>
          <w:sz w:val="32"/>
          <w:szCs w:val="32"/>
          <w:lang w:val="en-US" w:eastAsia="zh-CN"/>
        </w:rPr>
        <w:t>六</w:t>
      </w:r>
      <w:r>
        <w:rPr>
          <w:rFonts w:hint="eastAsia" w:ascii="仿宋" w:hAnsi="仿宋" w:eastAsia="仿宋" w:cs="仿宋"/>
          <w:b/>
          <w:color w:val="auto"/>
          <w:sz w:val="32"/>
          <w:szCs w:val="32"/>
          <w:lang w:val="zh-CN"/>
        </w:rPr>
        <w:t>年</w:t>
      </w:r>
      <w:r>
        <w:rPr>
          <w:rFonts w:hint="eastAsia" w:ascii="仿宋" w:hAnsi="仿宋" w:eastAsia="仿宋" w:cs="仿宋"/>
          <w:b/>
          <w:color w:val="auto"/>
          <w:sz w:val="32"/>
          <w:szCs w:val="32"/>
          <w:lang w:val="en-US" w:eastAsia="zh-CN"/>
        </w:rPr>
        <w:t>九</w:t>
      </w:r>
      <w:r>
        <w:rPr>
          <w:rFonts w:hint="eastAsia" w:ascii="仿宋" w:hAnsi="仿宋" w:eastAsia="仿宋" w:cs="仿宋"/>
          <w:b/>
          <w:color w:val="auto"/>
          <w:sz w:val="32"/>
          <w:szCs w:val="32"/>
          <w:lang w:val="zh-CN"/>
        </w:rPr>
        <w:t>月</w:t>
      </w:r>
    </w:p>
    <w:p>
      <w:pPr>
        <w:ind w:firstLine="3036" w:firstLineChars="945"/>
        <w:rPr>
          <w:rFonts w:hint="eastAsia" w:ascii="仿宋" w:hAnsi="仿宋" w:eastAsia="仿宋" w:cs="仿宋"/>
          <w:b/>
          <w:color w:val="auto"/>
          <w:sz w:val="32"/>
          <w:szCs w:val="32"/>
        </w:rPr>
      </w:pPr>
    </w:p>
    <w:p>
      <w:pPr>
        <w:adjustRightInd w:val="0"/>
        <w:snapToGrid w:val="0"/>
        <w:spacing w:line="600" w:lineRule="exact"/>
        <w:jc w:val="center"/>
        <w:rPr>
          <w:rFonts w:hint="eastAsia" w:ascii="仿宋" w:hAnsi="仿宋" w:eastAsia="仿宋" w:cs="仿宋"/>
          <w:b/>
          <w:color w:val="auto"/>
          <w:sz w:val="44"/>
          <w:szCs w:val="44"/>
        </w:rPr>
        <w:sectPr>
          <w:headerReference r:id="rId3" w:type="default"/>
          <w:footerReference r:id="rId4" w:type="default"/>
          <w:pgSz w:w="11906" w:h="16838"/>
          <w:pgMar w:top="1418" w:right="1247" w:bottom="1418" w:left="1588" w:header="851" w:footer="992" w:gutter="0"/>
          <w:pgNumType w:fmt="decimal"/>
          <w:cols w:space="720" w:num="1"/>
          <w:titlePg/>
          <w:docGrid w:linePitch="312" w:charSpace="0"/>
        </w:sectPr>
      </w:pPr>
    </w:p>
    <w:p>
      <w:pPr>
        <w:pStyle w:val="36"/>
        <w:rPr>
          <w:rFonts w:hint="eastAsia" w:ascii="仿宋" w:hAnsi="仿宋" w:eastAsia="仿宋" w:cs="仿宋"/>
          <w:color w:val="auto"/>
        </w:rPr>
      </w:pPr>
    </w:p>
    <w:p>
      <w:pPr>
        <w:adjustRightInd w:val="0"/>
        <w:snapToGrid w:val="0"/>
        <w:spacing w:line="600" w:lineRule="exact"/>
        <w:jc w:val="center"/>
        <w:outlineLvl w:val="9"/>
        <w:rPr>
          <w:rFonts w:hint="eastAsia" w:ascii="仿宋" w:hAnsi="仿宋" w:eastAsia="仿宋" w:cs="仿宋"/>
          <w:b/>
          <w:color w:val="auto"/>
          <w:sz w:val="36"/>
          <w:szCs w:val="36"/>
        </w:rPr>
      </w:pPr>
    </w:p>
    <w:p>
      <w:pPr>
        <w:adjustRightInd w:val="0"/>
        <w:snapToGrid w:val="0"/>
        <w:spacing w:line="600" w:lineRule="exact"/>
        <w:jc w:val="center"/>
        <w:outlineLvl w:val="9"/>
        <w:rPr>
          <w:rFonts w:hint="eastAsia" w:ascii="仿宋" w:hAnsi="仿宋" w:eastAsia="仿宋" w:cs="仿宋"/>
          <w:b/>
          <w:color w:val="auto"/>
          <w:sz w:val="36"/>
          <w:szCs w:val="36"/>
        </w:rPr>
      </w:pPr>
    </w:p>
    <w:p>
      <w:pPr>
        <w:adjustRightInd w:val="0"/>
        <w:snapToGrid w:val="0"/>
        <w:spacing w:line="600" w:lineRule="exact"/>
        <w:jc w:val="center"/>
        <w:outlineLvl w:val="0"/>
        <w:rPr>
          <w:rFonts w:hint="eastAsia" w:ascii="仿宋" w:hAnsi="仿宋" w:eastAsia="仿宋" w:cs="仿宋"/>
          <w:b/>
          <w:color w:val="auto"/>
          <w:sz w:val="36"/>
          <w:szCs w:val="36"/>
        </w:rPr>
      </w:pPr>
      <w:r>
        <w:rPr>
          <w:rFonts w:hint="eastAsia" w:ascii="仿宋" w:hAnsi="仿宋" w:eastAsia="仿宋" w:cs="仿宋"/>
          <w:b/>
          <w:color w:val="auto"/>
          <w:sz w:val="36"/>
          <w:szCs w:val="36"/>
        </w:rPr>
        <w:t>目  录</w:t>
      </w:r>
    </w:p>
    <w:p>
      <w:pPr>
        <w:adjustRightInd w:val="0"/>
        <w:snapToGrid w:val="0"/>
        <w:spacing w:line="600" w:lineRule="exact"/>
        <w:jc w:val="center"/>
        <w:rPr>
          <w:rFonts w:hint="eastAsia" w:ascii="仿宋" w:hAnsi="仿宋" w:eastAsia="仿宋" w:cs="仿宋"/>
          <w:b/>
          <w:color w:val="auto"/>
          <w:sz w:val="30"/>
        </w:rPr>
      </w:pPr>
    </w:p>
    <w:p>
      <w:pPr>
        <w:adjustRightInd w:val="0"/>
        <w:snapToGrid w:val="0"/>
        <w:spacing w:line="360" w:lineRule="auto"/>
        <w:rPr>
          <w:rFonts w:hint="eastAsia" w:ascii="仿宋" w:hAnsi="仿宋" w:eastAsia="仿宋" w:cs="仿宋"/>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第一部分    磋商公告</w:t>
      </w:r>
    </w:p>
    <w:p>
      <w:pPr>
        <w:adjustRightInd w:val="0"/>
        <w:snapToGrid w:val="0"/>
        <w:spacing w:line="360" w:lineRule="auto"/>
        <w:jc w:val="center"/>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第二部分    磋商须知</w:t>
      </w:r>
    </w:p>
    <w:p>
      <w:pPr>
        <w:adjustRightInd w:val="0"/>
        <w:snapToGrid w:val="0"/>
        <w:spacing w:line="360" w:lineRule="auto"/>
        <w:jc w:val="center"/>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 xml:space="preserve">第三部分    </w:t>
      </w:r>
      <w:r>
        <w:rPr>
          <w:rFonts w:hint="eastAsia" w:ascii="仿宋" w:hAnsi="仿宋" w:eastAsia="仿宋" w:cs="仿宋"/>
          <w:b/>
          <w:color w:val="auto"/>
          <w:sz w:val="30"/>
          <w:szCs w:val="30"/>
          <w:lang w:eastAsia="zh-CN"/>
        </w:rPr>
        <w:t>采购内容及要求</w:t>
      </w:r>
    </w:p>
    <w:p>
      <w:pPr>
        <w:adjustRightInd w:val="0"/>
        <w:snapToGrid w:val="0"/>
        <w:spacing w:line="360" w:lineRule="auto"/>
        <w:ind w:firstLine="2548" w:firstLineChars="846"/>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lang w:val="en-US" w:eastAsia="zh-CN"/>
        </w:rPr>
        <w:t>第四部分    合同条款（参考）</w:t>
      </w:r>
    </w:p>
    <w:p>
      <w:pPr>
        <w:adjustRightInd w:val="0"/>
        <w:snapToGrid w:val="0"/>
        <w:spacing w:line="360" w:lineRule="auto"/>
        <w:ind w:firstLine="2548" w:firstLineChars="846"/>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lang w:val="en-US" w:eastAsia="zh-CN"/>
        </w:rPr>
        <w:t xml:space="preserve">第五部分    </w:t>
      </w:r>
      <w:r>
        <w:rPr>
          <w:rFonts w:hint="eastAsia" w:ascii="仿宋" w:hAnsi="仿宋" w:eastAsia="仿宋" w:cs="仿宋"/>
          <w:b/>
          <w:color w:val="auto"/>
          <w:sz w:val="30"/>
          <w:szCs w:val="30"/>
        </w:rPr>
        <w:t>磋商响应文件（格式）</w:t>
      </w:r>
    </w:p>
    <w:p>
      <w:pPr>
        <w:adjustRightInd w:val="0"/>
        <w:snapToGrid w:val="0"/>
        <w:spacing w:line="360" w:lineRule="auto"/>
        <w:ind w:firstLine="2548" w:firstLineChars="846"/>
        <w:rPr>
          <w:rFonts w:hint="eastAsia" w:ascii="仿宋" w:hAnsi="仿宋" w:eastAsia="仿宋" w:cs="仿宋"/>
          <w:b/>
          <w:color w:val="auto"/>
          <w:sz w:val="30"/>
          <w:szCs w:val="30"/>
        </w:rPr>
      </w:pPr>
    </w:p>
    <w:p>
      <w:pPr>
        <w:spacing w:line="360" w:lineRule="auto"/>
        <w:ind w:firstLine="2268" w:firstLineChars="945"/>
        <w:rPr>
          <w:rFonts w:hint="eastAsia" w:ascii="仿宋" w:hAnsi="仿宋" w:eastAsia="仿宋" w:cs="仿宋"/>
          <w:color w:val="auto"/>
        </w:rPr>
      </w:pPr>
    </w:p>
    <w:p>
      <w:pPr>
        <w:spacing w:line="360" w:lineRule="auto"/>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rPr>
          <w:rFonts w:hint="eastAsia" w:ascii="仿宋" w:hAnsi="仿宋" w:eastAsia="仿宋" w:cs="仿宋"/>
          <w:color w:val="auto"/>
        </w:rPr>
      </w:pPr>
    </w:p>
    <w:p>
      <w:pPr>
        <w:tabs>
          <w:tab w:val="right" w:pos="4860"/>
        </w:tabs>
        <w:adjustRightInd w:val="0"/>
        <w:snapToGrid w:val="0"/>
        <w:spacing w:line="360" w:lineRule="auto"/>
        <w:jc w:val="both"/>
        <w:rPr>
          <w:rFonts w:hint="eastAsia" w:ascii="仿宋" w:hAnsi="仿宋" w:eastAsia="仿宋" w:cs="仿宋"/>
          <w:b/>
          <w:color w:val="auto"/>
          <w:sz w:val="28"/>
          <w:szCs w:val="28"/>
        </w:rPr>
      </w:pPr>
    </w:p>
    <w:p>
      <w:pPr>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p>
    <w:p>
      <w:pPr>
        <w:pStyle w:val="54"/>
        <w:numPr>
          <w:ilvl w:val="0"/>
          <w:numId w:val="1"/>
        </w:numPr>
        <w:tabs>
          <w:tab w:val="right" w:pos="4860"/>
        </w:tabs>
        <w:adjustRightInd w:val="0"/>
        <w:snapToGrid w:val="0"/>
        <w:spacing w:line="360" w:lineRule="auto"/>
        <w:jc w:val="center"/>
        <w:outlineLvl w:val="0"/>
        <w:rPr>
          <w:rFonts w:hint="eastAsia" w:ascii="仿宋" w:hAnsi="仿宋" w:eastAsia="仿宋" w:cs="仿宋"/>
          <w:b/>
          <w:color w:val="auto"/>
          <w:sz w:val="24"/>
          <w:szCs w:val="24"/>
        </w:rPr>
      </w:pPr>
      <w:r>
        <w:rPr>
          <w:rFonts w:hint="eastAsia" w:ascii="仿宋" w:hAnsi="仿宋" w:eastAsia="仿宋" w:cs="仿宋"/>
          <w:b/>
          <w:color w:val="auto"/>
          <w:sz w:val="28"/>
          <w:szCs w:val="28"/>
        </w:rPr>
        <w:t xml:space="preserve"> 磋商公告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60" w:lineRule="exact"/>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项目概况</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平利县2026年公共数字文化云建设项目采购项目的潜在供应商应在宏泰项目管理有限公司获取采购文件，并于 2026年09月22日 14时30分 （北京时间）前提交响应文件。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一、项目基本情况</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项目编号：HTZB2026-AK-024</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项目名称：平利县2026年公共数字文化云建设项目</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采购方式：竞争性磋商</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预算金额：200,000.00元</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采购需求：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合同包1(平利县2026年公共数字文化云建设项目):</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合同包预算金额：200,000.00元</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合同包最高限价：200,000.00元</w:t>
      </w:r>
    </w:p>
    <w:tbl>
      <w:tblPr>
        <w:tblStyle w:val="27"/>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9"/>
        <w:gridCol w:w="2201"/>
        <w:gridCol w:w="2462"/>
        <w:gridCol w:w="877"/>
        <w:gridCol w:w="1633"/>
        <w:gridCol w:w="146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11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3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4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数量（单位）</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7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11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其他文化艺术服务</w:t>
            </w:r>
          </w:p>
        </w:tc>
        <w:tc>
          <w:tcPr>
            <w:tcW w:w="132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平利县2026年公共数字文化云建设项目</w:t>
            </w:r>
          </w:p>
        </w:tc>
        <w:tc>
          <w:tcPr>
            <w:tcW w:w="4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1(项)</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详见采购文件</w:t>
            </w:r>
          </w:p>
        </w:tc>
        <w:tc>
          <w:tcPr>
            <w:tcW w:w="7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righ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200,000.00</w:t>
            </w:r>
          </w:p>
        </w:tc>
      </w:tr>
    </w:tbl>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本合同包不接受联合体投标</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合同履行期限：详见文件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二、申请人的资格要求：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合同包1(平利县2026年公共数字文化云建设项目)落实政府采购政策需满足的资格要求如下:</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（1）《政府采购促进中小企业发展管理办法》（财库〔2020〕46号）；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（2）《财政部关于进一步加大政府采购支持中小企业力度的通知》（财库〔2022〕19号）；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（3）陕西省财政厅《关于进一步加强政府绿色采购有关问题的通知》陕财办采〔2021〕29号；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（4）《财政部环保总局关于环境标志产品政府采购实施的意见》（财库〔2006〕90号）；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（5）《财政部国家发展改革委关于印发〈节能产品政府采购实施意见〉的通知》（财库〔2004〕185号）；《国务院办公厅关于建立政府强制采购节能产品制度的通知》（国办发〔2007〕51号）；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（6）《财政部 司法部关于政府采购支持监狱企业发展有关问题的通知》（财库〔2014〕68号）；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（7）《三部门联合发布关于促进残疾人就业政府采购政策的通知》（财库〔2017〕141号）；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（8）陕西省财政厅关于印发《陕西省中小企业政府采购信用融资办法》（陕财办采〔2018〕23号）；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9）财政部、发展改革委、生态环境部、市场监管总局《关于调整优化节能产品环境标志产品政府采购执行机制的通知》（财库〔2019〕9号）；《关于运用政府采购政策支持乡村产业振兴的通知》（财库〔2021〕19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（10）其他需要落实的政府采购政策。</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合同包1(平利县2026年公共数字文化云建设项目)特定资格要求如下:</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（1）具有独立承担民事责任能力的法人或其他组织，并出具合法有效的营业执照或事业单位法人证书等国家规定的相关证明；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（2）法定代表人授权书及被授权人身份证复印件(法定代表人参加只需提供身份证复印件）；</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（3）提供2025年度经审计的完整财务报告(成立时间至首次递交响应文件截止时间不足一年的，可提供成立后任意时段的资产负债表），或开标前六个月内其基本存款账户开户银行出具的资信证明；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（4）提供2026年3月至今已缴存的至少一个月的社会保障资金缴存单据或社保机构开具的社会保险参保缴费情况证明，依法不需要缴纳社会保障资金的应提供相关证明文件；</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（5）提供2026年3月至今已缴存的至少一个月的纳税证明或完税证明，纳税证明或完税证明上应有代收机构或税务机关的公章，依法免税的应提供相关证明文件；</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（6）参加政府采购活动近三年内，在经营活动中没有重大违法记录声明；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（8）本项目专门面向中小企业采购，供应商需提供《中小企业声明函》；</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（9）本项目不接受联合体投标。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三、获取采购文件</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2026年09月10日 至 2026年09月16日 ，每天上午 09:00:00 至 12:00:00 ，下午 14:00:00 至 18:00:00 （北京时间）</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途径：宏泰项目管理有限公司</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方式：现场获取</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售价： 0元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四、响应文件提交</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截止时间： 2026年09月22日 14时30分00秒 （北京时间）</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地点：平利县财政局5楼502室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五、开启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2026年09月22日 14时30分00秒 （北京时间）</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地点：平利县财政局5楼502室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六、公告期限</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自本公告发布之日起3个工作日。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七、其他补充事宜</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1.请供应商按照陕西省财政厅关于政府采购供应商注册登记有关事项的通知中的要求，通过陕西省政府采购网 （http://www.ccgp-shaanxi.gov.cn/） 注册登记加入陕西省政府采购供应商库；2确认参加投标者，请于2026年09月10日至2026年09月16日，每日上午09时00分至12时00分，下午14时00分至18时00分（北京时间，下同节假日除外），将法人授权委托书和被授权人身份证复印件、营业执照加盖单位红色公章递交至宏泰项目管理有限公司（或邮箱3381308375@qq.com）进行登记并领取磋商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八、对本次招标提出询问，请按以下方式联系。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名称：平利县文化馆（本级）</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地址：陕西省平利县文化活动中心</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联系方式：13629157577</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名称：宏泰项目管理有限公司</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地址：平利县城关镇莲花巷19号</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联系方式：18009153148</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项目联系人：文娅青</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i w:val="0"/>
          <w:iCs w:val="0"/>
          <w:caps w:val="0"/>
          <w:color w:val="auto"/>
          <w:spacing w:val="0"/>
          <w:sz w:val="24"/>
          <w:szCs w:val="24"/>
          <w:shd w:val="clear" w:fill="FFFFFF"/>
        </w:rPr>
        <w:t>电话：</w:t>
      </w:r>
      <w:r>
        <w:rPr>
          <w:rFonts w:hint="eastAsia" w:ascii="仿宋" w:hAnsi="仿宋" w:eastAsia="仿宋" w:cs="仿宋"/>
          <w:i w:val="0"/>
          <w:iCs w:val="0"/>
          <w:caps w:val="0"/>
          <w:color w:val="auto"/>
          <w:spacing w:val="0"/>
          <w:sz w:val="24"/>
          <w:szCs w:val="24"/>
          <w:shd w:val="clear" w:fill="FFFFFF"/>
          <w:lang w:val="en-US" w:eastAsia="zh-CN"/>
        </w:rPr>
        <w:t>18009153148</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right"/>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宏泰项目管理有限公司</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right"/>
        <w:textAlignment w:val="auto"/>
        <w:rPr>
          <w:rFonts w:hint="eastAsia" w:ascii="仿宋" w:hAnsi="仿宋" w:eastAsia="仿宋" w:cs="仿宋"/>
          <w:i w:val="0"/>
          <w:iCs w:val="0"/>
          <w:caps w:val="0"/>
          <w:color w:val="auto"/>
          <w:spacing w:val="0"/>
          <w:sz w:val="24"/>
          <w:szCs w:val="24"/>
        </w:rPr>
      </w:pPr>
    </w:p>
    <w:p>
      <w:pPr>
        <w:keepNext w:val="0"/>
        <w:keepLines w:val="0"/>
        <w:pageBreakBefore w:val="0"/>
        <w:widowControl w:val="0"/>
        <w:kinsoku/>
        <w:overflowPunct/>
        <w:topLinePunct w:val="0"/>
        <w:autoSpaceDE/>
        <w:autoSpaceDN/>
        <w:bidi w:val="0"/>
        <w:adjustRightInd/>
        <w:snapToGrid/>
        <w:spacing w:line="360" w:lineRule="exact"/>
        <w:jc w:val="right"/>
        <w:textAlignment w:val="auto"/>
        <w:rPr>
          <w:rFonts w:hint="eastAsia" w:ascii="仿宋" w:hAnsi="仿宋" w:eastAsia="仿宋" w:cs="仿宋"/>
          <w:i w:val="0"/>
          <w:iCs w:val="0"/>
          <w:caps w:val="0"/>
          <w:color w:val="auto"/>
          <w:spacing w:val="0"/>
          <w:kern w:val="2"/>
          <w:sz w:val="24"/>
          <w:szCs w:val="24"/>
          <w:shd w:val="clear" w:fill="FFFFFF"/>
          <w:lang w:val="en-US" w:eastAsia="zh-CN"/>
        </w:rPr>
      </w:pPr>
      <w:r>
        <w:rPr>
          <w:rFonts w:hint="eastAsia" w:ascii="仿宋" w:hAnsi="仿宋" w:eastAsia="仿宋" w:cs="仿宋"/>
          <w:i w:val="0"/>
          <w:iCs w:val="0"/>
          <w:caps w:val="0"/>
          <w:color w:val="auto"/>
          <w:spacing w:val="0"/>
          <w:kern w:val="2"/>
          <w:sz w:val="24"/>
          <w:szCs w:val="24"/>
          <w:shd w:val="clear" w:fill="FFFFFF"/>
          <w:lang w:val="en-US" w:eastAsia="zh-CN"/>
        </w:rPr>
        <w:t>2026年09月10日</w:t>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tabs>
          <w:tab w:val="right" w:pos="4860"/>
        </w:tabs>
        <w:adjustRightInd w:val="0"/>
        <w:snapToGrid w:val="0"/>
        <w:spacing w:line="520" w:lineRule="exact"/>
        <w:jc w:val="center"/>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第二部分 磋商须知</w:t>
      </w:r>
    </w:p>
    <w:p>
      <w:pPr>
        <w:spacing w:line="440" w:lineRule="exact"/>
        <w:ind w:firstLine="480" w:firstLineChars="200"/>
        <w:rPr>
          <w:rFonts w:hint="eastAsia" w:ascii="仿宋" w:hAnsi="仿宋" w:eastAsia="仿宋" w:cs="仿宋"/>
          <w:snapToGrid w:val="0"/>
          <w:color w:val="auto"/>
          <w:sz w:val="24"/>
        </w:rPr>
      </w:pPr>
      <w:r>
        <w:rPr>
          <w:rFonts w:hint="eastAsia" w:ascii="仿宋" w:hAnsi="仿宋" w:eastAsia="仿宋" w:cs="仿宋"/>
          <w:snapToGrid w:val="0"/>
          <w:color w:val="auto"/>
          <w:sz w:val="24"/>
        </w:rPr>
        <w:t>本次磋商依据《中华人民共和国政府采购法》《</w:t>
      </w:r>
      <w:r>
        <w:rPr>
          <w:rFonts w:hint="eastAsia" w:ascii="仿宋" w:hAnsi="仿宋" w:eastAsia="仿宋" w:cs="仿宋"/>
          <w:snapToGrid w:val="0"/>
          <w:color w:val="auto"/>
          <w:sz w:val="24"/>
          <w:lang w:eastAsia="zh-CN"/>
        </w:rPr>
        <w:t>中华人民共和国政府采购法实施条例</w:t>
      </w:r>
      <w:r>
        <w:rPr>
          <w:rFonts w:hint="eastAsia" w:ascii="仿宋" w:hAnsi="仿宋" w:eastAsia="仿宋" w:cs="仿宋"/>
          <w:snapToGrid w:val="0"/>
          <w:color w:val="auto"/>
          <w:sz w:val="24"/>
        </w:rPr>
        <w:t>》《政府采购竞争性磋商采购方式管理暂行办法》及国家现行有关法律法规执行。</w:t>
      </w:r>
    </w:p>
    <w:p>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采购人、采购代理机构</w:t>
      </w:r>
    </w:p>
    <w:p>
      <w:pPr>
        <w:spacing w:line="440" w:lineRule="exact"/>
        <w:ind w:firstLine="480" w:firstLineChars="200"/>
        <w:rPr>
          <w:rFonts w:hint="eastAsia" w:ascii="仿宋" w:hAnsi="仿宋" w:eastAsia="仿宋" w:cs="仿宋"/>
          <w:snapToGrid w:val="0"/>
          <w:color w:val="auto"/>
          <w:sz w:val="24"/>
          <w:lang w:eastAsia="zh-CN"/>
        </w:rPr>
      </w:pPr>
      <w:r>
        <w:rPr>
          <w:rFonts w:hint="eastAsia" w:ascii="仿宋" w:hAnsi="仿宋" w:eastAsia="仿宋" w:cs="仿宋"/>
          <w:snapToGrid w:val="0"/>
          <w:color w:val="auto"/>
          <w:sz w:val="24"/>
        </w:rPr>
        <w:t>1.1采   购   人：</w:t>
      </w:r>
      <w:r>
        <w:rPr>
          <w:rFonts w:hint="eastAsia" w:ascii="仿宋" w:hAnsi="仿宋" w:eastAsia="仿宋" w:cs="仿宋"/>
          <w:i w:val="0"/>
          <w:iCs w:val="0"/>
          <w:caps w:val="0"/>
          <w:color w:val="auto"/>
          <w:spacing w:val="0"/>
          <w:sz w:val="24"/>
          <w:szCs w:val="24"/>
          <w:shd w:val="clear" w:fill="FFFFFF"/>
          <w:vertAlign w:val="baseline"/>
          <w:lang w:eastAsia="zh-CN"/>
        </w:rPr>
        <w:t>平利县文化馆</w:t>
      </w:r>
    </w:p>
    <w:p>
      <w:pPr>
        <w:spacing w:line="440" w:lineRule="exact"/>
        <w:ind w:firstLine="480" w:firstLineChars="200"/>
        <w:rPr>
          <w:rFonts w:hint="default" w:ascii="仿宋" w:hAnsi="仿宋" w:eastAsia="仿宋" w:cs="仿宋"/>
          <w:snapToGrid w:val="0"/>
          <w:color w:val="auto"/>
          <w:sz w:val="24"/>
          <w:lang w:val="en-US" w:eastAsia="zh-CN"/>
        </w:rPr>
      </w:pPr>
      <w:r>
        <w:rPr>
          <w:rFonts w:hint="eastAsia" w:ascii="仿宋" w:hAnsi="仿宋" w:eastAsia="仿宋" w:cs="仿宋"/>
          <w:snapToGrid w:val="0"/>
          <w:color w:val="auto"/>
          <w:sz w:val="24"/>
        </w:rPr>
        <w:t>1.2采购代理机构：</w:t>
      </w:r>
      <w:r>
        <w:rPr>
          <w:rFonts w:hint="eastAsia" w:ascii="仿宋" w:hAnsi="仿宋" w:eastAsia="仿宋" w:cs="仿宋"/>
          <w:snapToGrid w:val="0"/>
          <w:color w:val="auto"/>
          <w:sz w:val="24"/>
          <w:lang w:val="en-US" w:eastAsia="zh-CN"/>
        </w:rPr>
        <w:t>宏泰项目管理有限公司</w:t>
      </w:r>
    </w:p>
    <w:p>
      <w:pPr>
        <w:keepNext w:val="0"/>
        <w:keepLines w:val="0"/>
        <w:pageBreakBefore w:val="0"/>
        <w:widowControl w:val="0"/>
        <w:kinsoku/>
        <w:wordWrap/>
        <w:overflowPunct/>
        <w:topLinePunct w:val="0"/>
        <w:bidi w:val="0"/>
        <w:spacing w:line="360" w:lineRule="auto"/>
        <w:ind w:firstLine="482" w:firstLineChars="200"/>
        <w:textAlignment w:val="auto"/>
        <w:outlineLvl w:val="1"/>
        <w:rPr>
          <w:rFonts w:hint="eastAsia" w:ascii="仿宋" w:hAnsi="仿宋" w:eastAsia="仿宋" w:cs="仿宋"/>
          <w:b/>
          <w:color w:val="auto"/>
          <w:sz w:val="24"/>
          <w:shd w:val="clear" w:color="auto" w:fill="FFFFFF"/>
        </w:rPr>
      </w:pPr>
      <w:r>
        <w:rPr>
          <w:rFonts w:hint="eastAsia" w:ascii="仿宋" w:hAnsi="仿宋" w:eastAsia="仿宋" w:cs="仿宋"/>
          <w:b/>
          <w:color w:val="auto"/>
          <w:sz w:val="24"/>
          <w:shd w:val="clear" w:color="auto" w:fill="FFFFFF"/>
        </w:rPr>
        <w:t>二、采购内容及预算</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vertAlign w:val="baseline"/>
          <w:lang w:eastAsia="zh-CN"/>
        </w:rPr>
      </w:pPr>
      <w:r>
        <w:rPr>
          <w:rFonts w:hint="eastAsia" w:ascii="仿宋" w:hAnsi="仿宋" w:eastAsia="仿宋" w:cs="仿宋"/>
          <w:color w:val="auto"/>
          <w:sz w:val="24"/>
        </w:rPr>
        <w:t>采购内容：</w:t>
      </w:r>
      <w:r>
        <w:rPr>
          <w:rFonts w:hint="eastAsia" w:ascii="仿宋" w:hAnsi="仿宋" w:eastAsia="仿宋" w:cs="仿宋"/>
          <w:i w:val="0"/>
          <w:iCs w:val="0"/>
          <w:caps w:val="0"/>
          <w:color w:val="auto"/>
          <w:spacing w:val="0"/>
          <w:sz w:val="24"/>
          <w:szCs w:val="24"/>
          <w:shd w:val="clear" w:fill="FFFFFF"/>
          <w:vertAlign w:val="baseline"/>
          <w:lang w:eastAsia="zh-CN"/>
        </w:rPr>
        <w:t>平利县2026年公共数字文化云建设项目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最高限价</w:t>
      </w:r>
      <w:r>
        <w:rPr>
          <w:rFonts w:hint="eastAsia" w:ascii="仿宋" w:hAnsi="仿宋" w:eastAsia="仿宋" w:cs="仿宋"/>
          <w:color w:val="auto"/>
          <w:sz w:val="24"/>
        </w:rPr>
        <w:t>为：</w:t>
      </w:r>
      <w:r>
        <w:rPr>
          <w:rFonts w:hint="eastAsia" w:ascii="仿宋" w:hAnsi="仿宋" w:eastAsia="仿宋" w:cs="仿宋"/>
          <w:color w:val="auto"/>
          <w:sz w:val="24"/>
          <w:lang w:val="en-US" w:eastAsia="zh-CN"/>
        </w:rPr>
        <w:t>贰拾万元整（¥</w:t>
      </w:r>
      <w:r>
        <w:rPr>
          <w:rFonts w:hint="eastAsia" w:ascii="仿宋" w:hAnsi="仿宋" w:eastAsia="仿宋" w:cs="仿宋"/>
          <w:i w:val="0"/>
          <w:iCs w:val="0"/>
          <w:caps w:val="0"/>
          <w:color w:val="auto"/>
          <w:spacing w:val="0"/>
          <w:sz w:val="24"/>
          <w:szCs w:val="24"/>
          <w:shd w:val="clear" w:fill="FFFFFF"/>
          <w:lang w:val="en-US" w:eastAsia="zh-CN"/>
        </w:rPr>
        <w:t>200,000.00</w:t>
      </w:r>
      <w:r>
        <w:rPr>
          <w:rFonts w:hint="eastAsia" w:ascii="仿宋" w:hAnsi="仿宋" w:eastAsia="仿宋" w:cs="仿宋"/>
          <w:color w:val="auto"/>
          <w:sz w:val="24"/>
          <w:lang w:val="en-US" w:eastAsia="zh-CN"/>
        </w:rPr>
        <w:t>元）</w:t>
      </w:r>
      <w:r>
        <w:rPr>
          <w:rFonts w:hint="eastAsia" w:ascii="仿宋" w:hAnsi="仿宋" w:eastAsia="仿宋" w:cs="仿宋"/>
          <w:color w:val="auto"/>
          <w:sz w:val="24"/>
        </w:rPr>
        <w:t>，报价大于或等于本采购预算按无效处理。</w:t>
      </w:r>
    </w:p>
    <w:p>
      <w:pPr>
        <w:numPr>
          <w:ilvl w:val="0"/>
          <w:numId w:val="0"/>
        </w:numPr>
        <w:adjustRightInd w:val="0"/>
        <w:snapToGrid w:val="0"/>
        <w:spacing w:line="360" w:lineRule="auto"/>
        <w:ind w:left="238" w:leftChars="0" w:firstLine="482" w:firstLineChars="0"/>
        <w:outlineLvl w:val="1"/>
        <w:rPr>
          <w:rFonts w:hint="eastAsia" w:ascii="仿宋" w:hAnsi="仿宋" w:eastAsia="仿宋" w:cs="仿宋"/>
          <w:b/>
          <w:bCs/>
          <w:color w:val="auto"/>
        </w:rPr>
      </w:pPr>
      <w:r>
        <w:rPr>
          <w:rFonts w:hint="eastAsia" w:ascii="仿宋" w:hAnsi="仿宋" w:eastAsia="仿宋" w:cs="仿宋"/>
          <w:b/>
          <w:bCs/>
          <w:color w:val="auto"/>
          <w:sz w:val="24"/>
          <w:szCs w:val="24"/>
          <w:lang w:val="en-US" w:eastAsia="zh-CN" w:bidi="ar-SA"/>
        </w:rPr>
        <w:t>三、</w:t>
      </w:r>
      <w:r>
        <w:rPr>
          <w:rFonts w:hint="eastAsia" w:ascii="仿宋" w:hAnsi="仿宋" w:eastAsia="仿宋" w:cs="仿宋"/>
          <w:b/>
          <w:bCs/>
          <w:color w:val="auto"/>
        </w:rPr>
        <w:t>资质要求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vertAlign w:val="baseline"/>
          <w:lang w:eastAsia="zh-CN"/>
        </w:rPr>
      </w:pPr>
      <w:r>
        <w:rPr>
          <w:rFonts w:hint="eastAsia" w:ascii="仿宋" w:hAnsi="仿宋" w:eastAsia="仿宋" w:cs="仿宋"/>
          <w:i w:val="0"/>
          <w:iCs w:val="0"/>
          <w:caps w:val="0"/>
          <w:color w:val="auto"/>
          <w:spacing w:val="0"/>
          <w:sz w:val="24"/>
          <w:szCs w:val="24"/>
          <w:shd w:val="clear" w:fill="FFFFFF"/>
          <w:vertAlign w:val="baseline"/>
          <w:lang w:eastAsia="zh-CN"/>
        </w:rPr>
        <w:t>（1）具有独立承担民事责任能力的法人或其他组织，并出具合法有效的营业执照或事业单位法人证书等国家规定的相关证明；（2）法定代表人授权书及被授权人身份证复印件(法定代表人参加只需提供身份证复印件）；（3）提供2025年度经审计的完整财务报告(成立时间至首次递交响应文件截止时间不足一年的，可提供成立后任意时段的资产负债表），或开标前六个月内其基本存款账户开户银行出具的资信证明；（4）提供2026年3月至今已缴存的至少一个月的社会保障资金缴存单据或社保机构开具的社会保险参保缴费情况证明，依法不需要缴纳社会保障资金的应提供相关证明文件；（5）提供2026年3月至今已缴存的至少一个月的纳税证明或完税证明，纳税证明或完税证明上应有代收机构或税务机关的公章，依法免税的应提供相关证明文件；（6）参加政府采购活动近三年内，在经营活动中没有重大违法记录声明；（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8）本项目专门面向中小企业采购，供应商需提供《中小企业声明函》；（9）本项目不接受联合体投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b w:val="0"/>
          <w:bCs w:val="0"/>
          <w:color w:val="auto"/>
          <w:sz w:val="24"/>
          <w:lang w:val="en-US" w:eastAsia="zh-CN"/>
        </w:rPr>
      </w:pPr>
      <w:r>
        <w:rPr>
          <w:rFonts w:hint="eastAsia" w:ascii="仿宋" w:hAnsi="仿宋" w:eastAsia="仿宋" w:cs="仿宋"/>
          <w:i w:val="0"/>
          <w:iCs w:val="0"/>
          <w:caps w:val="0"/>
          <w:color w:val="auto"/>
          <w:spacing w:val="0"/>
          <w:sz w:val="24"/>
          <w:szCs w:val="24"/>
          <w:shd w:val="clear" w:fill="FFFFFF"/>
          <w:vertAlign w:val="baseline"/>
          <w:lang w:val="en-US" w:eastAsia="zh-CN"/>
        </w:rPr>
        <w:t>以上内容资质均为必备资质，各供应商应按要求提供复印件加盖供应</w:t>
      </w:r>
      <w:r>
        <w:rPr>
          <w:rFonts w:hint="eastAsia" w:ascii="仿宋" w:hAnsi="仿宋" w:eastAsia="仿宋" w:cs="仿宋"/>
          <w:b w:val="0"/>
          <w:bCs w:val="0"/>
          <w:color w:val="auto"/>
          <w:sz w:val="24"/>
          <w:lang w:val="en-US" w:eastAsia="zh-CN"/>
        </w:rPr>
        <w:t>商红色公章，附在每份磋商响应文件中，不符合磋商文件资质要求的，其磋商响应文件被视为无效标书，取消投标资格。</w:t>
      </w:r>
    </w:p>
    <w:p>
      <w:pPr>
        <w:adjustRightInd w:val="0"/>
        <w:snapToGrid w:val="0"/>
        <w:spacing w:line="360" w:lineRule="auto"/>
        <w:ind w:firstLine="482" w:firstLineChars="200"/>
        <w:outlineLvl w:val="1"/>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、磋商</w:t>
      </w:r>
      <w:r>
        <w:rPr>
          <w:rFonts w:hint="eastAsia" w:ascii="仿宋" w:hAnsi="仿宋" w:eastAsia="仿宋" w:cs="仿宋"/>
          <w:b/>
          <w:bCs/>
          <w:color w:val="auto"/>
          <w:sz w:val="24"/>
          <w:szCs w:val="24"/>
          <w:lang w:val="en-US" w:eastAsia="zh-CN"/>
        </w:rPr>
        <w:t>要求</w:t>
      </w:r>
    </w:p>
    <w:p>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bCs/>
          <w:color w:val="auto"/>
        </w:rPr>
        <w:t>1．</w:t>
      </w:r>
      <w:r>
        <w:rPr>
          <w:rFonts w:hint="eastAsia" w:ascii="仿宋" w:hAnsi="仿宋" w:eastAsia="仿宋" w:cs="仿宋"/>
          <w:color w:val="auto"/>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做出实质性响应，其磋商将被拒绝。</w:t>
      </w:r>
    </w:p>
    <w:p>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bCs/>
          <w:color w:val="auto"/>
        </w:rPr>
        <w:t>．</w:t>
      </w:r>
      <w:r>
        <w:rPr>
          <w:rFonts w:hint="eastAsia" w:ascii="仿宋" w:hAnsi="仿宋" w:eastAsia="仿宋" w:cs="仿宋"/>
          <w:color w:val="auto"/>
        </w:rPr>
        <w:t>磋商费用：供应商应承担所有准备和参加磋商有关的全部费用。</w:t>
      </w:r>
    </w:p>
    <w:p>
      <w:pPr>
        <w:keepNext w:val="0"/>
        <w:keepLines w:val="0"/>
        <w:pageBreakBefore w:val="0"/>
        <w:kinsoku/>
        <w:wordWrap/>
        <w:overflowPunct/>
        <w:topLinePunct w:val="0"/>
        <w:bidi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bCs/>
          <w:color w:val="auto"/>
        </w:rPr>
        <w:t>3．磋商响应</w:t>
      </w:r>
      <w:r>
        <w:rPr>
          <w:rFonts w:hint="eastAsia" w:ascii="仿宋" w:hAnsi="仿宋" w:eastAsia="仿宋" w:cs="仿宋"/>
          <w:color w:val="auto"/>
        </w:rPr>
        <w:t>文件的编制</w:t>
      </w:r>
    </w:p>
    <w:p>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磋商响应文件必须根据磋商组织单位发售的磋商文件格式编写，对磋商文件做出实质性响应。具体内容包括：</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（1）按照要求填写的磋商函格式。</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（2）磋商报价表。</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（3）供应商按要求提供的资格证明文件，证明参加磋商的供应商是合格的，成交后</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有能力履行合同，且质量有保证等。</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（4）按要求提供的其它证明文件，证明供应商质量管理体系健全，售后服务有保障，且响应磋商文件的要求。</w:t>
      </w:r>
    </w:p>
    <w:p>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4.磋商报价</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（1）磋商报价为投标人完成磋商项目内容的全部合理费用。</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（2）投标人应在磋商响应文件中进行完整报价，在磋商响应文件中的磋商报价表上按要求标明总价、</w:t>
      </w:r>
      <w:r>
        <w:rPr>
          <w:rFonts w:hint="eastAsia" w:ascii="仿宋" w:hAnsi="仿宋" w:eastAsia="仿宋" w:cs="仿宋"/>
          <w:color w:val="auto"/>
          <w:lang w:eastAsia="zh-CN"/>
        </w:rPr>
        <w:t>服务期</w:t>
      </w:r>
      <w:r>
        <w:rPr>
          <w:rFonts w:hint="eastAsia" w:ascii="仿宋" w:hAnsi="仿宋" w:eastAsia="仿宋" w:cs="仿宋"/>
          <w:color w:val="auto"/>
        </w:rPr>
        <w:t>等项，任何有选择的报价磋商组织单位不予接受。</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（3）凡因投标人对磋商文件阅读不深、理解不透、误解、疏漏、或因市场行情了解不清造成的后果和风险均由各投标人自负。</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（4）报价货币：人民币。单位：元。</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rPr>
      </w:pPr>
      <w:r>
        <w:rPr>
          <w:rFonts w:hint="eastAsia" w:ascii="仿宋" w:hAnsi="仿宋" w:eastAsia="仿宋" w:cs="仿宋"/>
          <w:color w:val="auto"/>
        </w:rPr>
        <w:t>（5）</w:t>
      </w:r>
      <w:r>
        <w:rPr>
          <w:rFonts w:hint="eastAsia" w:ascii="仿宋" w:hAnsi="仿宋" w:eastAsia="仿宋" w:cs="仿宋"/>
          <w:b/>
          <w:color w:val="auto"/>
        </w:rPr>
        <w:t>本项目</w:t>
      </w:r>
      <w:r>
        <w:rPr>
          <w:rFonts w:hint="eastAsia" w:ascii="仿宋" w:hAnsi="仿宋" w:eastAsia="仿宋" w:cs="仿宋"/>
          <w:b/>
          <w:color w:val="auto"/>
          <w:lang w:eastAsia="zh-CN"/>
        </w:rPr>
        <w:t>最高限</w:t>
      </w:r>
      <w:r>
        <w:rPr>
          <w:rFonts w:hint="eastAsia" w:ascii="仿宋" w:hAnsi="仿宋" w:eastAsia="仿宋" w:cs="仿宋"/>
          <w:b/>
          <w:color w:val="000000" w:themeColor="text1"/>
          <w:lang w:eastAsia="zh-CN"/>
          <w14:textFill>
            <w14:solidFill>
              <w14:schemeClr w14:val="tx1"/>
            </w14:solidFill>
          </w14:textFill>
        </w:rPr>
        <w:t>价</w:t>
      </w:r>
      <w:r>
        <w:rPr>
          <w:rFonts w:hint="eastAsia" w:ascii="仿宋" w:hAnsi="仿宋" w:eastAsia="仿宋" w:cs="仿宋"/>
          <w:b/>
          <w:color w:val="000000" w:themeColor="text1"/>
          <w14:textFill>
            <w14:solidFill>
              <w14:schemeClr w14:val="tx1"/>
            </w14:solidFill>
          </w14:textFill>
        </w:rPr>
        <w:t>为</w:t>
      </w:r>
      <w:r>
        <w:rPr>
          <w:rFonts w:hint="eastAsia" w:ascii="仿宋" w:hAnsi="仿宋" w:eastAsia="仿宋" w:cs="仿宋"/>
          <w:b/>
          <w:color w:val="000000" w:themeColor="text1"/>
          <w:lang w:val="en-US" w:eastAsia="zh-CN"/>
          <w14:textFill>
            <w14:solidFill>
              <w14:schemeClr w14:val="tx1"/>
            </w14:solidFill>
          </w14:textFill>
        </w:rPr>
        <w:t>贰拾万元整（</w:t>
      </w:r>
      <w:r>
        <w:rPr>
          <w:rFonts w:hint="default" w:ascii="仿宋" w:hAnsi="仿宋" w:eastAsia="仿宋" w:cs="仿宋"/>
          <w:b/>
          <w:color w:val="000000" w:themeColor="text1"/>
          <w:lang w:val="en-US" w:eastAsia="zh-CN"/>
          <w14:textFill>
            <w14:solidFill>
              <w14:schemeClr w14:val="tx1"/>
            </w14:solidFill>
          </w14:textFill>
        </w:rPr>
        <w:t>¥</w:t>
      </w:r>
      <w:r>
        <w:rPr>
          <w:rFonts w:hint="eastAsia" w:ascii="仿宋" w:hAnsi="仿宋" w:eastAsia="仿宋" w:cs="仿宋"/>
          <w:b/>
          <w:color w:val="000000" w:themeColor="text1"/>
          <w:lang w:val="en-US" w:eastAsia="zh-CN"/>
          <w14:textFill>
            <w14:solidFill>
              <w14:schemeClr w14:val="tx1"/>
            </w14:solidFill>
          </w14:textFill>
        </w:rPr>
        <w:t>200,000.00元）</w:t>
      </w:r>
      <w:r>
        <w:rPr>
          <w:rFonts w:hint="eastAsia" w:ascii="仿宋" w:hAnsi="仿宋" w:eastAsia="仿宋" w:cs="仿宋"/>
          <w:b/>
          <w:color w:val="000000" w:themeColor="text1"/>
          <w14:textFill>
            <w14:solidFill>
              <w14:schemeClr w14:val="tx1"/>
            </w14:solidFill>
          </w14:textFill>
        </w:rPr>
        <w:t>，投标报价大于或等于本采购预算则按无效投标处理。</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5．竞争性</w:t>
      </w:r>
      <w:r>
        <w:rPr>
          <w:rFonts w:hint="eastAsia" w:ascii="仿宋" w:hAnsi="仿宋" w:eastAsia="仿宋" w:cs="仿宋"/>
          <w:color w:val="auto"/>
          <w:lang w:val="en-US" w:eastAsia="zh-CN"/>
        </w:rPr>
        <w:t>磋商</w:t>
      </w:r>
      <w:r>
        <w:rPr>
          <w:rFonts w:hint="eastAsia" w:ascii="仿宋" w:hAnsi="仿宋" w:eastAsia="仿宋" w:cs="仿宋"/>
          <w:color w:val="auto"/>
        </w:rPr>
        <w:t>文件有效期为自</w:t>
      </w:r>
      <w:r>
        <w:rPr>
          <w:rFonts w:hint="eastAsia" w:ascii="仿宋" w:hAnsi="仿宋" w:eastAsia="仿宋" w:cs="仿宋"/>
          <w:color w:val="auto"/>
          <w:lang w:val="en-US" w:eastAsia="zh-CN"/>
        </w:rPr>
        <w:t>磋商</w:t>
      </w:r>
      <w:r>
        <w:rPr>
          <w:rFonts w:hint="eastAsia" w:ascii="仿宋" w:hAnsi="仿宋" w:eastAsia="仿宋" w:cs="仿宋"/>
          <w:color w:val="auto"/>
        </w:rPr>
        <w:t>之日起九十个日历日，成交供应商的</w:t>
      </w:r>
      <w:r>
        <w:rPr>
          <w:rFonts w:hint="eastAsia" w:ascii="仿宋" w:hAnsi="仿宋" w:eastAsia="仿宋" w:cs="仿宋"/>
          <w:color w:val="auto"/>
          <w:lang w:val="en-US" w:eastAsia="zh-CN"/>
        </w:rPr>
        <w:t>磋商</w:t>
      </w:r>
      <w:r>
        <w:rPr>
          <w:rFonts w:hint="eastAsia" w:ascii="仿宋" w:hAnsi="仿宋" w:eastAsia="仿宋" w:cs="仿宋"/>
          <w:color w:val="auto"/>
        </w:rPr>
        <w:t>响应文件有效期延长至合同执行完毕。</w:t>
      </w:r>
    </w:p>
    <w:p>
      <w:pPr>
        <w:pStyle w:val="10"/>
        <w:keepNext w:val="0"/>
        <w:keepLines w:val="0"/>
        <w:pageBreakBefore w:val="0"/>
        <w:kinsoku/>
        <w:wordWrap/>
        <w:overflowPunct/>
        <w:topLinePunct w:val="0"/>
        <w:bidi w:val="0"/>
        <w:spacing w:after="0" w:line="360" w:lineRule="auto"/>
        <w:ind w:firstLine="482" w:firstLineChars="200"/>
        <w:textAlignment w:val="auto"/>
        <w:outlineLvl w:val="1"/>
        <w:rPr>
          <w:rFonts w:hint="eastAsia" w:ascii="仿宋" w:hAnsi="仿宋" w:eastAsia="仿宋" w:cs="仿宋"/>
          <w:b/>
          <w:bCs/>
          <w:color w:val="auto"/>
          <w:sz w:val="24"/>
        </w:rPr>
      </w:pPr>
      <w:r>
        <w:rPr>
          <w:rFonts w:hint="eastAsia" w:ascii="仿宋" w:hAnsi="仿宋" w:eastAsia="仿宋" w:cs="仿宋"/>
          <w:b/>
          <w:bCs/>
          <w:color w:val="auto"/>
          <w:sz w:val="24"/>
        </w:rPr>
        <w:t>五、</w:t>
      </w:r>
      <w:r>
        <w:rPr>
          <w:rFonts w:hint="eastAsia" w:ascii="仿宋" w:hAnsi="仿宋" w:eastAsia="仿宋" w:cs="仿宋"/>
          <w:b/>
          <w:bCs/>
          <w:color w:val="auto"/>
          <w:sz w:val="24"/>
          <w:lang w:eastAsia="zh-CN"/>
        </w:rPr>
        <w:t>磋商</w:t>
      </w:r>
      <w:r>
        <w:rPr>
          <w:rFonts w:hint="eastAsia" w:ascii="仿宋" w:hAnsi="仿宋" w:eastAsia="仿宋" w:cs="仿宋"/>
          <w:b/>
          <w:bCs/>
          <w:color w:val="auto"/>
          <w:sz w:val="24"/>
        </w:rPr>
        <w:t>响应文件的制作和递交</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5.1</w:t>
      </w:r>
      <w:r>
        <w:rPr>
          <w:rFonts w:hint="eastAsia" w:ascii="仿宋" w:hAnsi="仿宋" w:eastAsia="仿宋" w:cs="仿宋"/>
          <w:b w:val="0"/>
          <w:i w:val="0"/>
          <w:color w:val="auto"/>
          <w:spacing w:val="0"/>
          <w:sz w:val="24"/>
          <w:szCs w:val="24"/>
        </w:rPr>
        <w:t>响应文件纸质版正本1份副本2份、电子版1份(PDF格式装入U盘)</w:t>
      </w:r>
      <w:r>
        <w:rPr>
          <w:rFonts w:hint="eastAsia" w:ascii="仿宋" w:hAnsi="仿宋" w:eastAsia="仿宋" w:cs="仿宋"/>
          <w:color w:val="auto"/>
        </w:rPr>
        <w:t>。</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lang w:val="en-US" w:eastAsia="zh-CN"/>
        </w:rPr>
        <w:t>5.2</w:t>
      </w:r>
      <w:r>
        <w:rPr>
          <w:rFonts w:hint="eastAsia" w:ascii="仿宋" w:hAnsi="仿宋" w:eastAsia="仿宋" w:cs="仿宋"/>
          <w:b w:val="0"/>
          <w:i w:val="0"/>
          <w:color w:val="auto"/>
          <w:spacing w:val="0"/>
          <w:sz w:val="24"/>
          <w:szCs w:val="24"/>
        </w:rPr>
        <w:t>正本和副本的封面上应清楚的标记“正本”或“副本”字样。正本与副本</w:t>
      </w:r>
      <w:r>
        <w:rPr>
          <w:rFonts w:hint="eastAsia" w:ascii="仿宋" w:hAnsi="仿宋" w:eastAsia="仿宋" w:cs="仿宋"/>
          <w:b/>
          <w:bCs/>
          <w:i w:val="0"/>
          <w:color w:val="auto"/>
          <w:spacing w:val="0"/>
          <w:sz w:val="24"/>
          <w:szCs w:val="24"/>
        </w:rPr>
        <w:t>分别</w:t>
      </w:r>
      <w:r>
        <w:rPr>
          <w:rFonts w:hint="eastAsia" w:ascii="仿宋" w:hAnsi="仿宋" w:eastAsia="仿宋" w:cs="仿宋"/>
          <w:b w:val="0"/>
          <w:i w:val="0"/>
          <w:color w:val="auto"/>
          <w:spacing w:val="0"/>
          <w:sz w:val="24"/>
          <w:szCs w:val="24"/>
        </w:rPr>
        <w:t>单独胶装成册，不得采用活页装订，装订应不易拆散，不得有夹页、换页、残页、空页。当正本和副本内容出现不一致情况的时候，以正本为准。</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rPr>
        <w:t>5.</w:t>
      </w:r>
      <w:r>
        <w:rPr>
          <w:rFonts w:hint="eastAsia" w:ascii="仿宋" w:hAnsi="仿宋" w:eastAsia="仿宋" w:cs="仿宋"/>
          <w:color w:val="auto"/>
          <w:lang w:val="en-US" w:eastAsia="zh-CN"/>
        </w:rPr>
        <w:t>3</w:t>
      </w:r>
      <w:r>
        <w:rPr>
          <w:rFonts w:hint="eastAsia" w:ascii="仿宋" w:hAnsi="仿宋" w:eastAsia="仿宋" w:cs="仿宋"/>
          <w:b w:val="0"/>
          <w:i w:val="0"/>
          <w:color w:val="auto"/>
          <w:spacing w:val="0"/>
          <w:sz w:val="24"/>
          <w:szCs w:val="24"/>
        </w:rPr>
        <w:t>文件的正本与副本应分开密封包装，电子版随正本封装，</w:t>
      </w:r>
      <w:r>
        <w:rPr>
          <w:rFonts w:hint="eastAsia" w:ascii="仿宋" w:hAnsi="仿宋" w:eastAsia="仿宋" w:cs="仿宋"/>
          <w:color w:val="auto"/>
          <w:lang w:eastAsia="zh-CN"/>
        </w:rPr>
        <w:t>磋商</w:t>
      </w:r>
      <w:r>
        <w:rPr>
          <w:rFonts w:hint="eastAsia" w:ascii="仿宋" w:hAnsi="仿宋" w:eastAsia="仿宋" w:cs="仿宋"/>
          <w:color w:val="auto"/>
        </w:rPr>
        <w:t>响应文件密封袋的封口处应加盖</w:t>
      </w:r>
      <w:r>
        <w:rPr>
          <w:rFonts w:hint="eastAsia" w:ascii="仿宋" w:hAnsi="仿宋" w:eastAsia="仿宋" w:cs="仿宋"/>
          <w:color w:val="auto"/>
          <w:lang w:val="en-US" w:eastAsia="zh-CN"/>
        </w:rPr>
        <w:t>单位</w:t>
      </w:r>
      <w:r>
        <w:rPr>
          <w:rFonts w:hint="eastAsia" w:ascii="仿宋" w:hAnsi="仿宋" w:eastAsia="仿宋" w:cs="仿宋"/>
          <w:color w:val="auto"/>
        </w:rPr>
        <w:t>公章</w:t>
      </w:r>
      <w:r>
        <w:rPr>
          <w:rFonts w:hint="eastAsia" w:ascii="仿宋" w:hAnsi="仿宋" w:eastAsia="仿宋" w:cs="仿宋"/>
          <w:b w:val="0"/>
          <w:i w:val="0"/>
          <w:color w:val="auto"/>
          <w:spacing w:val="0"/>
          <w:sz w:val="24"/>
          <w:szCs w:val="24"/>
        </w:rPr>
        <w:t>。</w:t>
      </w:r>
      <w:r>
        <w:rPr>
          <w:rFonts w:hint="eastAsia" w:ascii="仿宋" w:hAnsi="仿宋" w:eastAsia="仿宋" w:cs="仿宋"/>
          <w:color w:val="auto"/>
          <w:lang w:eastAsia="zh-CN"/>
        </w:rPr>
        <w:t>磋商</w:t>
      </w:r>
      <w:r>
        <w:rPr>
          <w:rFonts w:hint="eastAsia" w:ascii="仿宋" w:hAnsi="仿宋" w:eastAsia="仿宋" w:cs="仿宋"/>
          <w:color w:val="auto"/>
        </w:rPr>
        <w:t>响应文件密封袋上应注明：项目名称（标段名称）、服务商名称、“在（“竞争性</w:t>
      </w:r>
      <w:r>
        <w:rPr>
          <w:rFonts w:hint="eastAsia" w:ascii="仿宋" w:hAnsi="仿宋" w:eastAsia="仿宋" w:cs="仿宋"/>
          <w:color w:val="auto"/>
          <w:lang w:eastAsia="zh-CN"/>
        </w:rPr>
        <w:t>磋商</w:t>
      </w:r>
      <w:r>
        <w:rPr>
          <w:rFonts w:hint="eastAsia" w:ascii="仿宋" w:hAnsi="仿宋" w:eastAsia="仿宋" w:cs="仿宋"/>
          <w:color w:val="auto"/>
        </w:rPr>
        <w:t>公告”规定的</w:t>
      </w:r>
      <w:r>
        <w:rPr>
          <w:rFonts w:hint="eastAsia" w:ascii="仿宋" w:hAnsi="仿宋" w:eastAsia="仿宋" w:cs="仿宋"/>
          <w:color w:val="auto"/>
          <w:lang w:eastAsia="zh-CN"/>
        </w:rPr>
        <w:t>磋商</w:t>
      </w:r>
      <w:r>
        <w:rPr>
          <w:rFonts w:hint="eastAsia" w:ascii="仿宋" w:hAnsi="仿宋" w:eastAsia="仿宋" w:cs="仿宋"/>
          <w:color w:val="auto"/>
        </w:rPr>
        <w:t>响应文件递交的截止日期和时间）之前不得启封”的字样。</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lang w:val="en-US" w:eastAsia="zh-CN"/>
        </w:rPr>
        <w:t>5.4</w:t>
      </w:r>
      <w:r>
        <w:rPr>
          <w:rFonts w:hint="eastAsia" w:ascii="仿宋" w:hAnsi="仿宋" w:eastAsia="仿宋" w:cs="仿宋"/>
          <w:color w:val="auto"/>
        </w:rPr>
        <w:t>报价文件必须加盖单位公章，由投标人法定代表人或经正式授权有约束力的投标人代表签字。</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5.5磋商文件的正本和副本均需打印或用不褪色蓝（黑）墨水（汁）书写，需编制目录和连续页码，目录页码所对应的内容必须与文件内容一致，在每一页的正下方清楚标明共几页、第几页等字样。</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en-US" w:eastAsia="zh-CN"/>
        </w:rPr>
        <w:t>6</w:t>
      </w:r>
      <w:r>
        <w:rPr>
          <w:rFonts w:hint="eastAsia" w:ascii="仿宋" w:hAnsi="仿宋" w:eastAsia="仿宋" w:cs="仿宋"/>
          <w:color w:val="auto"/>
          <w:lang w:eastAsia="zh-CN"/>
        </w:rPr>
        <w:t>磋商</w:t>
      </w:r>
      <w:r>
        <w:rPr>
          <w:rFonts w:hint="eastAsia" w:ascii="仿宋" w:hAnsi="仿宋" w:eastAsia="仿宋" w:cs="仿宋"/>
          <w:color w:val="auto"/>
        </w:rPr>
        <w:t>响应文件不予退还。</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en-US" w:eastAsia="zh-CN"/>
        </w:rPr>
        <w:t>7</w:t>
      </w:r>
      <w:r>
        <w:rPr>
          <w:rFonts w:hint="eastAsia" w:ascii="仿宋" w:hAnsi="仿宋" w:eastAsia="仿宋" w:cs="仿宋"/>
          <w:color w:val="auto"/>
        </w:rPr>
        <w:t>本项目不接受服务商的替代方案。</w:t>
      </w:r>
    </w:p>
    <w:p>
      <w:pPr>
        <w:keepNext w:val="0"/>
        <w:keepLines w:val="0"/>
        <w:pageBreakBefore w:val="0"/>
        <w:widowControl/>
        <w:kinsoku/>
        <w:wordWrap/>
        <w:overflowPunct/>
        <w:topLinePunct w:val="0"/>
        <w:autoSpaceDE w:val="0"/>
        <w:autoSpaceDN w:val="0"/>
        <w:bidi w:val="0"/>
        <w:adjustRightInd w:val="0"/>
        <w:snapToGrid w:val="0"/>
        <w:spacing w:line="360" w:lineRule="auto"/>
        <w:textAlignment w:val="auto"/>
        <w:outlineLvl w:val="1"/>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六、磋商与评审</w:t>
      </w:r>
    </w:p>
    <w:p>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磋商的全过程分为磋商的全过程分为资格性审查、符合性审查、磋商过程、最后报价、最终评审等阶段。通过资质审查合格的各磋商单位，只有在磋商响应文件及磋商承诺符合磋商文件要求和满足技术、商务需</w:t>
      </w:r>
      <w:r>
        <w:rPr>
          <w:rFonts w:hint="eastAsia" w:ascii="仿宋" w:hAnsi="仿宋" w:eastAsia="仿宋" w:cs="仿宋"/>
          <w:color w:val="auto"/>
          <w:lang w:val="en-US" w:eastAsia="zh-CN"/>
        </w:rPr>
        <w:t>求</w:t>
      </w:r>
      <w:r>
        <w:rPr>
          <w:rFonts w:hint="eastAsia" w:ascii="仿宋" w:hAnsi="仿宋" w:eastAsia="仿宋" w:cs="仿宋"/>
          <w:color w:val="auto"/>
          <w:lang w:val="zh-CN"/>
        </w:rPr>
        <w:t>的才有最终报价和评审的机会。磋商小组按其最终承诺和报价内容，推荐成交候选单位排序。</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sz w:val="24"/>
          <w:szCs w:val="24"/>
          <w:lang w:val="zh-CN" w:eastAsia="zh-CN" w:bidi="ar-SA"/>
        </w:rPr>
        <w:t>1.</w:t>
      </w:r>
      <w:r>
        <w:rPr>
          <w:rFonts w:hint="eastAsia" w:ascii="仿宋" w:hAnsi="仿宋" w:eastAsia="仿宋" w:cs="仿宋"/>
          <w:color w:val="auto"/>
          <w:lang w:val="zh-CN"/>
        </w:rPr>
        <w:t>资格性审查</w:t>
      </w:r>
    </w:p>
    <w:tbl>
      <w:tblPr>
        <w:tblStyle w:val="27"/>
        <w:tblW w:w="52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1123"/>
        <w:gridCol w:w="1732"/>
        <w:gridCol w:w="6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580"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内容</w:t>
            </w: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审查因素</w:t>
            </w:r>
          </w:p>
        </w:tc>
        <w:tc>
          <w:tcPr>
            <w:tcW w:w="352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7" w:hRule="atLeast"/>
          <w:jc w:val="center"/>
        </w:trPr>
        <w:tc>
          <w:tcPr>
            <w:tcW w:w="580" w:type="pct"/>
            <w:vMerge w:val="restart"/>
            <w:tcBorders>
              <w:top w:val="single" w:color="auto" w:sz="4" w:space="0"/>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资格审查标准</w:t>
            </w: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主体资格证明</w:t>
            </w:r>
          </w:p>
        </w:tc>
        <w:tc>
          <w:tcPr>
            <w:tcW w:w="352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lang w:eastAsia="zh-CN"/>
              </w:rPr>
            </w:pPr>
            <w:r>
              <w:rPr>
                <w:rFonts w:hint="eastAsia" w:ascii="仿宋" w:hAnsi="仿宋" w:eastAsia="仿宋" w:cs="仿宋"/>
                <w:i w:val="0"/>
                <w:iCs w:val="0"/>
                <w:caps w:val="0"/>
                <w:color w:val="auto"/>
                <w:spacing w:val="0"/>
                <w:sz w:val="24"/>
                <w:szCs w:val="24"/>
                <w:shd w:val="clear" w:fill="FFFFFF"/>
              </w:rPr>
              <w:t>具有独立承担民事责任能力的法人或其他组织，并出具合法有效的营业执照或事业单位法人证书等国家规定的相关证明</w:t>
            </w:r>
            <w:r>
              <w:rPr>
                <w:rFonts w:hint="eastAsia" w:ascii="仿宋" w:hAnsi="仿宋" w:eastAsia="仿宋" w:cs="仿宋"/>
                <w:i w:val="0"/>
                <w:iCs w:val="0"/>
                <w:caps w:val="0"/>
                <w:color w:val="auto"/>
                <w:spacing w:val="0"/>
                <w:sz w:val="24"/>
                <w:szCs w:val="24"/>
                <w:shd w:val="clear"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79" w:hRule="atLeast"/>
          <w:jc w:val="center"/>
        </w:trPr>
        <w:tc>
          <w:tcPr>
            <w:tcW w:w="580"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授权委托书</w:t>
            </w:r>
          </w:p>
        </w:tc>
        <w:tc>
          <w:tcPr>
            <w:tcW w:w="352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lang w:val="en-US" w:eastAsia="zh-CN"/>
              </w:rPr>
            </w:pPr>
            <w:r>
              <w:rPr>
                <w:rFonts w:hint="eastAsia" w:ascii="仿宋" w:hAnsi="仿宋" w:eastAsia="仿宋" w:cs="仿宋"/>
              </w:rPr>
              <w:t>供应商应授权合法的人员参加投标：法定代表人直接参加投标，须出具法定代表人身份证</w:t>
            </w:r>
            <w:r>
              <w:rPr>
                <w:rFonts w:hint="eastAsia" w:ascii="仿宋" w:hAnsi="仿宋" w:eastAsia="仿宋" w:cs="仿宋"/>
                <w:lang w:eastAsia="zh-CN"/>
              </w:rPr>
              <w:t>复印件</w:t>
            </w:r>
            <w:r>
              <w:rPr>
                <w:rFonts w:hint="eastAsia" w:ascii="仿宋" w:hAnsi="仿宋" w:eastAsia="仿宋" w:cs="仿宋"/>
              </w:rPr>
              <w:t>；法定代表人授权代表参加投标，须出具法定代表人授权书及授权代表身份证</w:t>
            </w:r>
            <w:r>
              <w:rPr>
                <w:rFonts w:hint="eastAsia" w:ascii="仿宋" w:hAnsi="仿宋" w:eastAsia="仿宋" w:cs="仿宋"/>
                <w:lang w:eastAsia="zh-CN"/>
              </w:rPr>
              <w:t>复印件</w:t>
            </w:r>
            <w:r>
              <w:rPr>
                <w:rFonts w:hint="eastAsia" w:ascii="仿宋" w:hAnsi="仿宋" w:eastAsia="仿宋" w:cs="仿宋"/>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66" w:hRule="atLeast"/>
          <w:jc w:val="center"/>
        </w:trPr>
        <w:tc>
          <w:tcPr>
            <w:tcW w:w="580"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财务状况</w:t>
            </w:r>
          </w:p>
        </w:tc>
        <w:tc>
          <w:tcPr>
            <w:tcW w:w="352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lang w:val="en-US" w:eastAsia="zh-CN"/>
              </w:rPr>
            </w:pPr>
            <w:r>
              <w:rPr>
                <w:rFonts w:hint="eastAsia" w:ascii="仿宋" w:hAnsi="仿宋" w:eastAsia="仿宋" w:cs="仿宋"/>
              </w:rPr>
              <w:t>提供2025年度经审计的完整财务报告（成立时间至首次递交响应文件截止时间不足一年的，可提供成立后任意时段的资产负债表）,或开标前六个月内其基本存款账户开户银行出具的资信证明；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0" w:hRule="atLeast"/>
          <w:jc w:val="center"/>
        </w:trPr>
        <w:tc>
          <w:tcPr>
            <w:tcW w:w="580"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社保缴纳证明</w:t>
            </w:r>
          </w:p>
        </w:tc>
        <w:tc>
          <w:tcPr>
            <w:tcW w:w="352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提供2026年</w:t>
            </w:r>
            <w:r>
              <w:rPr>
                <w:rFonts w:hint="eastAsia" w:ascii="仿宋" w:hAnsi="仿宋" w:eastAsia="仿宋" w:cs="仿宋"/>
                <w:i w:val="0"/>
                <w:iCs w:val="0"/>
                <w:caps w:val="0"/>
                <w:color w:val="auto"/>
                <w:spacing w:val="0"/>
                <w:sz w:val="24"/>
                <w:szCs w:val="24"/>
                <w:shd w:val="clear" w:fill="FFFFFF"/>
                <w:lang w:val="en-US" w:eastAsia="zh-CN"/>
              </w:rPr>
              <w:t>3</w:t>
            </w:r>
            <w:r>
              <w:rPr>
                <w:rFonts w:hint="eastAsia" w:ascii="仿宋" w:hAnsi="仿宋" w:eastAsia="仿宋" w:cs="仿宋"/>
                <w:i w:val="0"/>
                <w:iCs w:val="0"/>
                <w:caps w:val="0"/>
                <w:color w:val="auto"/>
                <w:spacing w:val="0"/>
                <w:sz w:val="24"/>
                <w:szCs w:val="24"/>
                <w:shd w:val="clear" w:fill="FFFFFF"/>
              </w:rPr>
              <w:t>月至今已缴存的至少一个月的社会保障资金缴存单据或社保机构开具的社会保险参保缴费情况证明，依法不需要缴纳社会保障资金的应提供相关证明文件；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580"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税收缴纳证明</w:t>
            </w:r>
          </w:p>
        </w:tc>
        <w:tc>
          <w:tcPr>
            <w:tcW w:w="352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fill="FFFFFF"/>
              </w:rPr>
              <w:t>提供2026年</w:t>
            </w:r>
            <w:r>
              <w:rPr>
                <w:rFonts w:hint="eastAsia" w:ascii="仿宋" w:hAnsi="仿宋" w:eastAsia="仿宋" w:cs="仿宋"/>
                <w:i w:val="0"/>
                <w:iCs w:val="0"/>
                <w:caps w:val="0"/>
                <w:color w:val="auto"/>
                <w:spacing w:val="0"/>
                <w:sz w:val="24"/>
                <w:szCs w:val="24"/>
                <w:shd w:val="clear" w:fill="FFFFFF"/>
                <w:lang w:val="en-US" w:eastAsia="zh-CN"/>
              </w:rPr>
              <w:t>3</w:t>
            </w:r>
            <w:r>
              <w:rPr>
                <w:rFonts w:hint="eastAsia" w:ascii="仿宋" w:hAnsi="仿宋" w:eastAsia="仿宋" w:cs="仿宋"/>
                <w:i w:val="0"/>
                <w:iCs w:val="0"/>
                <w:caps w:val="0"/>
                <w:color w:val="auto"/>
                <w:spacing w:val="0"/>
                <w:sz w:val="24"/>
                <w:szCs w:val="24"/>
                <w:shd w:val="clear" w:fill="FFFFFF"/>
              </w:rPr>
              <w:t>月至今已缴存的至少一个月的纳税证明或完税证明，纳税证明或完税证明上应有代收机构或税务机关的公章，依法免税的应提供相关证明文件；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580"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无重大违法纪录的书面声明</w:t>
            </w:r>
          </w:p>
        </w:tc>
        <w:tc>
          <w:tcPr>
            <w:tcW w:w="3525"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rPr>
            </w:pPr>
            <w:r>
              <w:rPr>
                <w:rFonts w:hint="eastAsia" w:ascii="仿宋" w:hAnsi="仿宋" w:eastAsia="仿宋" w:cs="仿宋"/>
              </w:rPr>
              <w:t>供应商参加政府采购活动前3年内在经营活动中没有重大违法纪录的书面声明（加盖投标供应商红色公章）；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70" w:hRule="atLeast"/>
          <w:jc w:val="center"/>
        </w:trPr>
        <w:tc>
          <w:tcPr>
            <w:tcW w:w="580"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主体信用查询</w:t>
            </w:r>
          </w:p>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记录</w:t>
            </w:r>
          </w:p>
        </w:tc>
        <w:tc>
          <w:tcPr>
            <w:tcW w:w="3525" w:type="pct"/>
            <w:tcBorders>
              <w:top w:val="single" w:color="auto" w:sz="4" w:space="0"/>
              <w:left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lang w:val="en-US" w:eastAsia="zh-CN" w:bidi="ar-SA"/>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0" w:hRule="atLeast"/>
          <w:jc w:val="center"/>
        </w:trPr>
        <w:tc>
          <w:tcPr>
            <w:tcW w:w="580"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联合体投标</w:t>
            </w:r>
          </w:p>
        </w:tc>
        <w:tc>
          <w:tcPr>
            <w:tcW w:w="3525" w:type="pct"/>
            <w:tcBorders>
              <w:top w:val="single" w:color="auto" w:sz="4" w:space="0"/>
              <w:left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本项目不接受联合体投标，出具非联合体投标的</w:t>
            </w:r>
            <w:r>
              <w:rPr>
                <w:rFonts w:hint="eastAsia" w:ascii="仿宋" w:hAnsi="仿宋" w:eastAsia="仿宋" w:cs="仿宋"/>
                <w:color w:val="auto"/>
                <w:sz w:val="24"/>
                <w:szCs w:val="24"/>
                <w:lang w:eastAsia="zh-CN"/>
              </w:rPr>
              <w:t>声</w:t>
            </w:r>
            <w:r>
              <w:rPr>
                <w:rFonts w:hint="eastAsia" w:ascii="仿宋" w:hAnsi="仿宋" w:eastAsia="仿宋" w:cs="仿宋"/>
                <w:color w:val="auto"/>
                <w:sz w:val="24"/>
                <w:szCs w:val="24"/>
              </w:rPr>
              <w:t>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000" w:type="pct"/>
            <w:gridSpan w:val="3"/>
            <w:tcBorders>
              <w:left w:val="single" w:color="auto" w:sz="4" w:space="0"/>
              <w:right w:val="single" w:color="auto" w:sz="4" w:space="0"/>
            </w:tcBorders>
            <w:vAlign w:val="center"/>
          </w:tcPr>
          <w:p>
            <w:pPr>
              <w:adjustRightInd w:val="0"/>
              <w:snapToGrid w:val="0"/>
              <w:spacing w:line="36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资格</w:t>
            </w:r>
            <w:r>
              <w:rPr>
                <w:rFonts w:hint="eastAsia" w:ascii="仿宋" w:hAnsi="仿宋" w:eastAsia="仿宋" w:cs="仿宋"/>
                <w:color w:val="auto"/>
                <w:sz w:val="24"/>
                <w:szCs w:val="24"/>
              </w:rPr>
              <w:t>审查不合格的投标供应商将视为非响应投标。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80" w:type="pct"/>
            <w:tcBorders>
              <w:left w:val="single" w:color="auto" w:sz="4" w:space="0"/>
              <w:right w:val="single" w:color="auto" w:sz="4" w:space="0"/>
            </w:tcBorders>
            <w:vAlign w:val="center"/>
          </w:tcPr>
          <w:p>
            <w:pPr>
              <w:adjustRightInd w:val="0"/>
              <w:snapToGrid w:val="0"/>
              <w:spacing w:line="360" w:lineRule="exact"/>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zh-CN"/>
              </w:rPr>
              <w:t>落实政府采购政策需满足的要求</w:t>
            </w:r>
          </w:p>
        </w:tc>
        <w:tc>
          <w:tcPr>
            <w:tcW w:w="894" w:type="pct"/>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w:t>
            </w:r>
          </w:p>
        </w:tc>
        <w:tc>
          <w:tcPr>
            <w:tcW w:w="3525" w:type="pct"/>
            <w:tcBorders>
              <w:left w:val="single" w:color="auto" w:sz="4" w:space="0"/>
              <w:right w:val="single" w:color="auto" w:sz="4" w:space="0"/>
            </w:tcBorders>
            <w:vAlign w:val="center"/>
          </w:tcPr>
          <w:p>
            <w:pPr>
              <w:adjustRightInd w:val="0"/>
              <w:snapToGrid w:val="0"/>
              <w:spacing w:line="360" w:lineRule="exact"/>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本项目专门面向</w:t>
            </w: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企业采购；须符合《政府采购促进中小企业发展管理办法》（财库〔2020〕46 号）规定的</w:t>
            </w: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企业参加，并提供《中小企业声明函》。</w:t>
            </w:r>
            <w:r>
              <w:rPr>
                <w:rFonts w:hint="eastAsia" w:ascii="仿宋" w:hAnsi="仿宋" w:eastAsia="仿宋" w:cs="仿宋"/>
                <w:color w:val="auto"/>
                <w:sz w:val="24"/>
                <w:szCs w:val="24"/>
              </w:rPr>
              <w:t>本项目采购标的对应的企业划分标准所属行业为：</w:t>
            </w:r>
            <w:r>
              <w:rPr>
                <w:rFonts w:hint="eastAsia" w:ascii="仿宋" w:hAnsi="仿宋" w:eastAsia="仿宋" w:cs="仿宋"/>
                <w:color w:val="auto"/>
                <w:sz w:val="24"/>
                <w:szCs w:val="24"/>
                <w:lang w:val="en-US" w:eastAsia="zh-CN"/>
              </w:rPr>
              <w:t>其他未列明行业</w:t>
            </w:r>
            <w:r>
              <w:rPr>
                <w:rFonts w:hint="eastAsia" w:ascii="仿宋" w:hAnsi="仿宋" w:eastAsia="仿宋" w:cs="仿宋"/>
                <w:color w:val="auto"/>
                <w:sz w:val="24"/>
                <w:szCs w:val="24"/>
              </w:rPr>
              <w:t>。</w:t>
            </w:r>
          </w:p>
        </w:tc>
      </w:tr>
    </w:tbl>
    <w:p>
      <w:pPr>
        <w:pStyle w:val="25"/>
        <w:numPr>
          <w:ilvl w:val="0"/>
          <w:numId w:val="0"/>
        </w:numPr>
        <w:rPr>
          <w:rFonts w:hint="eastAsia" w:ascii="仿宋" w:hAnsi="仿宋" w:eastAsia="仿宋" w:cs="仿宋"/>
          <w:color w:val="auto"/>
          <w:lang w:val="zh-CN"/>
        </w:rPr>
      </w:pPr>
    </w:p>
    <w:p>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en-US" w:eastAsia="zh-CN"/>
        </w:rPr>
        <w:t xml:space="preserve">2. </w:t>
      </w:r>
      <w:r>
        <w:rPr>
          <w:rFonts w:hint="eastAsia" w:ascii="仿宋" w:hAnsi="仿宋" w:eastAsia="仿宋" w:cs="仿宋"/>
          <w:color w:val="auto"/>
          <w:lang w:val="zh-CN"/>
        </w:rPr>
        <w:t>磋商响应文件有效性、完整性和响应性审查：</w:t>
      </w:r>
    </w:p>
    <w:tbl>
      <w:tblPr>
        <w:tblStyle w:val="27"/>
        <w:tblW w:w="5290" w:type="pct"/>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1046"/>
        <w:gridCol w:w="2423"/>
        <w:gridCol w:w="61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543" w:type="pct"/>
            <w:vAlign w:val="center"/>
          </w:tcPr>
          <w:p>
            <w:pPr>
              <w:adjustRightInd w:val="0"/>
              <w:snapToGrid w:val="0"/>
              <w:spacing w:line="30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258" w:type="pct"/>
            <w:vAlign w:val="center"/>
          </w:tcPr>
          <w:p>
            <w:pPr>
              <w:adjustRightInd w:val="0"/>
              <w:snapToGrid w:val="0"/>
              <w:spacing w:line="30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评审因素</w:t>
            </w:r>
          </w:p>
        </w:tc>
        <w:tc>
          <w:tcPr>
            <w:tcW w:w="3198" w:type="pct"/>
            <w:vAlign w:val="center"/>
          </w:tcPr>
          <w:p>
            <w:pPr>
              <w:adjustRightInd w:val="0"/>
              <w:snapToGrid w:val="0"/>
              <w:spacing w:line="30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0"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258"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color w:val="auto"/>
                <w:sz w:val="24"/>
                <w:szCs w:val="24"/>
              </w:rPr>
              <w:t>响应文件的组成</w:t>
            </w:r>
          </w:p>
        </w:tc>
        <w:tc>
          <w:tcPr>
            <w:tcW w:w="3198" w:type="pct"/>
            <w:vAlign w:val="center"/>
          </w:tcPr>
          <w:p>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符合</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lang w:eastAsia="zh-CN"/>
              </w:rPr>
              <w:t>文件基本格式要求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5"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1258"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bCs/>
                <w:color w:val="auto"/>
                <w:kern w:val="0"/>
                <w:sz w:val="24"/>
                <w:szCs w:val="24"/>
                <w:highlight w:val="none"/>
                <w:lang w:eastAsia="zh-CN"/>
              </w:rPr>
              <w:t>响应</w:t>
            </w:r>
            <w:r>
              <w:rPr>
                <w:rFonts w:hint="eastAsia" w:ascii="仿宋" w:hAnsi="仿宋" w:eastAsia="仿宋" w:cs="仿宋"/>
                <w:bCs/>
                <w:color w:val="auto"/>
                <w:kern w:val="0"/>
                <w:sz w:val="24"/>
                <w:szCs w:val="24"/>
                <w:highlight w:val="none"/>
              </w:rPr>
              <w:t>文件签署、盖章</w:t>
            </w:r>
          </w:p>
        </w:tc>
        <w:tc>
          <w:tcPr>
            <w:tcW w:w="3198" w:type="pct"/>
            <w:vAlign w:val="center"/>
          </w:tcPr>
          <w:p>
            <w:pPr>
              <w:adjustRightInd w:val="0"/>
              <w:snapToGrid w:val="0"/>
              <w:spacing w:line="360" w:lineRule="exact"/>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eastAsia="zh-CN"/>
              </w:rPr>
              <w:t>签署、盖章均符合竞争性磋商文件要求，且无遗漏。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1258" w:type="pct"/>
            <w:vAlign w:val="center"/>
          </w:tcPr>
          <w:p>
            <w:pPr>
              <w:adjustRightInd w:val="0"/>
              <w:snapToGrid w:val="0"/>
              <w:spacing w:line="360" w:lineRule="exact"/>
              <w:ind w:firstLine="240" w:firstLineChars="100"/>
              <w:jc w:val="both"/>
              <w:rPr>
                <w:rFonts w:hint="eastAsia" w:ascii="仿宋" w:hAnsi="仿宋" w:eastAsia="仿宋" w:cs="仿宋"/>
                <w:color w:val="auto"/>
                <w:kern w:val="0"/>
                <w:sz w:val="24"/>
                <w:szCs w:val="24"/>
                <w:lang w:eastAsia="zh-CN"/>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有效</w:t>
            </w:r>
            <w:r>
              <w:rPr>
                <w:rFonts w:hint="eastAsia" w:ascii="仿宋" w:hAnsi="仿宋" w:eastAsia="仿宋" w:cs="仿宋"/>
                <w:color w:val="auto"/>
                <w:sz w:val="24"/>
                <w:szCs w:val="24"/>
                <w:lang w:eastAsia="zh-CN"/>
              </w:rPr>
              <w:t>期</w:t>
            </w:r>
          </w:p>
        </w:tc>
        <w:tc>
          <w:tcPr>
            <w:tcW w:w="3198" w:type="pct"/>
            <w:vAlign w:val="center"/>
          </w:tcPr>
          <w:p>
            <w:pPr>
              <w:adjustRightInd w:val="0"/>
              <w:snapToGrid w:val="0"/>
              <w:spacing w:line="360" w:lineRule="exact"/>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90</w:t>
            </w:r>
            <w:r>
              <w:rPr>
                <w:rFonts w:hint="eastAsia" w:ascii="仿宋" w:hAnsi="仿宋" w:eastAsia="仿宋" w:cs="仿宋"/>
                <w:color w:val="auto"/>
                <w:sz w:val="24"/>
                <w:szCs w:val="24"/>
                <w:lang w:eastAsia="zh-CN"/>
              </w:rPr>
              <w:t>日历</w:t>
            </w:r>
            <w:r>
              <w:rPr>
                <w:rFonts w:hint="eastAsia" w:ascii="仿宋" w:hAnsi="仿宋" w:eastAsia="仿宋" w:cs="仿宋"/>
                <w:color w:val="auto"/>
                <w:sz w:val="24"/>
                <w:szCs w:val="24"/>
              </w:rPr>
              <w:t>天（从提交响应文件日起计算）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0"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w:t>
            </w:r>
          </w:p>
        </w:tc>
        <w:tc>
          <w:tcPr>
            <w:tcW w:w="1258" w:type="pct"/>
            <w:vAlign w:val="center"/>
          </w:tcPr>
          <w:p>
            <w:pPr>
              <w:adjustRightInd w:val="0"/>
              <w:snapToGrid w:val="0"/>
              <w:spacing w:line="36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kern w:val="0"/>
                <w:sz w:val="24"/>
                <w:szCs w:val="24"/>
                <w:highlight w:val="none"/>
                <w:lang w:eastAsia="zh-CN"/>
              </w:rPr>
              <w:t>磋商</w:t>
            </w:r>
            <w:r>
              <w:rPr>
                <w:rFonts w:hint="eastAsia" w:ascii="仿宋" w:hAnsi="仿宋" w:eastAsia="仿宋" w:cs="仿宋"/>
                <w:bCs/>
                <w:color w:val="auto"/>
                <w:kern w:val="0"/>
                <w:sz w:val="24"/>
                <w:szCs w:val="24"/>
                <w:highlight w:val="none"/>
              </w:rPr>
              <w:t>报价</w:t>
            </w:r>
          </w:p>
        </w:tc>
        <w:tc>
          <w:tcPr>
            <w:tcW w:w="3198" w:type="pct"/>
            <w:vAlign w:val="center"/>
          </w:tcPr>
          <w:p>
            <w:pPr>
              <w:adjustRightInd w:val="0"/>
              <w:snapToGrid w:val="0"/>
              <w:spacing w:line="360" w:lineRule="exact"/>
              <w:ind w:left="240" w:leftChars="100" w:firstLine="0" w:firstLineChars="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投标报价符合唯一性要求；开标一览表填写符合要求；报价货币符合磋商文件要求；未超出采购预算或磋商文件规定的最高限价；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1"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w:t>
            </w:r>
          </w:p>
        </w:tc>
        <w:tc>
          <w:tcPr>
            <w:tcW w:w="1258"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eastAsia="zh-CN"/>
              </w:rPr>
              <w:t>其他</w:t>
            </w:r>
          </w:p>
        </w:tc>
        <w:tc>
          <w:tcPr>
            <w:tcW w:w="3198" w:type="pct"/>
            <w:vAlign w:val="center"/>
          </w:tcPr>
          <w:p>
            <w:pPr>
              <w:adjustRightInd w:val="0"/>
              <w:snapToGrid w:val="0"/>
              <w:spacing w:line="360" w:lineRule="exact"/>
              <w:ind w:left="240" w:leftChars="100" w:firstLine="0" w:firstLineChars="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val="en-US" w:eastAsia="zh-CN"/>
              </w:rPr>
              <w:t xml:space="preserve">完全理解并接受法律法规和磋商文件对供应商的各项须知、规约要求和责任义务，未对磋商文件做出实质性响应的，视为无效投标。  </w:t>
            </w:r>
          </w:p>
        </w:tc>
      </w:tr>
    </w:tbl>
    <w:p>
      <w:pPr>
        <w:keepNext w:val="0"/>
        <w:keepLines w:val="0"/>
        <w:pageBreakBefore w:val="0"/>
        <w:widowControl/>
        <w:kinsoku/>
        <w:wordWrap/>
        <w:overflowPunct/>
        <w:topLinePunct w:val="0"/>
        <w:autoSpaceDE w:val="0"/>
        <w:autoSpaceDN w:val="0"/>
        <w:bidi w:val="0"/>
        <w:adjustRightInd w:val="0"/>
        <w:snapToGrid w:val="0"/>
        <w:spacing w:line="360" w:lineRule="auto"/>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依据磋商文件的规定，对响应文件的有效性、完整性和响应性进行审查，以确定是否满足磋商文件要求，出现下列情况者（但不限于），按无效文件处理。</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（1）竞争性磋商文件要求提交原件时未按要求提交原件的。</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（2）供应商未按磋商文件要求加盖单位公章。</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3</w:t>
      </w:r>
      <w:r>
        <w:rPr>
          <w:rFonts w:hint="eastAsia" w:ascii="仿宋" w:hAnsi="仿宋" w:eastAsia="仿宋" w:cs="仿宋"/>
          <w:color w:val="auto"/>
          <w:lang w:val="zh-CN"/>
        </w:rPr>
        <w:t>）磋商响应文件未按磋商文件要求法定代表人或其授权代表签字。</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4</w:t>
      </w:r>
      <w:r>
        <w:rPr>
          <w:rFonts w:hint="eastAsia" w:ascii="仿宋" w:hAnsi="仿宋" w:eastAsia="仿宋" w:cs="仿宋"/>
          <w:color w:val="auto"/>
          <w:lang w:val="zh-CN"/>
        </w:rPr>
        <w:t>）无有效期或有效期达不到磋商文件的要求。</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5</w:t>
      </w:r>
      <w:r>
        <w:rPr>
          <w:rFonts w:hint="eastAsia" w:ascii="仿宋" w:hAnsi="仿宋" w:eastAsia="仿宋" w:cs="仿宋"/>
          <w:color w:val="auto"/>
          <w:lang w:val="zh-CN"/>
        </w:rPr>
        <w:t>）供应商首次磋商报价出现选择性报价。</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6</w:t>
      </w:r>
      <w:r>
        <w:rPr>
          <w:rFonts w:hint="eastAsia" w:ascii="仿宋" w:hAnsi="仿宋" w:eastAsia="仿宋" w:cs="仿宋"/>
          <w:color w:val="auto"/>
          <w:lang w:val="zh-CN"/>
        </w:rPr>
        <w:t>）首次磋商报价超出采购预算。</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7</w:t>
      </w:r>
      <w:r>
        <w:rPr>
          <w:rFonts w:hint="eastAsia" w:ascii="仿宋" w:hAnsi="仿宋" w:eastAsia="仿宋" w:cs="仿宋"/>
          <w:color w:val="auto"/>
          <w:lang w:val="zh-CN"/>
        </w:rPr>
        <w:t>）响应文件中对合同草案条款附加了采购人难以接受的条件。</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8</w:t>
      </w:r>
      <w:r>
        <w:rPr>
          <w:rFonts w:hint="eastAsia" w:ascii="仿宋" w:hAnsi="仿宋" w:eastAsia="仿宋" w:cs="仿宋"/>
          <w:color w:val="auto"/>
          <w:lang w:val="zh-CN"/>
        </w:rPr>
        <w:t>）磋商内容出现漏项或数量与要求不符，出现重大负偏差。</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9</w:t>
      </w:r>
      <w:r>
        <w:rPr>
          <w:rFonts w:hint="eastAsia" w:ascii="仿宋" w:hAnsi="仿宋" w:eastAsia="仿宋" w:cs="仿宋"/>
          <w:color w:val="auto"/>
          <w:lang w:val="zh-CN"/>
        </w:rPr>
        <w:t>）响应文件中技术指标达不到采购要求，降低了</w:t>
      </w:r>
      <w:r>
        <w:rPr>
          <w:rFonts w:hint="eastAsia" w:ascii="仿宋" w:hAnsi="仿宋" w:eastAsia="仿宋" w:cs="仿宋"/>
          <w:color w:val="auto"/>
        </w:rPr>
        <w:t>服务质量</w:t>
      </w:r>
      <w:r>
        <w:rPr>
          <w:rFonts w:hint="eastAsia" w:ascii="仿宋" w:hAnsi="仿宋" w:eastAsia="仿宋" w:cs="仿宋"/>
          <w:color w:val="auto"/>
          <w:lang w:val="zh-CN"/>
        </w:rPr>
        <w:t>。</w:t>
      </w:r>
    </w:p>
    <w:p>
      <w:pPr>
        <w:autoSpaceDE w:val="0"/>
        <w:autoSpaceDN w:val="0"/>
        <w:adjustRightInd w:val="0"/>
        <w:snapToGrid w:val="0"/>
        <w:spacing w:line="360" w:lineRule="auto"/>
        <w:ind w:firstLine="482"/>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10</w:t>
      </w:r>
      <w:r>
        <w:rPr>
          <w:rFonts w:hint="eastAsia" w:ascii="仿宋" w:hAnsi="仿宋" w:eastAsia="仿宋" w:cs="仿宋"/>
          <w:color w:val="auto"/>
          <w:lang w:val="zh-CN"/>
        </w:rPr>
        <w:t>）响应报价与市场价偏离较大，低于成本，形成不正当竞争。</w:t>
      </w:r>
    </w:p>
    <w:p>
      <w:pPr>
        <w:autoSpaceDE w:val="0"/>
        <w:autoSpaceDN w:val="0"/>
        <w:adjustRightInd w:val="0"/>
        <w:snapToGrid w:val="0"/>
        <w:spacing w:line="360" w:lineRule="auto"/>
        <w:ind w:firstLine="482"/>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11</w:t>
      </w:r>
      <w:r>
        <w:rPr>
          <w:rFonts w:hint="eastAsia" w:ascii="仿宋" w:hAnsi="仿宋" w:eastAsia="仿宋" w:cs="仿宋"/>
          <w:color w:val="auto"/>
          <w:lang w:val="zh-CN"/>
        </w:rPr>
        <w:t>）供应商提供虚假证明，开具虚假资质，出现虚假应答或故意隐瞒行为。</w:t>
      </w:r>
    </w:p>
    <w:p>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仿宋" w:hAnsi="仿宋" w:eastAsia="仿宋" w:cs="仿宋"/>
          <w:color w:val="auto"/>
          <w:lang w:val="zh-CN"/>
        </w:rPr>
      </w:pPr>
      <w:r>
        <w:rPr>
          <w:rFonts w:hint="eastAsia" w:ascii="仿宋" w:hAnsi="仿宋" w:eastAsia="仿宋" w:cs="仿宋"/>
          <w:color w:val="auto"/>
          <w:lang w:val="en-US" w:eastAsia="zh-CN"/>
        </w:rPr>
        <w:t>3</w:t>
      </w:r>
      <w:r>
        <w:rPr>
          <w:rFonts w:hint="eastAsia" w:ascii="仿宋" w:hAnsi="仿宋" w:eastAsia="仿宋" w:cs="仿宋"/>
          <w:color w:val="auto"/>
        </w:rPr>
        <w:t>.</w:t>
      </w:r>
      <w:r>
        <w:rPr>
          <w:rFonts w:hint="eastAsia" w:ascii="仿宋" w:hAnsi="仿宋" w:eastAsia="仿宋" w:cs="仿宋"/>
          <w:color w:val="auto"/>
          <w:lang w:val="zh-CN"/>
        </w:rPr>
        <w:t>磋商：磋商小组所有成员与单一供应商分别进行磋商，并给所有参加磋商供应商平等的磋商机会。</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.1</w:t>
      </w:r>
      <w:r>
        <w:rPr>
          <w:rFonts w:hint="eastAsia" w:ascii="仿宋" w:hAnsi="仿宋" w:eastAsia="仿宋" w:cs="仿宋"/>
          <w:color w:val="auto"/>
          <w:lang w:val="zh-CN"/>
        </w:rPr>
        <w:t>磋商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w:t>
      </w:r>
      <w:r>
        <w:rPr>
          <w:rFonts w:hint="eastAsia" w:ascii="仿宋" w:hAnsi="仿宋" w:eastAsia="仿宋" w:cs="仿宋"/>
          <w:color w:val="auto"/>
        </w:rPr>
        <w:t>字或者加盖公章。澄清、说明或者更正不得超出响应范围，或者改变响应文件的实质性内容。</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2磋商过程中，磋商小组可以根据磋商文件和磋商情况实质性变动采购需求中的技术、服务要求以及合同草案条款，但不得变动磋商文件中的其他内容。实质性变动的内容，须经采购人代表确认，并成为磋商文件的有效组成部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.3供应商应在磋商小组规定的时间内，以书面形式进行澄清、说明或者更正，并由法定代表人或者授权代表签字或者加盖公章。</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．第二次报价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.1通过资质审查合格的供应商，在磋商响应文件都符合磋商文件的要求并满足技术、商务需要的才进入第二次报价和评审。</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2质量和服务均能满足磋商文件实质性响应要求的供应商进行第二次报价，有效响应供应商不少于3家。评审小组要求供应商在规定时间内提交最后报价，最后报价是供应商响应文件的有效组成部分，且由法定代表人或者授权人签字或者盖章。</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.3供应商最低报价出现相同时，相同的供应商再报一次价格，得出最低报价。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.4依据相关文件（陕财办采资</w:t>
      </w:r>
      <w:r>
        <w:rPr>
          <w:rFonts w:hint="eastAsia" w:ascii="仿宋" w:hAnsi="仿宋" w:eastAsia="仿宋" w:cs="仿宋"/>
          <w:color w:val="auto"/>
          <w:sz w:val="24"/>
        </w:rPr>
        <w:t>〔201</w:t>
      </w:r>
      <w:r>
        <w:rPr>
          <w:rFonts w:hint="eastAsia" w:ascii="仿宋" w:hAnsi="仿宋" w:eastAsia="仿宋" w:cs="仿宋"/>
          <w:color w:val="auto"/>
          <w:sz w:val="24"/>
          <w:lang w:val="en-US" w:eastAsia="zh-CN"/>
        </w:rPr>
        <w:t>6</w:t>
      </w:r>
      <w:r>
        <w:rPr>
          <w:rFonts w:hint="eastAsia" w:ascii="仿宋" w:hAnsi="仿宋" w:eastAsia="仿宋" w:cs="仿宋"/>
          <w:color w:val="auto"/>
          <w:sz w:val="24"/>
        </w:rPr>
        <w:t>〕</w:t>
      </w:r>
      <w:r>
        <w:rPr>
          <w:rFonts w:hint="eastAsia" w:ascii="仿宋" w:hAnsi="仿宋" w:eastAsia="仿宋" w:cs="仿宋"/>
          <w:color w:val="auto"/>
        </w:rPr>
        <w:t>53号令）规定，第一次报价与最终报价均不予公布。</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.比较与评价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lang w:val="zh-CN"/>
        </w:rPr>
      </w:pPr>
      <w:r>
        <w:rPr>
          <w:rFonts w:hint="eastAsia" w:ascii="仿宋" w:hAnsi="仿宋" w:eastAsia="仿宋" w:cs="仿宋"/>
          <w:color w:val="auto"/>
          <w:lang w:val="en-US" w:eastAsia="zh-CN"/>
        </w:rPr>
        <w:t>5</w:t>
      </w:r>
      <w:r>
        <w:rPr>
          <w:rFonts w:hint="eastAsia" w:ascii="仿宋" w:hAnsi="仿宋" w:eastAsia="仿宋" w:cs="仿宋"/>
          <w:color w:val="auto"/>
        </w:rPr>
        <w:t>.1</w:t>
      </w:r>
      <w:r>
        <w:rPr>
          <w:rFonts w:hint="eastAsia" w:ascii="仿宋" w:hAnsi="仿宋" w:eastAsia="仿宋" w:cs="仿宋"/>
          <w:color w:val="auto"/>
          <w:lang w:val="zh-CN"/>
        </w:rPr>
        <w:t>磋商小组在评审过程中，发现响应文件出现下列情况之一者，按以下原则修正：</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（1）大写金额与小写金额不一致的，以大写金额为准；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（2）总价金额与按单价汇总金额不一致的，以单价金额计算结果为准；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（3）单价金额小数点有明显错位的，应以总价为准，并修改单价；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（4）对不同文字文本响应文件的解释发生异议的，以中文文本为准；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lang w:val="zh-CN"/>
        </w:rPr>
      </w:pPr>
      <w:r>
        <w:rPr>
          <w:rFonts w:hint="eastAsia" w:ascii="仿宋" w:hAnsi="仿宋" w:eastAsia="仿宋" w:cs="仿宋"/>
          <w:color w:val="auto"/>
        </w:rPr>
        <w:t>（5）</w:t>
      </w:r>
      <w:r>
        <w:rPr>
          <w:rFonts w:hint="eastAsia" w:ascii="仿宋" w:hAnsi="仿宋" w:eastAsia="仿宋" w:cs="仿宋"/>
          <w:color w:val="auto"/>
          <w:lang w:val="zh-CN"/>
        </w:rPr>
        <w:t>文字与图表不一致的，以文字为准；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zh-CN"/>
        </w:rPr>
        <w:t>（</w:t>
      </w:r>
      <w:r>
        <w:rPr>
          <w:rFonts w:hint="eastAsia" w:ascii="仿宋" w:hAnsi="仿宋" w:eastAsia="仿宋" w:cs="仿宋"/>
          <w:color w:val="auto"/>
          <w:lang w:val="en-US" w:eastAsia="zh-CN"/>
        </w:rPr>
        <w:t>6</w:t>
      </w:r>
      <w:r>
        <w:rPr>
          <w:rFonts w:hint="eastAsia" w:ascii="仿宋" w:hAnsi="仿宋" w:eastAsia="仿宋" w:cs="仿宋"/>
          <w:color w:val="auto"/>
          <w:lang w:val="zh-CN"/>
        </w:rPr>
        <w:t>）</w:t>
      </w:r>
      <w:r>
        <w:rPr>
          <w:rFonts w:hint="eastAsia" w:ascii="仿宋" w:hAnsi="仿宋" w:eastAsia="仿宋" w:cs="仿宋"/>
          <w:color w:val="auto"/>
        </w:rPr>
        <w:t>响应文件的文字叙述与制造厂商的产品样本/检测报告不符时，以产品样本/检测报告为准。</w:t>
      </w:r>
    </w:p>
    <w:p>
      <w:pPr>
        <w:keepNext w:val="0"/>
        <w:keepLines w:val="0"/>
        <w:pageBreakBefore w:val="0"/>
        <w:widowControl/>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.2按照磋商文件规定的评审方法和标准，对审查合格的文件进行商务和技术评审，综合比较和评价，最低报价不</w:t>
      </w:r>
      <w:r>
        <w:rPr>
          <w:rFonts w:hint="eastAsia" w:ascii="仿宋" w:hAnsi="仿宋" w:eastAsia="仿宋" w:cs="仿宋"/>
          <w:color w:val="auto"/>
          <w:lang w:eastAsia="zh-CN"/>
        </w:rPr>
        <w:t>作</w:t>
      </w:r>
      <w:r>
        <w:rPr>
          <w:rFonts w:hint="eastAsia" w:ascii="仿宋" w:hAnsi="仿宋" w:eastAsia="仿宋" w:cs="仿宋"/>
          <w:color w:val="auto"/>
        </w:rPr>
        <w:t>为成交的唯一条件。</w:t>
      </w:r>
    </w:p>
    <w:p>
      <w:pPr>
        <w:keepNext w:val="0"/>
        <w:keepLines w:val="0"/>
        <w:pageBreakBefore w:val="0"/>
        <w:widowControl/>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en-US" w:eastAsia="zh-CN"/>
        </w:rPr>
        <w:t>6.</w:t>
      </w:r>
      <w:r>
        <w:rPr>
          <w:rFonts w:hint="eastAsia" w:ascii="仿宋" w:hAnsi="仿宋" w:eastAsia="仿宋" w:cs="仿宋"/>
          <w:color w:val="auto"/>
          <w:lang w:val="zh-CN"/>
        </w:rPr>
        <w:t>评审程序：采取逐项分步评审方式，每一步评审不符合者，不进入下一步评审，全部评审合格的供应商进行最后的综合评审和打分，按最后得分由高向低排序，推荐成交候选单位。</w:t>
      </w:r>
    </w:p>
    <w:p>
      <w:pPr>
        <w:keepNext w:val="0"/>
        <w:keepLines w:val="0"/>
        <w:pageBreakBefore w:val="0"/>
        <w:widowControl/>
        <w:kinsoku/>
        <w:wordWrap/>
        <w:overflowPunct/>
        <w:topLinePunct w:val="0"/>
        <w:bidi w:val="0"/>
        <w:adjustRightInd w:val="0"/>
        <w:snapToGrid w:val="0"/>
        <w:spacing w:line="360" w:lineRule="auto"/>
        <w:textAlignment w:val="auto"/>
        <w:outlineLvl w:val="1"/>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七、</w:t>
      </w:r>
      <w:r>
        <w:rPr>
          <w:rFonts w:hint="eastAsia" w:ascii="仿宋" w:hAnsi="仿宋" w:eastAsia="仿宋" w:cs="仿宋"/>
          <w:b/>
          <w:color w:val="auto"/>
          <w:sz w:val="24"/>
          <w:szCs w:val="24"/>
        </w:rPr>
        <w:t>评标原则和办法</w:t>
      </w:r>
    </w:p>
    <w:p>
      <w:pPr>
        <w:keepNext w:val="0"/>
        <w:keepLines w:val="0"/>
        <w:pageBreakBefore w:val="0"/>
        <w:widowControl/>
        <w:kinsoku/>
        <w:wordWrap/>
        <w:overflowPunct/>
        <w:topLinePunct w:val="0"/>
        <w:bidi w:val="0"/>
        <w:adjustRightInd w:val="0"/>
        <w:snapToGrid w:val="0"/>
        <w:spacing w:line="360" w:lineRule="auto"/>
        <w:ind w:firstLine="570"/>
        <w:textAlignment w:val="auto"/>
        <w:rPr>
          <w:rFonts w:hint="eastAsia" w:ascii="仿宋" w:hAnsi="仿宋" w:eastAsia="仿宋" w:cs="仿宋"/>
          <w:b/>
          <w:color w:val="auto"/>
        </w:rPr>
      </w:pPr>
      <w:r>
        <w:rPr>
          <w:rFonts w:hint="eastAsia" w:ascii="仿宋" w:hAnsi="仿宋" w:eastAsia="仿宋" w:cs="仿宋"/>
          <w:color w:val="auto"/>
        </w:rPr>
        <w:t>采用综合评分法，即在满足</w:t>
      </w:r>
      <w:r>
        <w:rPr>
          <w:rFonts w:hint="eastAsia" w:ascii="仿宋" w:hAnsi="仿宋" w:eastAsia="仿宋" w:cs="仿宋"/>
          <w:color w:val="auto"/>
          <w:lang w:eastAsia="zh-CN"/>
        </w:rPr>
        <w:t>竞争性磋商文件</w:t>
      </w:r>
      <w:r>
        <w:rPr>
          <w:rFonts w:hint="eastAsia" w:ascii="仿宋" w:hAnsi="仿宋" w:eastAsia="仿宋" w:cs="仿宋"/>
          <w:color w:val="auto"/>
        </w:rPr>
        <w:t>实质性要求前提下，按照</w:t>
      </w:r>
      <w:r>
        <w:rPr>
          <w:rFonts w:hint="eastAsia" w:ascii="仿宋" w:hAnsi="仿宋" w:eastAsia="仿宋" w:cs="仿宋"/>
          <w:color w:val="auto"/>
          <w:lang w:val="en-US" w:eastAsia="zh-CN"/>
        </w:rPr>
        <w:t>磋商</w:t>
      </w:r>
      <w:r>
        <w:rPr>
          <w:rFonts w:hint="eastAsia" w:ascii="仿宋" w:hAnsi="仿宋" w:eastAsia="仿宋" w:cs="仿宋"/>
          <w:color w:val="auto"/>
        </w:rPr>
        <w:t>文件中规定的各项因素进行综合评审后，以评审总得分顺序推荐</w:t>
      </w:r>
      <w:r>
        <w:rPr>
          <w:rFonts w:hint="eastAsia" w:ascii="仿宋" w:hAnsi="仿宋" w:eastAsia="仿宋" w:cs="仿宋"/>
          <w:color w:val="auto"/>
          <w:lang w:val="en-US" w:eastAsia="zh-CN"/>
        </w:rPr>
        <w:t>成交</w:t>
      </w:r>
      <w:r>
        <w:rPr>
          <w:rFonts w:hint="eastAsia" w:ascii="仿宋" w:hAnsi="仿宋" w:eastAsia="仿宋" w:cs="仿宋"/>
          <w:color w:val="auto"/>
        </w:rPr>
        <w:t>候选人。具体评审因素和分值如下</w:t>
      </w:r>
      <w:r>
        <w:rPr>
          <w:rFonts w:hint="eastAsia" w:ascii="仿宋" w:hAnsi="仿宋" w:eastAsia="仿宋" w:cs="仿宋"/>
          <w:b w:val="0"/>
          <w:bCs w:val="0"/>
          <w:color w:val="auto"/>
        </w:rPr>
        <w:t>。</w:t>
      </w:r>
      <w:r>
        <w:rPr>
          <w:rFonts w:hint="eastAsia" w:ascii="仿宋" w:hAnsi="仿宋" w:eastAsia="仿宋" w:cs="仿宋"/>
          <w:b/>
          <w:color w:val="auto"/>
        </w:rPr>
        <w:t xml:space="preserve"> </w:t>
      </w:r>
    </w:p>
    <w:p>
      <w:pPr>
        <w:spacing w:line="360" w:lineRule="auto"/>
        <w:rPr>
          <w:rFonts w:hint="eastAsia" w:ascii="仿宋" w:hAnsi="仿宋" w:eastAsia="仿宋" w:cs="仿宋"/>
          <w:b/>
          <w:color w:val="auto"/>
        </w:rPr>
      </w:pPr>
      <w:r>
        <w:rPr>
          <w:rFonts w:hint="eastAsia" w:ascii="仿宋" w:hAnsi="仿宋" w:eastAsia="仿宋" w:cs="仿宋"/>
          <w:b/>
          <w:color w:val="auto"/>
        </w:rPr>
        <w:t>评审总分值为100分，具体分值如下：</w:t>
      </w:r>
    </w:p>
    <w:tbl>
      <w:tblPr>
        <w:tblStyle w:val="27"/>
        <w:tblW w:w="5412" w:type="pct"/>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1005"/>
        <w:gridCol w:w="743"/>
        <w:gridCol w:w="6943"/>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53" w:type="pct"/>
            <w:noWrap w:val="0"/>
            <w:vAlign w:val="center"/>
          </w:tcPr>
          <w:p>
            <w:pPr>
              <w:pStyle w:val="13"/>
              <w:keepNext w:val="0"/>
              <w:keepLines w:val="0"/>
              <w:pageBreakBefore w:val="0"/>
              <w:widowControl w:val="0"/>
              <w:tabs>
                <w:tab w:val="left" w:pos="600"/>
              </w:tabs>
              <w:kinsoku/>
              <w:wordWrap/>
              <w:overflowPunct/>
              <w:topLinePunct w:val="0"/>
              <w:autoSpaceDE/>
              <w:autoSpaceDN/>
              <w:bidi w:val="0"/>
              <w:adjustRightInd w:val="0"/>
              <w:snapToGrid/>
              <w:spacing w:line="400" w:lineRule="exact"/>
              <w:ind w:left="0" w:leftChars="0" w:firstLine="0" w:firstLineChars="0"/>
              <w:jc w:val="center"/>
              <w:textAlignment w:val="baseline"/>
              <w:rPr>
                <w:rFonts w:hint="eastAsia" w:ascii="仿宋" w:hAnsi="仿宋" w:eastAsia="仿宋" w:cs="仿宋"/>
                <w:color w:val="auto"/>
                <w:sz w:val="28"/>
                <w:szCs w:val="28"/>
                <w:lang w:val="en-US" w:eastAsia="zh-CN" w:bidi="ar-SA"/>
              </w:rPr>
            </w:pPr>
            <w:r>
              <w:rPr>
                <w:rFonts w:hint="eastAsia" w:ascii="仿宋" w:hAnsi="仿宋" w:eastAsia="仿宋" w:cs="仿宋"/>
                <w:b/>
                <w:bCs/>
                <w:color w:val="auto"/>
                <w:sz w:val="28"/>
                <w:szCs w:val="28"/>
                <w:lang w:val="en-US" w:eastAsia="zh-CN" w:bidi="ar-SA"/>
              </w:rPr>
              <w:t>序号</w:t>
            </w:r>
          </w:p>
        </w:tc>
        <w:tc>
          <w:tcPr>
            <w:tcW w:w="499" w:type="pct"/>
            <w:noWrap w:val="0"/>
            <w:vAlign w:val="center"/>
          </w:tcPr>
          <w:p>
            <w:pPr>
              <w:pStyle w:val="13"/>
              <w:keepNext w:val="0"/>
              <w:keepLines w:val="0"/>
              <w:pageBreakBefore w:val="0"/>
              <w:widowControl w:val="0"/>
              <w:tabs>
                <w:tab w:val="left" w:pos="600"/>
              </w:tabs>
              <w:kinsoku/>
              <w:wordWrap/>
              <w:overflowPunct/>
              <w:topLinePunct w:val="0"/>
              <w:autoSpaceDE/>
              <w:autoSpaceDN/>
              <w:bidi w:val="0"/>
              <w:adjustRightInd w:val="0"/>
              <w:snapToGrid/>
              <w:spacing w:line="400" w:lineRule="exact"/>
              <w:ind w:left="0" w:leftChars="0" w:firstLine="0" w:firstLineChars="0"/>
              <w:jc w:val="center"/>
              <w:textAlignment w:val="baseline"/>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评审内容</w:t>
            </w:r>
          </w:p>
        </w:tc>
        <w:tc>
          <w:tcPr>
            <w:tcW w:w="369" w:type="pct"/>
            <w:noWrap w:val="0"/>
            <w:vAlign w:val="center"/>
          </w:tcPr>
          <w:p>
            <w:pPr>
              <w:pStyle w:val="13"/>
              <w:keepNext w:val="0"/>
              <w:keepLines w:val="0"/>
              <w:pageBreakBefore w:val="0"/>
              <w:widowControl w:val="0"/>
              <w:tabs>
                <w:tab w:val="left" w:pos="600"/>
              </w:tabs>
              <w:kinsoku/>
              <w:wordWrap/>
              <w:overflowPunct/>
              <w:topLinePunct w:val="0"/>
              <w:autoSpaceDE/>
              <w:autoSpaceDN/>
              <w:bidi w:val="0"/>
              <w:adjustRightInd w:val="0"/>
              <w:snapToGrid/>
              <w:spacing w:line="400" w:lineRule="exact"/>
              <w:ind w:left="0" w:leftChars="0" w:firstLine="0" w:firstLineChars="0"/>
              <w:jc w:val="center"/>
              <w:textAlignment w:val="baseline"/>
              <w:rPr>
                <w:rFonts w:hint="eastAsia" w:ascii="仿宋" w:hAnsi="仿宋" w:eastAsia="仿宋" w:cs="仿宋"/>
                <w:b/>
                <w:bCs/>
                <w:color w:val="auto"/>
                <w:sz w:val="28"/>
                <w:szCs w:val="28"/>
              </w:rPr>
            </w:pPr>
            <w:r>
              <w:rPr>
                <w:rFonts w:hint="eastAsia" w:ascii="仿宋" w:hAnsi="仿宋" w:eastAsia="仿宋" w:cs="仿宋"/>
                <w:b/>
                <w:color w:val="auto"/>
                <w:sz w:val="28"/>
                <w:szCs w:val="28"/>
                <w:lang w:val="en-US" w:eastAsia="zh-CN"/>
              </w:rPr>
              <w:t>分值</w:t>
            </w:r>
          </w:p>
        </w:tc>
        <w:tc>
          <w:tcPr>
            <w:tcW w:w="3453" w:type="pct"/>
            <w:noWrap w:val="0"/>
            <w:vAlign w:val="center"/>
          </w:tcPr>
          <w:p>
            <w:pPr>
              <w:pStyle w:val="13"/>
              <w:keepNext w:val="0"/>
              <w:keepLines w:val="0"/>
              <w:pageBreakBefore w:val="0"/>
              <w:widowControl w:val="0"/>
              <w:tabs>
                <w:tab w:val="left" w:pos="600"/>
              </w:tabs>
              <w:kinsoku/>
              <w:wordWrap/>
              <w:overflowPunct/>
              <w:topLinePunct w:val="0"/>
              <w:autoSpaceDE/>
              <w:autoSpaceDN/>
              <w:bidi w:val="0"/>
              <w:adjustRightInd w:val="0"/>
              <w:snapToGrid/>
              <w:spacing w:line="400" w:lineRule="exact"/>
              <w:jc w:val="center"/>
              <w:textAlignment w:val="baseline"/>
              <w:rPr>
                <w:rFonts w:hint="eastAsia" w:ascii="仿宋" w:hAnsi="仿宋" w:eastAsia="仿宋" w:cs="仿宋"/>
                <w:b/>
                <w:bCs/>
                <w:color w:val="auto"/>
                <w:sz w:val="28"/>
                <w:szCs w:val="28"/>
              </w:rPr>
            </w:pPr>
            <w:r>
              <w:rPr>
                <w:rFonts w:hint="eastAsia" w:ascii="仿宋" w:hAnsi="仿宋" w:eastAsia="仿宋" w:cs="仿宋"/>
                <w:b/>
                <w:bCs/>
                <w:color w:val="auto"/>
                <w:sz w:val="28"/>
                <w:szCs w:val="28"/>
              </w:rPr>
              <w:t>评标原则与标准</w:t>
            </w:r>
          </w:p>
        </w:tc>
        <w:tc>
          <w:tcPr>
            <w:tcW w:w="424" w:type="pct"/>
            <w:noWrap w:val="0"/>
            <w:vAlign w:val="center"/>
          </w:tcPr>
          <w:p>
            <w:pPr>
              <w:pStyle w:val="13"/>
              <w:keepNext w:val="0"/>
              <w:keepLines w:val="0"/>
              <w:pageBreakBefore w:val="0"/>
              <w:widowControl w:val="0"/>
              <w:tabs>
                <w:tab w:val="left" w:pos="600"/>
              </w:tabs>
              <w:kinsoku/>
              <w:wordWrap/>
              <w:overflowPunct/>
              <w:topLinePunct w:val="0"/>
              <w:autoSpaceDE/>
              <w:autoSpaceDN/>
              <w:bidi w:val="0"/>
              <w:adjustRightInd w:val="0"/>
              <w:snapToGrid/>
              <w:spacing w:line="400" w:lineRule="exact"/>
              <w:ind w:left="0" w:leftChars="0"/>
              <w:jc w:val="distribute"/>
              <w:textAlignment w:val="baseline"/>
              <w:rPr>
                <w:rFonts w:hint="default"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主、客观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trPr>
        <w:tc>
          <w:tcPr>
            <w:tcW w:w="2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w:t>
            </w:r>
          </w:p>
        </w:tc>
        <w:tc>
          <w:tcPr>
            <w:tcW w:w="49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磋商</w:t>
            </w:r>
          </w:p>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报价</w:t>
            </w:r>
          </w:p>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en-US" w:eastAsia="zh-CN"/>
              </w:rPr>
              <w:t>15分</w:t>
            </w:r>
          </w:p>
        </w:tc>
        <w:tc>
          <w:tcPr>
            <w:tcW w:w="34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满足磋商文件要求且投标价格最低的报价为评标基准价，其价格分为满分。其他投标供应商的价格分统一按照下列公式计算：磋商报价得分=（评标基准价/投标报价）×</w:t>
            </w:r>
            <w:r>
              <w:rPr>
                <w:rFonts w:hint="eastAsia" w:ascii="仿宋" w:hAnsi="仿宋" w:eastAsia="仿宋" w:cs="仿宋"/>
                <w:color w:val="000000"/>
                <w:sz w:val="24"/>
                <w:szCs w:val="24"/>
                <w:lang w:val="en-US" w:eastAsia="zh-CN"/>
              </w:rPr>
              <w:t>15</w:t>
            </w:r>
            <w:r>
              <w:rPr>
                <w:rFonts w:hint="eastAsia" w:ascii="仿宋" w:hAnsi="仿宋" w:eastAsia="仿宋" w:cs="仿宋"/>
                <w:color w:val="000000"/>
                <w:sz w:val="24"/>
                <w:szCs w:val="24"/>
                <w:lang w:val="zh-CN" w:eastAsia="zh-CN"/>
              </w:rPr>
              <w:t>。</w:t>
            </w:r>
          </w:p>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磋商报价明显低于其他投标人，经磋商小组质询后不能在规定时间内说明理由，或说明理由但磋商小组认为理由不能成立的，客观上形成不良竞争，按无效标处理。</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49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商务</w:t>
            </w:r>
          </w:p>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响应</w:t>
            </w: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5分</w:t>
            </w:r>
          </w:p>
        </w:tc>
        <w:tc>
          <w:tcPr>
            <w:tcW w:w="34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zh-CN" w:eastAsia="zh-CN"/>
              </w:rPr>
            </w:pPr>
            <w:r>
              <w:rPr>
                <w:rFonts w:hint="eastAsia" w:ascii="仿宋" w:hAnsi="仿宋" w:eastAsia="仿宋" w:cs="仿宋"/>
                <w:sz w:val="24"/>
                <w:szCs w:val="24"/>
              </w:rPr>
              <w:t>经过有效性和符合性审核合格的单位，对付款、</w:t>
            </w:r>
            <w:r>
              <w:rPr>
                <w:rFonts w:hint="eastAsia" w:ascii="仿宋" w:hAnsi="仿宋" w:eastAsia="仿宋" w:cs="仿宋"/>
                <w:sz w:val="24"/>
                <w:szCs w:val="24"/>
                <w:lang w:val="en-US" w:eastAsia="zh-CN"/>
              </w:rPr>
              <w:t>服务期</w:t>
            </w:r>
            <w:r>
              <w:rPr>
                <w:rFonts w:hint="eastAsia" w:ascii="仿宋" w:hAnsi="仿宋" w:eastAsia="仿宋" w:cs="仿宋"/>
                <w:sz w:val="24"/>
                <w:szCs w:val="24"/>
              </w:rPr>
              <w:t>、验收、售后服务等方面进行响应，完全响应且逐项详细说明的计5分，未做详细响应的，赋</w:t>
            </w:r>
            <w:r>
              <w:rPr>
                <w:rFonts w:hint="eastAsia" w:ascii="仿宋" w:hAnsi="仿宋" w:eastAsia="仿宋" w:cs="仿宋"/>
                <w:sz w:val="24"/>
                <w:szCs w:val="24"/>
                <w:lang w:val="en-US" w:eastAsia="zh-CN"/>
              </w:rPr>
              <w:t>3</w:t>
            </w:r>
            <w:r>
              <w:rPr>
                <w:rFonts w:hint="eastAsia" w:ascii="仿宋" w:hAnsi="仿宋" w:eastAsia="仿宋" w:cs="仿宋"/>
                <w:sz w:val="24"/>
                <w:szCs w:val="24"/>
              </w:rPr>
              <w:t>分</w:t>
            </w:r>
            <w:r>
              <w:rPr>
                <w:rFonts w:hint="eastAsia" w:ascii="仿宋" w:hAnsi="仿宋" w:eastAsia="仿宋" w:cs="仿宋"/>
                <w:color w:val="000000"/>
                <w:sz w:val="24"/>
                <w:szCs w:val="24"/>
                <w:lang w:val="zh-CN" w:eastAsia="zh-CN"/>
              </w:rPr>
              <w:t>。</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p>
        </w:tc>
        <w:tc>
          <w:tcPr>
            <w:tcW w:w="49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服务</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方案</w:t>
            </w:r>
          </w:p>
        </w:tc>
        <w:tc>
          <w:tcPr>
            <w:tcW w:w="36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en-US" w:eastAsia="zh-CN"/>
              </w:rPr>
              <w:t>22</w:t>
            </w:r>
            <w:r>
              <w:rPr>
                <w:rFonts w:hint="eastAsia" w:ascii="仿宋" w:hAnsi="仿宋" w:eastAsia="仿宋" w:cs="仿宋"/>
                <w:color w:val="000000"/>
                <w:sz w:val="24"/>
                <w:szCs w:val="24"/>
                <w:lang w:val="zh-CN" w:eastAsia="zh-CN"/>
              </w:rPr>
              <w:t>分</w:t>
            </w:r>
          </w:p>
        </w:tc>
        <w:tc>
          <w:tcPr>
            <w:tcW w:w="3453"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bookmarkStart w:id="1" w:name="OLE_LINK1"/>
            <w:r>
              <w:rPr>
                <w:rFonts w:hint="eastAsia" w:ascii="仿宋" w:hAnsi="仿宋" w:eastAsia="仿宋" w:cs="仿宋"/>
                <w:color w:val="000000"/>
                <w:sz w:val="24"/>
                <w:szCs w:val="24"/>
                <w:lang w:val="en-US" w:eastAsia="zh-CN"/>
              </w:rPr>
              <w:t>总体方案（10分）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供应商针对本项目服务内容及要求提出适用于本项目的总体方案，内容包含但不限于①服务内容②服务目标③服务计划④服务标准等。</w:t>
            </w:r>
          </w:p>
          <w:p>
            <w:pPr>
              <w:adjustRightInd w:val="0"/>
              <w:snapToGrid w:val="0"/>
              <w:spacing w:line="400" w:lineRule="exact"/>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sz w:val="24"/>
                <w:szCs w:val="24"/>
              </w:rPr>
              <w:t>上述内容每缺少一项内容扣</w:t>
            </w:r>
            <w:r>
              <w:rPr>
                <w:rFonts w:hint="eastAsia" w:ascii="仿宋" w:hAnsi="仿宋" w:eastAsia="仿宋" w:cs="仿宋"/>
                <w:sz w:val="24"/>
                <w:szCs w:val="24"/>
                <w:lang w:val="en-US" w:eastAsia="zh-CN"/>
              </w:rPr>
              <w:t>2.5</w:t>
            </w:r>
            <w:r>
              <w:rPr>
                <w:rFonts w:hint="eastAsia" w:ascii="仿宋" w:hAnsi="仿宋" w:eastAsia="仿宋" w:cs="仿宋"/>
                <w:sz w:val="24"/>
                <w:szCs w:val="24"/>
              </w:rPr>
              <w:t>分，</w:t>
            </w:r>
            <w:r>
              <w:rPr>
                <w:rFonts w:hint="eastAsia" w:ascii="仿宋" w:hAnsi="仿宋" w:eastAsia="仿宋" w:cs="仿宋"/>
                <w:i w:val="0"/>
                <w:iCs w:val="0"/>
                <w:caps w:val="0"/>
                <w:color w:val="000000"/>
                <w:spacing w:val="0"/>
                <w:sz w:val="24"/>
                <w:szCs w:val="24"/>
                <w:shd w:val="clear" w:color="auto" w:fill="FFFFFF"/>
              </w:rPr>
              <w:t>每有一处内容存在缺陷，扣0.5</w:t>
            </w:r>
            <w:r>
              <w:rPr>
                <w:rFonts w:hint="eastAsia" w:ascii="仿宋" w:hAnsi="仿宋" w:eastAsia="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rPr>
              <w:t>分。</w:t>
            </w:r>
            <w:r>
              <w:rPr>
                <w:rFonts w:hint="eastAsia" w:ascii="仿宋" w:hAnsi="仿宋" w:eastAsia="仿宋" w:cs="仿宋"/>
                <w:sz w:val="24"/>
                <w:szCs w:val="24"/>
              </w:rPr>
              <w:t>不提供不得分。</w:t>
            </w:r>
          </w:p>
          <w:bookmarkEnd w:id="1"/>
          <w:p>
            <w:pPr>
              <w:keepNext w:val="0"/>
              <w:keepLines w:val="0"/>
              <w:pageBreakBefore w:val="0"/>
              <w:widowControl w:val="0"/>
              <w:numPr>
                <w:ilvl w:val="0"/>
                <w:numId w:val="2"/>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项目需求理解（4分）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供应商对项目的理解，内容包含但不限于①项目背景及项目需求②工作原则等进行综合评审</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上述内容每缺少一项内容扣</w:t>
            </w:r>
            <w:r>
              <w:rPr>
                <w:rFonts w:hint="eastAsia" w:ascii="仿宋" w:hAnsi="仿宋" w:eastAsia="仿宋" w:cs="仿宋"/>
                <w:sz w:val="24"/>
                <w:szCs w:val="24"/>
                <w:lang w:val="en-US" w:eastAsia="zh-CN"/>
              </w:rPr>
              <w:t>2</w:t>
            </w:r>
            <w:r>
              <w:rPr>
                <w:rFonts w:hint="eastAsia" w:ascii="仿宋" w:hAnsi="仿宋" w:eastAsia="仿宋" w:cs="仿宋"/>
                <w:sz w:val="24"/>
                <w:szCs w:val="24"/>
              </w:rPr>
              <w:t>分，</w:t>
            </w:r>
            <w:r>
              <w:rPr>
                <w:rFonts w:hint="eastAsia" w:ascii="仿宋" w:hAnsi="仿宋" w:eastAsia="仿宋" w:cs="仿宋"/>
                <w:i w:val="0"/>
                <w:iCs w:val="0"/>
                <w:caps w:val="0"/>
                <w:color w:val="000000"/>
                <w:spacing w:val="0"/>
                <w:sz w:val="24"/>
                <w:szCs w:val="24"/>
                <w:shd w:val="clear" w:color="auto" w:fill="FFFFFF"/>
              </w:rPr>
              <w:t>每有一处内容存在缺陷，扣0.5分。</w:t>
            </w:r>
            <w:r>
              <w:rPr>
                <w:rFonts w:hint="eastAsia" w:ascii="仿宋" w:hAnsi="仿宋" w:eastAsia="仿宋" w:cs="仿宋"/>
                <w:sz w:val="24"/>
                <w:szCs w:val="24"/>
              </w:rPr>
              <w:t>不提供不得分。</w:t>
            </w:r>
          </w:p>
          <w:p>
            <w:pPr>
              <w:keepNext w:val="0"/>
              <w:keepLines w:val="0"/>
              <w:pageBreakBefore w:val="0"/>
              <w:widowControl w:val="0"/>
              <w:numPr>
                <w:ilvl w:val="0"/>
                <w:numId w:val="2"/>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重难点分析及解决措施（4分）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供应商提供针对本项目的重难点分析及解决措施，内容包含但不限于①针对本项目的重难点分析②针对重难点分析后的预防及解决措施等进行综合评审。</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上述内容每缺少一项内容扣</w:t>
            </w:r>
            <w:r>
              <w:rPr>
                <w:rFonts w:hint="eastAsia" w:ascii="仿宋" w:hAnsi="仿宋" w:eastAsia="仿宋" w:cs="仿宋"/>
                <w:sz w:val="24"/>
                <w:szCs w:val="24"/>
                <w:lang w:val="en-US" w:eastAsia="zh-CN"/>
              </w:rPr>
              <w:t>2</w:t>
            </w:r>
            <w:r>
              <w:rPr>
                <w:rFonts w:hint="eastAsia" w:ascii="仿宋" w:hAnsi="仿宋" w:eastAsia="仿宋" w:cs="仿宋"/>
                <w:sz w:val="24"/>
                <w:szCs w:val="24"/>
              </w:rPr>
              <w:t>分，</w:t>
            </w:r>
            <w:r>
              <w:rPr>
                <w:rFonts w:hint="eastAsia" w:ascii="仿宋" w:hAnsi="仿宋" w:eastAsia="仿宋" w:cs="仿宋"/>
                <w:i w:val="0"/>
                <w:iCs w:val="0"/>
                <w:caps w:val="0"/>
                <w:color w:val="000000"/>
                <w:spacing w:val="0"/>
                <w:sz w:val="24"/>
                <w:szCs w:val="24"/>
                <w:shd w:val="clear" w:color="auto" w:fill="FFFFFF"/>
              </w:rPr>
              <w:t>每有一处内容存在缺陷，扣0.5分。</w:t>
            </w:r>
            <w:r>
              <w:rPr>
                <w:rFonts w:hint="eastAsia" w:ascii="仿宋" w:hAnsi="仿宋" w:eastAsia="仿宋" w:cs="仿宋"/>
                <w:sz w:val="24"/>
                <w:szCs w:val="24"/>
              </w:rPr>
              <w:t>不提供不得分。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sz w:val="24"/>
                <w:szCs w:val="24"/>
                <w:lang w:val="en-US" w:eastAsia="zh-CN"/>
              </w:rPr>
              <w:t>四</w:t>
            </w:r>
            <w:r>
              <w:rPr>
                <w:rFonts w:hint="eastAsia" w:ascii="仿宋" w:hAnsi="仿宋" w:eastAsia="仿宋" w:cs="仿宋"/>
                <w:color w:val="000000"/>
                <w:sz w:val="24"/>
                <w:szCs w:val="24"/>
                <w:lang w:val="en-US" w:eastAsia="zh-CN"/>
              </w:rPr>
              <w:t>、合理化建议（4分）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综合考核供应商所提出合理化建议是否全面、提供的实施建议方案是否切实可行、能否满足采购人的实际需求等，内容包括①合理化建议②合理化建议的目的及意义等进行综合评审。</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上述内容每缺少一项内容扣</w:t>
            </w:r>
            <w:r>
              <w:rPr>
                <w:rFonts w:hint="eastAsia" w:ascii="仿宋" w:hAnsi="仿宋" w:eastAsia="仿宋" w:cs="仿宋"/>
                <w:sz w:val="24"/>
                <w:szCs w:val="24"/>
                <w:lang w:val="en-US" w:eastAsia="zh-CN"/>
              </w:rPr>
              <w:t>2</w:t>
            </w:r>
            <w:r>
              <w:rPr>
                <w:rFonts w:hint="eastAsia" w:ascii="仿宋" w:hAnsi="仿宋" w:eastAsia="仿宋" w:cs="仿宋"/>
                <w:sz w:val="24"/>
                <w:szCs w:val="24"/>
              </w:rPr>
              <w:t>分，</w:t>
            </w:r>
            <w:r>
              <w:rPr>
                <w:rFonts w:hint="eastAsia" w:ascii="仿宋" w:hAnsi="仿宋" w:eastAsia="仿宋" w:cs="仿宋"/>
                <w:i w:val="0"/>
                <w:iCs w:val="0"/>
                <w:caps w:val="0"/>
                <w:color w:val="000000"/>
                <w:spacing w:val="0"/>
                <w:sz w:val="24"/>
                <w:szCs w:val="24"/>
                <w:shd w:val="clear" w:color="auto" w:fill="FFFFFF"/>
              </w:rPr>
              <w:t>每有一处内容存在缺陷，扣0.5分。</w:t>
            </w:r>
            <w:r>
              <w:rPr>
                <w:rFonts w:hint="eastAsia" w:ascii="仿宋" w:hAnsi="仿宋" w:eastAsia="仿宋" w:cs="仿宋"/>
                <w:sz w:val="24"/>
                <w:szCs w:val="24"/>
              </w:rPr>
              <w:t>不提供不得分。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b w:val="0"/>
                <w:bCs w:val="0"/>
                <w:color w:val="auto"/>
                <w:sz w:val="24"/>
                <w:szCs w:val="24"/>
                <w:lang w:val="en-US" w:eastAsia="zh-CN"/>
              </w:rPr>
              <w:t>备注：以上内容里的缺项是指完全未响应评审内容中的某一核心要求；缺陷是指已响应该项要求，但内容描述不完整或不合理、对于关键</w:t>
            </w:r>
            <w:r>
              <w:rPr>
                <w:rFonts w:hint="eastAsia" w:ascii="仿宋" w:hAnsi="仿宋" w:eastAsia="仿宋" w:cs="仿宋"/>
                <w:b w:val="0"/>
                <w:bCs w:val="0"/>
                <w:color w:val="auto"/>
                <w:spacing w:val="-4"/>
                <w:sz w:val="24"/>
                <w:szCs w:val="24"/>
                <w:lang w:val="en-US" w:eastAsia="zh-CN"/>
              </w:rPr>
              <w:t>点的内容描述缺乏突出性、重要性、内容描述条理不清晰、非专门针对本项目或不适用本项目特性、套用其他项目内容、对同一问题前后表述矛盾、存在逻辑漏洞、科学原</w:t>
            </w:r>
            <w:r>
              <w:rPr>
                <w:rFonts w:hint="eastAsia" w:ascii="仿宋" w:hAnsi="仿宋" w:eastAsia="仿宋" w:cs="仿宋"/>
                <w:b w:val="0"/>
                <w:bCs w:val="0"/>
                <w:color w:val="auto"/>
                <w:spacing w:val="-4"/>
                <w:sz w:val="24"/>
                <w:szCs w:val="24"/>
              </w:rPr>
              <w:t>理或常识错误</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rPr>
              <w:t>不利于本项目目标的实现</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lang w:val="en-US" w:eastAsia="zh-CN"/>
              </w:rPr>
              <w:t>同一内容反复赘述，表述过于繁复。</w:t>
            </w:r>
          </w:p>
        </w:tc>
        <w:tc>
          <w:tcPr>
            <w:tcW w:w="42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3"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499"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人员</w:t>
            </w:r>
          </w:p>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配备</w:t>
            </w: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10分</w:t>
            </w:r>
          </w:p>
        </w:tc>
        <w:tc>
          <w:tcPr>
            <w:tcW w:w="345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1、项目负责人：</w:t>
            </w:r>
            <w:r>
              <w:rPr>
                <w:rFonts w:hint="default" w:ascii="仿宋" w:hAnsi="仿宋" w:eastAsia="仿宋" w:cs="仿宋"/>
                <w:color w:val="000000"/>
                <w:sz w:val="24"/>
                <w:szCs w:val="24"/>
                <w:lang w:val="en-US" w:eastAsia="zh-CN"/>
              </w:rPr>
              <w:t>①项目负责人具有本科及以上学历得</w:t>
            </w:r>
            <w:r>
              <w:rPr>
                <w:rFonts w:hint="eastAsia" w:ascii="仿宋" w:hAnsi="仿宋" w:eastAsia="仿宋" w:cs="仿宋"/>
                <w:color w:val="000000"/>
                <w:sz w:val="24"/>
                <w:szCs w:val="24"/>
                <w:lang w:val="en-US" w:eastAsia="zh-CN"/>
              </w:rPr>
              <w:t>5</w:t>
            </w:r>
            <w:r>
              <w:rPr>
                <w:rFonts w:hint="default" w:ascii="仿宋" w:hAnsi="仿宋" w:eastAsia="仿宋" w:cs="仿宋"/>
                <w:color w:val="000000"/>
                <w:sz w:val="24"/>
                <w:szCs w:val="24"/>
                <w:lang w:val="en-US" w:eastAsia="zh-CN"/>
              </w:rPr>
              <w:t>分；②项目负责人具有3年及以上类似项目经验的计</w:t>
            </w:r>
            <w:r>
              <w:rPr>
                <w:rFonts w:hint="eastAsia" w:ascii="仿宋" w:hAnsi="仿宋" w:eastAsia="仿宋" w:cs="仿宋"/>
                <w:color w:val="000000"/>
                <w:sz w:val="24"/>
                <w:szCs w:val="24"/>
                <w:lang w:val="en-US" w:eastAsia="zh-CN"/>
              </w:rPr>
              <w:t>5</w:t>
            </w:r>
            <w:r>
              <w:rPr>
                <w:rFonts w:hint="default" w:ascii="仿宋" w:hAnsi="仿宋" w:eastAsia="仿宋" w:cs="仿宋"/>
                <w:color w:val="000000"/>
                <w:sz w:val="24"/>
                <w:szCs w:val="24"/>
                <w:lang w:val="en-US" w:eastAsia="zh-CN"/>
              </w:rPr>
              <w:t>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注：①须明确投入本项目的项目负责人。</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②学历提供毕业证书或学信网证明资料；类似项目经验需提供有效证明材料，包括但不限于劳动合同或成果文件或公示公告等证明材料。</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③提供开标前三个月任意一个月投标人为其缴纳的社保证明扫描件，未提供或提供不全的，本项整体不得分</w:t>
            </w:r>
            <w:r>
              <w:rPr>
                <w:rFonts w:hint="eastAsia" w:ascii="仿宋" w:hAnsi="仿宋" w:eastAsia="仿宋" w:cs="仿宋"/>
                <w:color w:val="000000"/>
                <w:sz w:val="24"/>
                <w:szCs w:val="24"/>
                <w:lang w:val="en-US" w:eastAsia="zh-CN"/>
              </w:rPr>
              <w:t>。</w:t>
            </w:r>
          </w:p>
        </w:tc>
        <w:tc>
          <w:tcPr>
            <w:tcW w:w="424" w:type="pct"/>
            <w:vMerge w:val="restar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3"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pPr>
          </w:p>
        </w:tc>
        <w:tc>
          <w:tcPr>
            <w:tcW w:w="499"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pP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6分</w:t>
            </w:r>
          </w:p>
        </w:tc>
        <w:tc>
          <w:tcPr>
            <w:tcW w:w="345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2、专业实施团队（6分）：团队应覆盖培训讲师、宣推编导、直录播技术、现场执行岗位，每提供1名对应岗位人员得1分，本项最高6分；人员需提供相应证明复印件，无证明不计分。</w:t>
            </w:r>
          </w:p>
        </w:tc>
        <w:tc>
          <w:tcPr>
            <w:tcW w:w="42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rPr>
                <w:rFonts w:hint="default" w:ascii="仿宋" w:hAnsi="仿宋" w:eastAsia="仿宋" w:cs="仿宋"/>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2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w:t>
            </w:r>
          </w:p>
        </w:tc>
        <w:tc>
          <w:tcPr>
            <w:tcW w:w="49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拟投入设备</w:t>
            </w:r>
          </w:p>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设施</w:t>
            </w: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19分</w:t>
            </w:r>
          </w:p>
        </w:tc>
        <w:tc>
          <w:tcPr>
            <w:tcW w:w="345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1、培训及拍摄录制设备（7分）：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提供培训授课、直录播拍摄摄像、收音等设备佐证材料</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2、现场活动配套设备（6分）：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提供线下活动灯光、音响、场地搭建配套设备佐证材料</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3、素材后期处理设备（6分）：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提供音视频剪辑后期处理设备佐证材料</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备注：需提供</w:t>
            </w:r>
            <w:r>
              <w:rPr>
                <w:rFonts w:hint="default" w:ascii="仿宋" w:hAnsi="仿宋" w:eastAsia="仿宋" w:cs="仿宋"/>
                <w:color w:val="000000"/>
                <w:sz w:val="24"/>
                <w:szCs w:val="24"/>
                <w:lang w:val="en-US" w:eastAsia="zh-CN"/>
              </w:rPr>
              <w:t>证明材料</w:t>
            </w:r>
            <w:r>
              <w:rPr>
                <w:rFonts w:hint="eastAsia" w:ascii="仿宋" w:hAnsi="仿宋" w:eastAsia="仿宋" w:cs="仿宋"/>
                <w:color w:val="000000"/>
                <w:sz w:val="24"/>
                <w:szCs w:val="24"/>
                <w:lang w:val="en-US" w:eastAsia="zh-CN"/>
              </w:rPr>
              <w:t>可</w:t>
            </w:r>
            <w:r>
              <w:rPr>
                <w:rFonts w:hint="default" w:ascii="仿宋" w:hAnsi="仿宋" w:eastAsia="仿宋" w:cs="仿宋"/>
                <w:color w:val="000000"/>
                <w:sz w:val="24"/>
                <w:szCs w:val="24"/>
                <w:lang w:val="en-US" w:eastAsia="zh-CN"/>
              </w:rPr>
              <w:t>包含①设备照片②购买</w:t>
            </w:r>
            <w:r>
              <w:rPr>
                <w:rFonts w:hint="eastAsia" w:ascii="仿宋" w:hAnsi="仿宋" w:eastAsia="仿宋" w:cs="仿宋"/>
                <w:color w:val="000000"/>
                <w:sz w:val="24"/>
                <w:szCs w:val="24"/>
                <w:lang w:val="en-US" w:eastAsia="zh-CN"/>
              </w:rPr>
              <w:t>或租赁</w:t>
            </w:r>
            <w:r>
              <w:rPr>
                <w:rFonts w:hint="default" w:ascii="仿宋" w:hAnsi="仿宋" w:eastAsia="仿宋" w:cs="仿宋"/>
                <w:color w:val="000000"/>
                <w:sz w:val="24"/>
                <w:szCs w:val="24"/>
                <w:lang w:val="en-US" w:eastAsia="zh-CN"/>
              </w:rPr>
              <w:t>记录的凭证</w:t>
            </w:r>
            <w:r>
              <w:rPr>
                <w:rFonts w:hint="eastAsia" w:ascii="仿宋" w:hAnsi="仿宋" w:eastAsia="仿宋" w:cs="仿宋"/>
                <w:color w:val="000000"/>
                <w:sz w:val="24"/>
                <w:szCs w:val="24"/>
                <w:lang w:val="en-US" w:eastAsia="zh-CN"/>
              </w:rPr>
              <w:t>等</w:t>
            </w:r>
            <w:r>
              <w:rPr>
                <w:rFonts w:hint="default" w:ascii="仿宋" w:hAnsi="仿宋" w:eastAsia="仿宋" w:cs="仿宋"/>
                <w:color w:val="000000"/>
                <w:sz w:val="24"/>
                <w:szCs w:val="24"/>
                <w:lang w:val="en-US" w:eastAsia="zh-CN"/>
              </w:rPr>
              <w:t>。不提供或缺项或不能证明的，均不得分</w:t>
            </w:r>
            <w:r>
              <w:rPr>
                <w:rFonts w:hint="eastAsia" w:ascii="仿宋" w:hAnsi="仿宋" w:eastAsia="仿宋" w:cs="仿宋"/>
                <w:color w:val="000000"/>
                <w:sz w:val="24"/>
                <w:szCs w:val="24"/>
                <w:lang w:val="en-US" w:eastAsia="zh-CN"/>
              </w:rPr>
              <w:t>。</w:t>
            </w:r>
          </w:p>
        </w:tc>
        <w:tc>
          <w:tcPr>
            <w:tcW w:w="42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p>
        </w:tc>
        <w:tc>
          <w:tcPr>
            <w:tcW w:w="49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质量</w:t>
            </w:r>
          </w:p>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保证</w:t>
            </w: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9分</w:t>
            </w:r>
          </w:p>
        </w:tc>
        <w:tc>
          <w:tcPr>
            <w:tcW w:w="345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针对本项目制定详细的质量保证措施，内容包含但不限于①质量控制制度②质量控制标准③质量控制程序。</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评审标准：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完整性、可实施性、针对性须全面，对评审内容中的各项要求有详细描述，切合本项目实际情况，方案贴合实际和本次采购要求，能够紧扣项目实际情况，内容科学合理。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评审标准量化内容：</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上述内容每缺少一项内容扣</w:t>
            </w:r>
            <w:r>
              <w:rPr>
                <w:rFonts w:hint="eastAsia" w:ascii="仿宋" w:hAnsi="仿宋" w:eastAsia="仿宋" w:cs="仿宋"/>
                <w:sz w:val="24"/>
                <w:szCs w:val="24"/>
                <w:lang w:val="en-US" w:eastAsia="zh-CN"/>
              </w:rPr>
              <w:t>3</w:t>
            </w:r>
            <w:r>
              <w:rPr>
                <w:rFonts w:hint="eastAsia" w:ascii="仿宋" w:hAnsi="仿宋" w:eastAsia="仿宋" w:cs="仿宋"/>
                <w:sz w:val="24"/>
                <w:szCs w:val="24"/>
              </w:rPr>
              <w:t>分，</w:t>
            </w:r>
            <w:r>
              <w:rPr>
                <w:rFonts w:hint="eastAsia" w:ascii="仿宋" w:hAnsi="仿宋" w:eastAsia="仿宋" w:cs="仿宋"/>
                <w:i w:val="0"/>
                <w:iCs w:val="0"/>
                <w:caps w:val="0"/>
                <w:color w:val="000000"/>
                <w:spacing w:val="0"/>
                <w:sz w:val="24"/>
                <w:szCs w:val="24"/>
                <w:shd w:val="clear" w:color="auto" w:fill="FFFFFF"/>
              </w:rPr>
              <w:t>每有一处内容存在缺陷，扣0.5</w:t>
            </w:r>
            <w:r>
              <w:rPr>
                <w:rFonts w:hint="eastAsia" w:ascii="仿宋" w:hAnsi="仿宋" w:eastAsia="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rPr>
              <w:t>分。</w:t>
            </w:r>
            <w:r>
              <w:rPr>
                <w:rFonts w:hint="eastAsia" w:ascii="仿宋" w:hAnsi="仿宋" w:eastAsia="仿宋" w:cs="仿宋"/>
                <w:sz w:val="24"/>
                <w:szCs w:val="24"/>
              </w:rPr>
              <w:t>不提供不得分。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lang w:val="en-US" w:eastAsia="zh-CN"/>
              </w:rPr>
            </w:pPr>
            <w:r>
              <w:rPr>
                <w:rFonts w:hint="eastAsia" w:ascii="仿宋" w:hAnsi="仿宋" w:eastAsia="仿宋" w:cs="仿宋"/>
                <w:b w:val="0"/>
                <w:bCs w:val="0"/>
                <w:color w:val="auto"/>
                <w:sz w:val="24"/>
                <w:szCs w:val="24"/>
                <w:lang w:val="en-US" w:eastAsia="zh-CN"/>
              </w:rPr>
              <w:t>备注：以上内容里的缺项是指完全未响应评审内容中的某一核心要求；缺陷是指已响应该项要求，但内容描述不完整或不合理、对于关键</w:t>
            </w:r>
            <w:r>
              <w:rPr>
                <w:rFonts w:hint="eastAsia" w:ascii="仿宋" w:hAnsi="仿宋" w:eastAsia="仿宋" w:cs="仿宋"/>
                <w:b w:val="0"/>
                <w:bCs w:val="0"/>
                <w:color w:val="auto"/>
                <w:spacing w:val="-4"/>
                <w:sz w:val="24"/>
                <w:szCs w:val="24"/>
                <w:lang w:val="en-US" w:eastAsia="zh-CN"/>
              </w:rPr>
              <w:t>点的内容描述缺乏突出性、重要性、内容描述条理不清晰、非专门针对本项目或不适用本项目特性、套用其他项目内容、对同一问题前后表述矛盾、存在逻辑漏洞、科学原</w:t>
            </w:r>
            <w:r>
              <w:rPr>
                <w:rFonts w:hint="eastAsia" w:ascii="仿宋" w:hAnsi="仿宋" w:eastAsia="仿宋" w:cs="仿宋"/>
                <w:b w:val="0"/>
                <w:bCs w:val="0"/>
                <w:color w:val="auto"/>
                <w:spacing w:val="-4"/>
                <w:sz w:val="24"/>
                <w:szCs w:val="24"/>
              </w:rPr>
              <w:t>理或常识错误</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rPr>
              <w:t>不利于本项目目标的实现</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lang w:val="en-US" w:eastAsia="zh-CN"/>
              </w:rPr>
              <w:t>同一内容反复赘述，表述过于繁复。</w:t>
            </w:r>
          </w:p>
        </w:tc>
        <w:tc>
          <w:tcPr>
            <w:tcW w:w="42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w:t>
            </w:r>
          </w:p>
        </w:tc>
        <w:tc>
          <w:tcPr>
            <w:tcW w:w="499"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项目进度计划</w:t>
            </w: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9分</w:t>
            </w:r>
          </w:p>
        </w:tc>
        <w:tc>
          <w:tcPr>
            <w:tcW w:w="3453"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供应商提供针对本项目的进度计划，内容包含但不限于①进度计划表②进度计划保证措施③服务期保证措施。</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评审标准：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完整性、可实施性、针对性须全面，对评审内容中的各项要求有详细描述，切合本项目实际情况，方案贴合实际和本次采购要求，能够紧扣项目实际情况，内容科学合理。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评审标准量化内容：</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上述内容每缺少一项内容扣</w:t>
            </w:r>
            <w:r>
              <w:rPr>
                <w:rFonts w:hint="eastAsia" w:ascii="仿宋" w:hAnsi="仿宋" w:eastAsia="仿宋" w:cs="仿宋"/>
                <w:sz w:val="24"/>
                <w:szCs w:val="24"/>
                <w:lang w:val="en-US" w:eastAsia="zh-CN"/>
              </w:rPr>
              <w:t>3</w:t>
            </w:r>
            <w:r>
              <w:rPr>
                <w:rFonts w:hint="eastAsia" w:ascii="仿宋" w:hAnsi="仿宋" w:eastAsia="仿宋" w:cs="仿宋"/>
                <w:sz w:val="24"/>
                <w:szCs w:val="24"/>
              </w:rPr>
              <w:t>分，</w:t>
            </w:r>
            <w:r>
              <w:rPr>
                <w:rFonts w:hint="eastAsia" w:ascii="仿宋" w:hAnsi="仿宋" w:eastAsia="仿宋" w:cs="仿宋"/>
                <w:i w:val="0"/>
                <w:iCs w:val="0"/>
                <w:caps w:val="0"/>
                <w:color w:val="000000"/>
                <w:spacing w:val="0"/>
                <w:sz w:val="24"/>
                <w:szCs w:val="24"/>
                <w:shd w:val="clear" w:color="auto" w:fill="FFFFFF"/>
              </w:rPr>
              <w:t>每有一处内容存在缺陷，扣0.5</w:t>
            </w:r>
            <w:r>
              <w:rPr>
                <w:rFonts w:hint="eastAsia" w:ascii="仿宋" w:hAnsi="仿宋" w:eastAsia="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rPr>
              <w:t>分。</w:t>
            </w:r>
            <w:r>
              <w:rPr>
                <w:rFonts w:hint="eastAsia" w:ascii="仿宋" w:hAnsi="仿宋" w:eastAsia="仿宋" w:cs="仿宋"/>
                <w:sz w:val="24"/>
                <w:szCs w:val="24"/>
              </w:rPr>
              <w:t>不提供不得分。</w:t>
            </w:r>
          </w:p>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b w:val="0"/>
                <w:bCs w:val="0"/>
                <w:color w:val="auto"/>
                <w:sz w:val="24"/>
                <w:szCs w:val="24"/>
                <w:lang w:val="en-US" w:eastAsia="zh-CN"/>
              </w:rPr>
              <w:t>备注：以上内容里的缺项是指完全未响应评审内容中的某一核心要求；缺陷是指已响应该项要求，但内容描述不完整或不合理、对于关键</w:t>
            </w:r>
            <w:r>
              <w:rPr>
                <w:rFonts w:hint="eastAsia" w:ascii="仿宋" w:hAnsi="仿宋" w:eastAsia="仿宋" w:cs="仿宋"/>
                <w:b w:val="0"/>
                <w:bCs w:val="0"/>
                <w:color w:val="auto"/>
                <w:spacing w:val="-4"/>
                <w:sz w:val="24"/>
                <w:szCs w:val="24"/>
                <w:lang w:val="en-US" w:eastAsia="zh-CN"/>
              </w:rPr>
              <w:t>点的内容描述缺乏突出性、重要性、内容描述条理不清晰、非专门针对本项目或不适用本项目特性、套用其他项目内容、对同一问题前后表述矛盾、存在逻辑漏洞、科学原</w:t>
            </w:r>
            <w:r>
              <w:rPr>
                <w:rFonts w:hint="eastAsia" w:ascii="仿宋" w:hAnsi="仿宋" w:eastAsia="仿宋" w:cs="仿宋"/>
                <w:b w:val="0"/>
                <w:bCs w:val="0"/>
                <w:color w:val="auto"/>
                <w:spacing w:val="-4"/>
                <w:sz w:val="24"/>
                <w:szCs w:val="24"/>
              </w:rPr>
              <w:t>理或常识错误</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rPr>
              <w:t>不利于本项目目标的实现</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lang w:val="en-US" w:eastAsia="zh-CN"/>
              </w:rPr>
              <w:t>同一内容反复赘述，表述过于繁复。</w:t>
            </w:r>
          </w:p>
        </w:tc>
        <w:tc>
          <w:tcPr>
            <w:tcW w:w="424"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253"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8</w:t>
            </w:r>
          </w:p>
        </w:tc>
        <w:tc>
          <w:tcPr>
            <w:tcW w:w="49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业绩</w:t>
            </w:r>
          </w:p>
        </w:tc>
        <w:tc>
          <w:tcPr>
            <w:tcW w:w="369"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5分</w:t>
            </w:r>
          </w:p>
        </w:tc>
        <w:tc>
          <w:tcPr>
            <w:tcW w:w="3453" w:type="pct"/>
            <w:noWrap w:val="0"/>
            <w:vAlign w:val="center"/>
          </w:tcPr>
          <w:p>
            <w:pPr>
              <w:adjustRightInd w:val="0"/>
              <w:snapToGrid w:val="0"/>
              <w:spacing w:line="4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w:t>
            </w:r>
            <w:r>
              <w:rPr>
                <w:rFonts w:hint="eastAsia" w:ascii="仿宋" w:hAnsi="仿宋" w:eastAsia="仿宋" w:cs="仿宋"/>
                <w:sz w:val="24"/>
                <w:szCs w:val="24"/>
                <w:lang w:val="zh-CN" w:eastAsia="zh-CN"/>
              </w:rPr>
              <w:t>（20</w:t>
            </w:r>
            <w:r>
              <w:rPr>
                <w:rFonts w:hint="eastAsia" w:ascii="仿宋" w:hAnsi="仿宋" w:eastAsia="仿宋" w:cs="仿宋"/>
                <w:sz w:val="24"/>
                <w:szCs w:val="24"/>
                <w:lang w:val="en-US" w:eastAsia="zh-CN"/>
              </w:rPr>
              <w:t>23</w:t>
            </w:r>
            <w:r>
              <w:rPr>
                <w:rFonts w:hint="eastAsia" w:ascii="仿宋" w:hAnsi="仿宋" w:eastAsia="仿宋" w:cs="仿宋"/>
                <w:sz w:val="24"/>
                <w:szCs w:val="24"/>
                <w:lang w:val="zh-CN" w:eastAsia="zh-CN"/>
              </w:rPr>
              <w:t>年</w:t>
            </w:r>
            <w:r>
              <w:rPr>
                <w:rFonts w:hint="eastAsia" w:ascii="仿宋" w:hAnsi="仿宋" w:eastAsia="仿宋" w:cs="仿宋"/>
                <w:sz w:val="24"/>
                <w:szCs w:val="24"/>
                <w:lang w:val="en-US" w:eastAsia="zh-CN"/>
              </w:rPr>
              <w:t>9月</w:t>
            </w:r>
            <w:r>
              <w:rPr>
                <w:rFonts w:hint="eastAsia" w:ascii="仿宋" w:hAnsi="仿宋" w:eastAsia="仿宋" w:cs="仿宋"/>
                <w:sz w:val="24"/>
                <w:szCs w:val="24"/>
                <w:lang w:val="zh-CN" w:eastAsia="zh-CN"/>
              </w:rPr>
              <w:t>至今）</w:t>
            </w:r>
            <w:r>
              <w:rPr>
                <w:rFonts w:hint="eastAsia" w:ascii="仿宋" w:hAnsi="仿宋" w:eastAsia="仿宋" w:cs="仿宋"/>
                <w:sz w:val="24"/>
                <w:szCs w:val="24"/>
                <w:lang w:val="en-US" w:eastAsia="zh-CN"/>
              </w:rPr>
              <w:t>类似成功项目业绩，每有一个业绩得 2.5分，最高得5分。</w:t>
            </w:r>
          </w:p>
          <w:p>
            <w:pPr>
              <w:keepNext w:val="0"/>
              <w:keepLines w:val="0"/>
              <w:pageBreakBefore w:val="0"/>
              <w:widowControl w:val="0"/>
              <w:kinsoku/>
              <w:wordWrap/>
              <w:overflowPunct/>
              <w:topLinePunct w:val="0"/>
              <w:autoSpaceDE/>
              <w:autoSpaceDN/>
              <w:bidi w:val="0"/>
              <w:adjustRightInd w:val="0"/>
              <w:snapToGrid/>
              <w:spacing w:line="440" w:lineRule="exact"/>
              <w:jc w:val="left"/>
              <w:textAlignment w:val="baseline"/>
              <w:rPr>
                <w:rFonts w:hint="eastAsia" w:ascii="仿宋" w:hAnsi="仿宋" w:eastAsia="仿宋" w:cs="仿宋"/>
                <w:color w:val="000000"/>
                <w:sz w:val="24"/>
                <w:szCs w:val="24"/>
                <w:lang w:val="en-US" w:eastAsia="zh-CN"/>
              </w:rPr>
            </w:pPr>
            <w:r>
              <w:rPr>
                <w:rFonts w:hint="eastAsia" w:ascii="仿宋" w:hAnsi="仿宋" w:eastAsia="仿宋" w:cs="仿宋"/>
                <w:sz w:val="24"/>
                <w:szCs w:val="24"/>
                <w:lang w:val="en-US" w:eastAsia="zh-CN"/>
              </w:rPr>
              <w:t>注：</w:t>
            </w:r>
            <w:r>
              <w:rPr>
                <w:rFonts w:hint="eastAsia" w:ascii="仿宋" w:hAnsi="仿宋" w:eastAsia="仿宋" w:cs="仿宋"/>
                <w:sz w:val="24"/>
                <w:szCs w:val="24"/>
                <w:lang w:val="zh-CN" w:eastAsia="zh-CN"/>
              </w:rPr>
              <w:t>业绩材料须在响应文件中附加盖投标人单位公章的</w:t>
            </w:r>
            <w:r>
              <w:rPr>
                <w:rFonts w:hint="eastAsia" w:ascii="仿宋" w:hAnsi="仿宋" w:eastAsia="仿宋" w:cs="仿宋"/>
                <w:sz w:val="24"/>
                <w:szCs w:val="24"/>
                <w:lang w:val="en-US" w:eastAsia="zh-CN"/>
              </w:rPr>
              <w:t>成交</w:t>
            </w:r>
            <w:r>
              <w:rPr>
                <w:rFonts w:hint="eastAsia" w:ascii="仿宋" w:hAnsi="仿宋" w:eastAsia="仿宋" w:cs="仿宋"/>
                <w:sz w:val="24"/>
                <w:szCs w:val="24"/>
                <w:lang w:val="zh-CN" w:eastAsia="zh-CN"/>
              </w:rPr>
              <w:t>通知书或合同扫描件，未按要求提供的不得分。</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spacing w:line="440" w:lineRule="exact"/>
              <w:jc w:val="center"/>
              <w:textAlignment w:val="baseline"/>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bl>
    <w:p>
      <w:pPr>
        <w:keepNext w:val="0"/>
        <w:keepLines w:val="0"/>
        <w:pageBreakBefore w:val="0"/>
        <w:widowControl/>
        <w:kinsoku/>
        <w:wordWrap/>
        <w:overflowPunct/>
        <w:topLinePunct w:val="0"/>
        <w:autoSpaceDE/>
        <w:autoSpaceDN/>
        <w:bidi w:val="0"/>
        <w:adjustRightInd w:val="0"/>
        <w:snapToGrid w:val="0"/>
        <w:spacing w:line="360" w:lineRule="auto"/>
        <w:ind w:firstLine="281" w:firstLineChars="10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八</w:t>
      </w:r>
      <w:r>
        <w:rPr>
          <w:rFonts w:hint="eastAsia" w:ascii="仿宋" w:hAnsi="仿宋" w:eastAsia="仿宋" w:cs="仿宋"/>
          <w:b/>
          <w:color w:val="auto"/>
          <w:sz w:val="28"/>
          <w:szCs w:val="28"/>
        </w:rPr>
        <w:t>、本项目落实政府采购政策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470" w:firstLineChars="196"/>
        <w:textAlignment w:val="auto"/>
        <w:rPr>
          <w:rFonts w:hint="eastAsia" w:ascii="仿宋" w:hAnsi="仿宋" w:eastAsia="仿宋" w:cs="仿宋"/>
          <w:color w:val="auto"/>
          <w:sz w:val="24"/>
        </w:rPr>
      </w:pPr>
      <w:r>
        <w:rPr>
          <w:rFonts w:hint="eastAsia" w:ascii="仿宋" w:hAnsi="仿宋" w:eastAsia="仿宋" w:cs="仿宋"/>
          <w:color w:val="auto"/>
          <w:sz w:val="24"/>
        </w:rPr>
        <w:t>1.落实政府采购信用融资有关政策要求执行陕西省财政厅关于印发《陕西省中小企业政府采购信用融资办法》（陕财办采〔2018〕23号）文件规定；</w:t>
      </w:r>
    </w:p>
    <w:p>
      <w:pPr>
        <w:keepNext w:val="0"/>
        <w:keepLines w:val="0"/>
        <w:pageBreakBefore w:val="0"/>
        <w:widowControl/>
        <w:kinsoku/>
        <w:wordWrap/>
        <w:overflowPunct/>
        <w:topLinePunct w:val="0"/>
        <w:autoSpaceDE/>
        <w:autoSpaceDN/>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sz w:val="24"/>
          <w:lang w:val="en-US" w:eastAsia="zh-CN"/>
        </w:rPr>
        <w:t>1.1</w:t>
      </w:r>
      <w:r>
        <w:rPr>
          <w:rFonts w:hint="eastAsia" w:ascii="仿宋" w:hAnsi="仿宋" w:eastAsia="仿宋" w:cs="仿宋"/>
          <w:color w:val="auto"/>
          <w:sz w:val="24"/>
          <w:lang w:eastAsia="zh-CN"/>
        </w:rPr>
        <w:t>供应商为中小企业的，可依据</w:t>
      </w:r>
      <w:r>
        <w:rPr>
          <w:rFonts w:hint="eastAsia" w:ascii="仿宋" w:hAnsi="仿宋" w:eastAsia="仿宋" w:cs="仿宋"/>
          <w:color w:val="auto"/>
          <w:sz w:val="24"/>
        </w:rPr>
        <w:t>《陕西省中小企业政府采购信用融资办法》（陕财办采〔2018〕23号）</w:t>
      </w:r>
      <w:r>
        <w:rPr>
          <w:rFonts w:hint="eastAsia" w:ascii="仿宋" w:hAnsi="仿宋" w:eastAsia="仿宋" w:cs="仿宋"/>
          <w:color w:val="auto"/>
          <w:sz w:val="24"/>
          <w:lang w:eastAsia="zh-CN"/>
        </w:rPr>
        <w:t>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"http://www.ccgp-shaanxi.gov.cn/zcdservice/zcd/shananxi" </w:instrText>
      </w:r>
      <w:r>
        <w:rPr>
          <w:rFonts w:hint="eastAsia" w:ascii="仿宋" w:hAnsi="仿宋" w:eastAsia="仿宋" w:cs="仿宋"/>
          <w:color w:val="auto"/>
          <w:sz w:val="24"/>
        </w:rPr>
        <w:fldChar w:fldCharType="separate"/>
      </w:r>
      <w:r>
        <w:rPr>
          <w:rFonts w:hint="eastAsia" w:ascii="仿宋" w:hAnsi="仿宋" w:eastAsia="仿宋" w:cs="仿宋"/>
          <w:color w:val="auto"/>
          <w:sz w:val="24"/>
        </w:rPr>
        <w:t>http://www.ccgp-shaanxi.gov.cn/zcdservice/zcd/shananxi</w:t>
      </w:r>
      <w:r>
        <w:rPr>
          <w:rFonts w:hint="eastAsia" w:ascii="仿宋" w:hAnsi="仿宋" w:eastAsia="仿宋" w:cs="仿宋"/>
          <w:color w:val="auto"/>
          <w:sz w:val="24"/>
        </w:rPr>
        <w:fldChar w:fldCharType="end"/>
      </w:r>
      <w:r>
        <w:rPr>
          <w:rFonts w:hint="eastAsia" w:ascii="仿宋" w:hAnsi="仿宋" w:eastAsia="仿宋" w:cs="仿宋"/>
          <w:color w:val="auto"/>
          <w:sz w:val="24"/>
          <w:lang w:eastAsia="zh-CN"/>
        </w:rPr>
        <w:t>（陕西省政府采购信用融资平台）查看办理。</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 投标企业政府采购政策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2.1 中小企业落实政府采购政策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2.1.1根据《政府采购促进中小企业发展管理办法》（财库〔2020〕46号）和《关于进一步加大政府采购支持中小企业力度的通知》（财库〔2022〕19号）的有关规定，提供本企业制造的货物、承担工程或服务，或者提供其他中小微企业制造的货物。同时，供应商提供的货物既有中小企业制造货物，也有大型企业制造货物的，不享受中小企业扶持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2.1.2投标供应商出具《中小企业声明函》，由</w:t>
      </w:r>
      <w:r>
        <w:rPr>
          <w:rFonts w:hint="eastAsia" w:ascii="仿宋" w:hAnsi="仿宋" w:eastAsia="仿宋" w:cs="仿宋"/>
          <w:color w:val="auto"/>
          <w:lang w:eastAsia="zh-CN"/>
        </w:rPr>
        <w:t>磋商小组</w:t>
      </w:r>
      <w:r>
        <w:rPr>
          <w:rFonts w:hint="eastAsia" w:ascii="仿宋" w:hAnsi="仿宋" w:eastAsia="仿宋" w:cs="仿宋"/>
          <w:color w:val="auto"/>
        </w:rPr>
        <w:t>审定，符合条件的企业享受政府采购政策。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2.2 监狱和戒毒企业落实政府采购政策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监狱和戒毒企业应符合《财政部、司法部关于政府采购支持监狱企业发展有关问题的通知》--财库〔20</w:t>
      </w:r>
      <w:r>
        <w:rPr>
          <w:rFonts w:hint="eastAsia" w:ascii="仿宋" w:hAnsi="仿宋" w:eastAsia="仿宋" w:cs="仿宋"/>
          <w:color w:val="auto"/>
          <w:lang w:val="en-US" w:eastAsia="zh-CN"/>
        </w:rPr>
        <w:t>14</w:t>
      </w:r>
      <w:r>
        <w:rPr>
          <w:rFonts w:hint="eastAsia" w:ascii="仿宋" w:hAnsi="仿宋" w:eastAsia="仿宋" w:cs="仿宋"/>
          <w:color w:val="auto"/>
        </w:rPr>
        <w:t>〕68号，并提供由省级以上监狱管理局、戒毒管理局(含新疆生产建设兵团)出具的属于监狱企业的证明。</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 投标产品政府采购政策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3.1 节能产品依据《关于印发节能产品政府采购品目清单的通知》（财库〔20</w:t>
      </w:r>
      <w:r>
        <w:rPr>
          <w:rFonts w:hint="eastAsia" w:ascii="仿宋" w:hAnsi="仿宋" w:eastAsia="仿宋" w:cs="仿宋"/>
          <w:color w:val="auto"/>
          <w:lang w:val="en-US" w:eastAsia="zh-CN"/>
        </w:rPr>
        <w:t>19</w:t>
      </w:r>
      <w:r>
        <w:rPr>
          <w:rFonts w:hint="eastAsia" w:ascii="仿宋" w:hAnsi="仿宋" w:eastAsia="仿宋" w:cs="仿宋"/>
          <w:color w:val="auto"/>
        </w:rPr>
        <w:t>〕19号）的规定为准。</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3.2 环境标志产品依据《关于印发环境标志产品政府采购品目清单的通知》（财库〔20</w:t>
      </w:r>
      <w:r>
        <w:rPr>
          <w:rFonts w:hint="eastAsia" w:ascii="仿宋" w:hAnsi="仿宋" w:eastAsia="仿宋" w:cs="仿宋"/>
          <w:color w:val="auto"/>
          <w:lang w:val="en-US" w:eastAsia="zh-CN"/>
        </w:rPr>
        <w:t>19</w:t>
      </w:r>
      <w:r>
        <w:rPr>
          <w:rFonts w:hint="eastAsia" w:ascii="仿宋" w:hAnsi="仿宋" w:eastAsia="仿宋" w:cs="仿宋"/>
          <w:color w:val="auto"/>
        </w:rPr>
        <w:t>〕18 号）的规定为准。</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3.3 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3.4 若节能、环保、环境标志清单内的产品仅是构成投标产品的部件、组件或零件的，则该投标产品不享受鼓励优惠政策。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3.5 同一标段的节能、环保、环境标志产品部分优惠只对属于清单内的非强制类产品进行优惠，强制类产品不给予优惠。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3.6 节能、环保、环境标志产品不重复优惠；同时列入国家级清单和省级清单的产品不重复优惠。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3.7 获得上述认证的产品在投标时应提供有效证明材料。以上所有证明文件复印件须加盖供应商公章并注明“与原件一致”，否则不予优惠。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4价格优惠比例</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4.1投标企业优惠比例</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u w:val="single"/>
          <w:lang w:val="en-US" w:eastAsia="zh-CN"/>
        </w:rPr>
      </w:pPr>
      <w:r>
        <w:rPr>
          <w:rFonts w:hint="eastAsia" w:ascii="仿宋" w:hAnsi="仿宋" w:eastAsia="仿宋" w:cs="仿宋"/>
          <w:color w:val="auto"/>
          <w:lang w:val="en-US" w:eastAsia="zh-CN"/>
        </w:rPr>
        <w:t>符合磋商文件规定的小微企业、监狱企业优惠条件的投标人，服务、货物类项目价格给予10%的扣除，用扣除后的价格参与评审。对于同时属于小微企业、监狱企业或残疾人福利性单位的，不重复进行投标报价扣除。</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4.2投标产品优惠比例</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投标产品为节能、环保、环境标志品目清单中的产品，符合磋商文件要求的，价格给予10%的扣除，用扣除后的价格参与评审。</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九</w:t>
      </w:r>
      <w:r>
        <w:rPr>
          <w:rFonts w:hint="eastAsia" w:ascii="仿宋" w:hAnsi="仿宋" w:eastAsia="仿宋" w:cs="仿宋"/>
          <w:b/>
          <w:color w:val="auto"/>
          <w:sz w:val="28"/>
          <w:szCs w:val="28"/>
        </w:rPr>
        <w:t>、确定成交单位</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1．依据评审结果写出磋商结果报告，送采购人。</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2．在竞争性磋商文件规定的有效期内，采购人在审查磋商结果报告的基础上确定成交单位，并复函磋商组织单位，磋商组织单位接到复函后</w:t>
      </w:r>
      <w:r>
        <w:rPr>
          <w:rFonts w:hint="eastAsia" w:ascii="仿宋" w:hAnsi="仿宋" w:eastAsia="仿宋" w:cs="仿宋"/>
          <w:color w:val="auto"/>
          <w:lang w:val="zh-CN" w:eastAsia="zh-CN"/>
        </w:rPr>
        <w:t>两个工作日内</w:t>
      </w:r>
      <w:r>
        <w:rPr>
          <w:rFonts w:hint="eastAsia" w:ascii="仿宋" w:hAnsi="仿宋" w:eastAsia="仿宋" w:cs="仿宋"/>
          <w:color w:val="auto"/>
          <w:lang w:val="en-US" w:eastAsia="zh-CN"/>
        </w:rPr>
        <w:t>，</w:t>
      </w:r>
      <w:r>
        <w:rPr>
          <w:rFonts w:hint="eastAsia" w:ascii="仿宋" w:hAnsi="仿宋" w:eastAsia="仿宋" w:cs="仿宋"/>
          <w:color w:val="auto"/>
          <w:lang w:val="zh-CN" w:eastAsia="zh-CN"/>
        </w:rPr>
        <w:t>在财政部门指定的媒体上公告成交结果，并</w:t>
      </w:r>
      <w:r>
        <w:rPr>
          <w:rFonts w:hint="eastAsia" w:ascii="仿宋" w:hAnsi="仿宋" w:eastAsia="仿宋" w:cs="仿宋"/>
          <w:color w:val="auto"/>
          <w:lang w:val="en-US" w:eastAsia="zh-CN"/>
        </w:rPr>
        <w:t>向确定的成交单位发出“成交通知书”。</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十</w:t>
      </w:r>
      <w:r>
        <w:rPr>
          <w:rFonts w:hint="eastAsia" w:ascii="仿宋" w:hAnsi="仿宋" w:eastAsia="仿宋" w:cs="仿宋"/>
          <w:b/>
          <w:color w:val="auto"/>
          <w:sz w:val="28"/>
          <w:szCs w:val="28"/>
        </w:rPr>
        <w:t>、合同</w:t>
      </w:r>
    </w:p>
    <w:p>
      <w:pPr>
        <w:keepNext w:val="0"/>
        <w:keepLines w:val="0"/>
        <w:pageBreakBefore w:val="0"/>
        <w:widowControl/>
        <w:kinsoku/>
        <w:wordWrap/>
        <w:overflowPunct/>
        <w:topLinePunct w:val="0"/>
        <w:autoSpaceDE/>
        <w:autoSpaceDN/>
        <w:bidi w:val="0"/>
        <w:adjustRightInd w:val="0"/>
        <w:snapToGrid w:val="0"/>
        <w:spacing w:line="360" w:lineRule="auto"/>
        <w:ind w:firstLine="645"/>
        <w:textAlignment w:val="auto"/>
        <w:rPr>
          <w:rFonts w:hint="eastAsia" w:ascii="仿宋" w:hAnsi="仿宋" w:eastAsia="仿宋" w:cs="仿宋"/>
          <w:color w:val="auto"/>
        </w:rPr>
      </w:pPr>
      <w:r>
        <w:rPr>
          <w:rFonts w:hint="eastAsia" w:ascii="仿宋" w:hAnsi="仿宋" w:eastAsia="仿宋" w:cs="仿宋"/>
          <w:color w:val="auto"/>
        </w:rPr>
        <w:t>1．成交通知书发出后，三十日内与成交单位洽谈合同条款，并签订合同。磋商文件及成交单位磋商响应文件均作为合同的组成部分。</w:t>
      </w:r>
    </w:p>
    <w:p>
      <w:pPr>
        <w:keepNext w:val="0"/>
        <w:keepLines w:val="0"/>
        <w:pageBreakBefore w:val="0"/>
        <w:widowControl/>
        <w:kinsoku/>
        <w:wordWrap/>
        <w:overflowPunct/>
        <w:topLinePunct w:val="0"/>
        <w:autoSpaceDE/>
        <w:autoSpaceDN/>
        <w:bidi w:val="0"/>
        <w:adjustRightInd w:val="0"/>
        <w:snapToGrid w:val="0"/>
        <w:spacing w:line="360" w:lineRule="auto"/>
        <w:ind w:firstLine="645"/>
        <w:textAlignment w:val="auto"/>
        <w:rPr>
          <w:rFonts w:hint="eastAsia" w:ascii="仿宋" w:hAnsi="仿宋" w:eastAsia="仿宋" w:cs="仿宋"/>
          <w:color w:val="auto"/>
        </w:rPr>
      </w:pPr>
      <w:r>
        <w:rPr>
          <w:rFonts w:hint="eastAsia" w:ascii="仿宋" w:hAnsi="仿宋" w:eastAsia="仿宋" w:cs="仿宋"/>
          <w:color w:val="auto"/>
        </w:rPr>
        <w:t>2．监督机构在合同履行期间以及履行期后，可以随时检查项目的执行情况，对采购标准、招标内容进行调查核实，并对发现的问题进行处理。</w:t>
      </w:r>
    </w:p>
    <w:p>
      <w:pPr>
        <w:keepNext w:val="0"/>
        <w:keepLines w:val="0"/>
        <w:pageBreakBefore w:val="0"/>
        <w:widowControl/>
        <w:kinsoku/>
        <w:wordWrap/>
        <w:overflowPunct/>
        <w:topLinePunct w:val="0"/>
        <w:autoSpaceDE/>
        <w:autoSpaceDN/>
        <w:bidi w:val="0"/>
        <w:adjustRightInd w:val="0"/>
        <w:snapToGrid w:val="0"/>
        <w:spacing w:line="360" w:lineRule="auto"/>
        <w:ind w:firstLine="562" w:firstLineChars="20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一</w:t>
      </w:r>
      <w:r>
        <w:rPr>
          <w:rFonts w:hint="eastAsia" w:ascii="仿宋" w:hAnsi="仿宋" w:eastAsia="仿宋" w:cs="仿宋"/>
          <w:b/>
          <w:color w:val="auto"/>
          <w:sz w:val="28"/>
          <w:szCs w:val="28"/>
        </w:rPr>
        <w:t>、其它</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1．特殊情况处理：当全部报价均超出财政预算限额或均低于公认的制作成本时，磋商小组有权决定是否进行第三次报价或本次竞争性磋商失败。若第三次报价仍超预算，采购人又无力追加，磋商小组可宣布本次竞争性磋商失败。</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磋商开始到成交单位确定前，磋商小组、采购单位及有关人员要严格遵循保密原则，任何一方不得向与评审无关的单位和人员透露与磋商有关的其它供应商的技术资料、价格及其它信息。否则，按政府采购有关处罚条款进行相应的处罚。</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b/>
          <w:bCs/>
          <w:color w:val="auto"/>
          <w:sz w:val="28"/>
          <w:szCs w:val="28"/>
        </w:rPr>
      </w:pPr>
      <w:r>
        <w:rPr>
          <w:rFonts w:hint="eastAsia" w:ascii="仿宋" w:hAnsi="仿宋" w:eastAsia="仿宋" w:cs="仿宋"/>
          <w:color w:val="auto"/>
          <w:lang w:val="en-US" w:eastAsia="zh-CN"/>
        </w:rPr>
        <w:t>3</w:t>
      </w:r>
      <w:r>
        <w:rPr>
          <w:rFonts w:hint="eastAsia" w:ascii="仿宋" w:hAnsi="仿宋" w:eastAsia="仿宋" w:cs="仿宋"/>
          <w:color w:val="auto"/>
        </w:rPr>
        <w:t>.拒绝商业贿赂供应商必须填写一份《拒绝政府采购领域商业贿赂承诺书》编制在磋商响应文件中。</w:t>
      </w:r>
      <w:r>
        <w:rPr>
          <w:rFonts w:hint="eastAsia" w:ascii="仿宋" w:hAnsi="仿宋" w:eastAsia="仿宋" w:cs="仿宋"/>
          <w:color w:val="auto"/>
        </w:rPr>
        <w:br w:type="page"/>
      </w:r>
    </w:p>
    <w:p>
      <w:pPr>
        <w:adjustRightInd w:val="0"/>
        <w:snapToGrid w:val="0"/>
        <w:spacing w:line="360" w:lineRule="auto"/>
        <w:jc w:val="center"/>
        <w:outlineLvl w:val="0"/>
        <w:rPr>
          <w:rFonts w:hint="eastAsia" w:ascii="仿宋" w:hAnsi="仿宋" w:eastAsia="仿宋" w:cs="仿宋"/>
          <w:b/>
          <w:color w:val="auto"/>
          <w:sz w:val="28"/>
          <w:szCs w:val="28"/>
          <w:lang w:eastAsia="zh-CN"/>
        </w:rPr>
      </w:pPr>
      <w:r>
        <w:rPr>
          <w:rFonts w:hint="eastAsia" w:ascii="仿宋" w:hAnsi="仿宋" w:eastAsia="仿宋" w:cs="仿宋"/>
          <w:b/>
          <w:bCs/>
          <w:color w:val="auto"/>
          <w:sz w:val="28"/>
          <w:szCs w:val="28"/>
        </w:rPr>
        <w:t xml:space="preserve">第三部分  </w:t>
      </w:r>
      <w:r>
        <w:rPr>
          <w:rFonts w:hint="eastAsia" w:ascii="仿宋" w:hAnsi="仿宋" w:eastAsia="仿宋" w:cs="仿宋"/>
          <w:b/>
          <w:bCs/>
          <w:color w:val="auto"/>
          <w:sz w:val="28"/>
          <w:szCs w:val="28"/>
          <w:lang w:eastAsia="zh-CN"/>
        </w:rPr>
        <w:t>采购内容及要求</w:t>
      </w:r>
    </w:p>
    <w:p>
      <w:pPr>
        <w:adjustRightInd w:val="0"/>
        <w:snapToGrid w:val="0"/>
        <w:spacing w:line="360" w:lineRule="auto"/>
        <w:ind w:firstLine="482" w:firstLineChars="200"/>
        <w:rPr>
          <w:rFonts w:hint="eastAsia" w:ascii="仿宋" w:hAnsi="仿宋" w:eastAsia="仿宋" w:cs="仿宋"/>
          <w:color w:val="auto"/>
        </w:rPr>
      </w:pPr>
      <w:r>
        <w:rPr>
          <w:rFonts w:hint="eastAsia" w:ascii="仿宋" w:hAnsi="仿宋" w:eastAsia="仿宋" w:cs="仿宋"/>
          <w:b/>
          <w:bCs/>
          <w:color w:val="auto"/>
        </w:rPr>
        <w:t>一、</w:t>
      </w:r>
      <w:r>
        <w:rPr>
          <w:rFonts w:hint="eastAsia" w:ascii="仿宋" w:hAnsi="仿宋" w:eastAsia="仿宋" w:cs="仿宋"/>
          <w:b/>
          <w:bCs/>
          <w:color w:val="auto"/>
          <w:lang w:val="en-US" w:eastAsia="zh-CN"/>
        </w:rPr>
        <w:t>项目名称</w:t>
      </w:r>
      <w:r>
        <w:rPr>
          <w:rFonts w:hint="eastAsia" w:ascii="仿宋" w:hAnsi="仿宋" w:eastAsia="仿宋" w:cs="仿宋"/>
          <w:b/>
          <w:bCs/>
          <w:color w:val="auto"/>
        </w:rPr>
        <w:t>及预算</w:t>
      </w:r>
    </w:p>
    <w:p>
      <w:pPr>
        <w:adjustRightInd w:val="0"/>
        <w:snapToGrid w:val="0"/>
        <w:spacing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auto"/>
        </w:rPr>
        <w:t>1.</w:t>
      </w:r>
      <w:r>
        <w:rPr>
          <w:rFonts w:hint="eastAsia" w:ascii="仿宋" w:hAnsi="仿宋" w:eastAsia="仿宋" w:cs="仿宋"/>
          <w:color w:val="auto"/>
          <w:lang w:val="en-US" w:eastAsia="zh-CN"/>
        </w:rPr>
        <w:t>项目名称</w:t>
      </w:r>
      <w:r>
        <w:rPr>
          <w:rFonts w:hint="eastAsia" w:ascii="仿宋" w:hAnsi="仿宋" w:eastAsia="仿宋" w:cs="仿宋"/>
          <w:color w:val="auto"/>
        </w:rPr>
        <w:t>：</w:t>
      </w:r>
      <w:r>
        <w:rPr>
          <w:rFonts w:hint="eastAsia" w:ascii="仿宋" w:hAnsi="仿宋" w:eastAsia="仿宋" w:cs="仿宋"/>
          <w:color w:val="auto"/>
          <w:lang w:eastAsia="zh-CN"/>
        </w:rPr>
        <w:t>平利县2026年公共数字文化云建设项目</w:t>
      </w:r>
    </w:p>
    <w:p>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.项目最高限价：</w:t>
      </w:r>
      <w:r>
        <w:rPr>
          <w:rFonts w:hint="eastAsia" w:ascii="仿宋" w:hAnsi="仿宋" w:eastAsia="仿宋" w:cs="仿宋"/>
          <w:color w:val="auto"/>
          <w:lang w:val="en-US" w:eastAsia="zh-CN"/>
        </w:rPr>
        <w:t>贰拾万元整</w:t>
      </w:r>
      <w:r>
        <w:rPr>
          <w:rFonts w:hint="eastAsia" w:ascii="仿宋" w:hAnsi="仿宋" w:eastAsia="仿宋" w:cs="仿宋"/>
          <w:color w:val="auto"/>
          <w:lang w:eastAsia="zh-CN"/>
        </w:rPr>
        <w:t>（¥</w:t>
      </w:r>
      <w:r>
        <w:rPr>
          <w:rFonts w:hint="eastAsia" w:ascii="仿宋" w:hAnsi="仿宋" w:eastAsia="仿宋" w:cs="仿宋"/>
          <w:color w:val="auto"/>
          <w:lang w:val="en-US" w:eastAsia="zh-CN"/>
        </w:rPr>
        <w:t>200,000.00</w:t>
      </w:r>
      <w:r>
        <w:rPr>
          <w:rFonts w:hint="eastAsia" w:ascii="仿宋" w:hAnsi="仿宋" w:eastAsia="仿宋" w:cs="仿宋"/>
          <w:color w:val="auto"/>
          <w:lang w:eastAsia="zh-CN"/>
        </w:rPr>
        <w:t>元）</w:t>
      </w:r>
      <w:r>
        <w:rPr>
          <w:rFonts w:hint="eastAsia" w:ascii="仿宋" w:hAnsi="仿宋" w:eastAsia="仿宋" w:cs="仿宋"/>
          <w:color w:val="auto"/>
        </w:rPr>
        <w:t>，超出预算限价按无效投标处理。</w:t>
      </w:r>
    </w:p>
    <w:p>
      <w:pPr>
        <w:adjustRightInd w:val="0"/>
        <w:snapToGrid w:val="0"/>
        <w:spacing w:line="360" w:lineRule="auto"/>
        <w:ind w:firstLine="480" w:firstLineChars="200"/>
        <w:rPr>
          <w:rFonts w:hint="default" w:ascii="仿宋" w:hAnsi="仿宋" w:eastAsia="仿宋" w:cs="仿宋"/>
          <w:color w:val="auto"/>
          <w:lang w:val="en-US" w:eastAsia="zh-CN"/>
        </w:rPr>
      </w:pPr>
      <w:r>
        <w:rPr>
          <w:rFonts w:hint="eastAsia" w:ascii="仿宋" w:hAnsi="仿宋" w:eastAsia="仿宋" w:cs="仿宋"/>
          <w:color w:val="auto"/>
          <w:lang w:val="en-US" w:eastAsia="zh-CN"/>
        </w:rPr>
        <w:t>3.服务期：签订</w:t>
      </w:r>
      <w:bookmarkStart w:id="2" w:name="_GoBack"/>
      <w:bookmarkEnd w:id="2"/>
      <w:r>
        <w:rPr>
          <w:rFonts w:hint="eastAsia" w:ascii="仿宋" w:hAnsi="仿宋" w:eastAsia="仿宋" w:cs="仿宋"/>
          <w:color w:val="auto"/>
          <w:lang w:val="en-US" w:eastAsia="zh-CN"/>
        </w:rPr>
        <w:t>合同后至活动整体结束。</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200"/>
        <w:textAlignment w:val="auto"/>
        <w:rPr>
          <w:rFonts w:hint="default" w:ascii="仿宋" w:hAnsi="仿宋" w:eastAsia="仿宋" w:cs="仿宋"/>
          <w:b/>
          <w:bCs/>
          <w:lang w:val="en-US" w:eastAsia="zh-CN"/>
        </w:rPr>
      </w:pPr>
      <w:r>
        <w:rPr>
          <w:rFonts w:hint="eastAsia" w:ascii="仿宋" w:hAnsi="仿宋" w:eastAsia="仿宋" w:cs="仿宋"/>
          <w:b/>
          <w:bCs/>
          <w:sz w:val="24"/>
          <w:szCs w:val="24"/>
          <w:lang w:val="en-US" w:eastAsia="zh-CN" w:bidi="ar-SA"/>
        </w:rPr>
        <w:t>二、服务内容</w:t>
      </w:r>
    </w:p>
    <w:tbl>
      <w:tblPr>
        <w:tblStyle w:val="28"/>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
        <w:gridCol w:w="965"/>
        <w:gridCol w:w="747"/>
        <w:gridCol w:w="398"/>
        <w:gridCol w:w="7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序号</w:t>
            </w:r>
          </w:p>
        </w:tc>
        <w:tc>
          <w:tcPr>
            <w:tcW w:w="965"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参数项</w:t>
            </w:r>
          </w:p>
        </w:tc>
        <w:tc>
          <w:tcPr>
            <w:tcW w:w="747"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数量</w:t>
            </w:r>
          </w:p>
        </w:tc>
        <w:tc>
          <w:tcPr>
            <w:tcW w:w="398"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单位</w:t>
            </w:r>
          </w:p>
        </w:tc>
        <w:tc>
          <w:tcPr>
            <w:tcW w:w="7293"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6"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965" w:type="dxa"/>
            <w:vAlign w:val="center"/>
          </w:tcPr>
          <w:p>
            <w:pPr>
              <w:widowControl w:val="0"/>
              <w:jc w:val="center"/>
              <w:rPr>
                <w:rFonts w:hint="eastAsia" w:ascii="仿宋" w:hAnsi="仿宋" w:eastAsia="仿宋" w:cs="仿宋"/>
                <w:sz w:val="24"/>
                <w:szCs w:val="24"/>
                <w:vertAlign w:val="baseline"/>
              </w:rPr>
            </w:pPr>
            <w:r>
              <w:rPr>
                <w:rFonts w:hint="eastAsia" w:ascii="仿宋" w:hAnsi="仿宋" w:eastAsia="仿宋" w:cs="仿宋"/>
                <w:sz w:val="24"/>
                <w:szCs w:val="24"/>
                <w:lang w:val="en-US" w:eastAsia="zh-CN"/>
              </w:rPr>
              <w:t>数字化人才队伍培训</w:t>
            </w:r>
          </w:p>
        </w:tc>
        <w:tc>
          <w:tcPr>
            <w:tcW w:w="747" w:type="dxa"/>
            <w:vAlign w:val="center"/>
          </w:tcPr>
          <w:p>
            <w:pPr>
              <w:widowControl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398" w:type="dxa"/>
            <w:vAlign w:val="center"/>
          </w:tcPr>
          <w:p>
            <w:pPr>
              <w:widowControl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w:t>
            </w:r>
          </w:p>
        </w:tc>
        <w:tc>
          <w:tcPr>
            <w:tcW w:w="7293" w:type="dxa"/>
            <w:vAlign w:val="center"/>
          </w:tcPr>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一、建设需求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开展公共文化云项目建设的相关负责人及数字化业务干部、开展艺术普及服务的业务干部进行培训，培训人数不少于10人，培训时长不少于5天（45分钟/学时，共不少于24学时）。</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二、技术要求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（一）遴选要求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培训对象应为县级（含）以上文化馆有关从业人员，一类为从事公共文化云建设与服务的相关人员，第二类为其他开展艺术普及的人员。</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（二）培训要求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培训内容应包括：公共文化云项目规范及运营服务、创新实践、新媒体推广、人工智能应用等，以有效推进公共文化云项目的规范有序开展，实现业务服务落地应用，政治素养学习不少于2学时，应用技能实训不少于总学时的20%，创新实践课程不少于总学时的10%。持续提升文化馆从业人员数字化服务水平。</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（三）过程管理</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加强过程管理，规范总结归档。培训结束后可通过国家公共文化云提供的线上考核和满意度调查功能，开展学员考核和满意度调查。</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（四）成果提交</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1.每期培训班结束后，于30个工作日内提交：培训手册、学员名单、签到表、课件、课程视频、培训班现场照片等资料。</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2.年度项目验收，在上述资料基础上提交公共文化云业务干部培训情况和艺术普及业务干部数字化能力培训情况。各省级文化馆通过公共文化云项目跟踪管理系统提交，并以硬盘或网盘等方式报送。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6"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965" w:type="dxa"/>
            <w:shd w:val="clear" w:color="auto" w:fill="auto"/>
            <w:vAlign w:val="center"/>
          </w:tcPr>
          <w:p>
            <w:pPr>
              <w:widowControl w:val="0"/>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乡村文化能人志愿宣推</w:t>
            </w:r>
          </w:p>
        </w:tc>
        <w:tc>
          <w:tcPr>
            <w:tcW w:w="747" w:type="dxa"/>
            <w:shd w:val="clear" w:color="auto" w:fill="auto"/>
            <w:vAlign w:val="center"/>
          </w:tcPr>
          <w:p>
            <w:pPr>
              <w:widowControl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98" w:type="dxa"/>
            <w:shd w:val="clear" w:color="auto" w:fill="auto"/>
            <w:vAlign w:val="center"/>
          </w:tcPr>
          <w:p>
            <w:pPr>
              <w:widowControl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场</w:t>
            </w:r>
          </w:p>
        </w:tc>
        <w:tc>
          <w:tcPr>
            <w:tcW w:w="7293" w:type="dxa"/>
            <w:shd w:val="clear" w:color="auto" w:fill="auto"/>
            <w:vAlign w:val="center"/>
          </w:tcPr>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一、建设需求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统筹组织乡村文化能人参加乡村文旅主题宣推活动1场，重点宣推平利县县级及以下基层具有地域特色的文化活动、乡村美景、非遗文创、特色美食、地方好物等，提升文旅资源知名度与美誉度。</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二、技术要求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（一）宣推策划</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可与村晚、村歌相结合，或与本地重点文化活动、旅游项目结合，策划在县级及以下基层开展文旅主题推介。结合实际制定工作方案，方案需明确宣推主题、时间、地点、组织机构、活动内容、宣推脚本、预期效果、保障措施，以及参与活动的乡村文化能人名单及参与方式等。</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（二）宣推形式</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注重发挥乡村文化能人优势，围绕主题活动至少开展以下2种志愿宣推：</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①文艺惠民演出直录播：通过公共文化云平台以及乡村文化能人新媒体账号，开展相关文艺惠民演出直录播。</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②行进式直播探访：通过公共文化云平台或者乡村文化能人新媒体账号，以边走边播、直播带看的方式，宣传推介本土特色优品、旅游景区等。</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③拍摄、发布宣传短视频：组织乡村文化能人打卡本地特色优品、非遗文创、旅游景区等点位，拍摄制作宣传短视频，通过乡村文化能人新媒体账号发布宣推。</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④公益助农直播带货：鼓励组织乡村文化能人在具备条件的地区开展公益直播带货，宣传文旅产品，助力基层增收。</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（三）宣推人员及有关要求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①人员要求：遴选符合主题需要的正能量乡村文化能人参与宣推活动，参与乡村文化能人不少于6人，每位参与人员的新媒体账号粉丝量原则上不低于1万。</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②数量要求：每位乡村文化能人开展的直录播不少于2次，单次直播时长不少于30分钟；每位乡村文化能人拍摄并发布的优质短视频数量不少于5条。</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③质量要求：乡村文化能人采用第一人称探访、伴游乡村等形式开展宣推，不宜刻板播报。灵活运用拍摄与剪辑技巧，融知识、趣味、乡土特色于一体，丰富视频观感。</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（四）成果总结</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每场主题宣推活动需及时形成宣推成果，包括但不限于：参加活动的乡村文化能人情况、直录播成片、宣推短视频、网络曝光量等。每场主题宣推活动通过公共文化云、乡村文化能人新媒体账号等平台取得的曝光量原则上累计不少于10万人次。</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（五）安全管理</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确保主题宣推活动符合意识形态安全要求，内容积极健康，对活动参与人员、网络宣推内容等进行审核，做好宣推过程监督，确保安全、有序。</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（六）成果提交</w:t>
            </w:r>
          </w:p>
          <w:p>
            <w:pPr>
              <w:widowControl w:val="0"/>
              <w:jc w:val="both"/>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宣推活动结束后一个月内，应及时在公共文化云平台发布有关宣推成果，并通过硬盘、网盘或公共文化云项目跟踪管理系统提交。视频采用MP4视频封装格式，画面分辨率达到1080P及以上。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4" w:hRule="atLeast"/>
          <w:jc w:val="center"/>
        </w:trPr>
        <w:tc>
          <w:tcPr>
            <w:tcW w:w="336" w:type="dxa"/>
            <w:vAlign w:val="center"/>
          </w:tcPr>
          <w:p>
            <w:pPr>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965" w:type="dxa"/>
            <w:shd w:val="clear" w:color="auto" w:fill="auto"/>
            <w:vAlign w:val="center"/>
          </w:tcPr>
          <w:p>
            <w:pPr>
              <w:widowControl w:val="0"/>
              <w:jc w:val="center"/>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lang w:val="en-US" w:eastAsia="zh-CN"/>
              </w:rPr>
              <w:t>全民艺术普及相关直录播</w:t>
            </w:r>
          </w:p>
        </w:tc>
        <w:tc>
          <w:tcPr>
            <w:tcW w:w="747" w:type="dxa"/>
            <w:shd w:val="clear" w:color="auto" w:fill="auto"/>
            <w:vAlign w:val="center"/>
          </w:tcPr>
          <w:p>
            <w:pPr>
              <w:widowControl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98" w:type="dxa"/>
            <w:shd w:val="clear" w:color="auto" w:fill="auto"/>
            <w:vAlign w:val="center"/>
          </w:tcPr>
          <w:p>
            <w:pPr>
              <w:widowControl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场</w:t>
            </w:r>
          </w:p>
        </w:tc>
        <w:tc>
          <w:tcPr>
            <w:tcW w:w="7293" w:type="dxa"/>
            <w:shd w:val="clear" w:color="auto" w:fill="auto"/>
            <w:vAlign w:val="center"/>
          </w:tcPr>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一、建设需求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将线下展演性、惠民性群众文化活动，以及群众文艺演出、非遗展示与体验、展览带看等内容，通过现场录制、网络推流的方式，在国家公共文化云、省级公共文化云播出，并鼓励在其他新媒体平台同步播出。</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二、技术要求</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（一）现场拍摄</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使用不少于高清摄像机位4台及高清导播台等专业设备，进行现场拍摄、直播监控、技术保障、应急处置等。摄像机分辨率不低于1080P。</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（二）平台对接</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与国家公共文化云、省级公共文化云的上线技术对接，包括直播联调、网络推流、信号适配等工作，保障顺畅上线、稳定播出。有关要求参照《国家公共文化云直/录播管理办法》。</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（三）内容审核</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对直录播进行全流程审核。重点开展意识形态审核、内容审核及技术审核工作，全面覆盖直录播节目、相关宣传素材、出镜人员身份及现场言论表述等。上线播出过程中安排专人全程值守监播，实时监测播出画面、节目内容、现场言论表述、大屏字幕、互动环节内容及网络信号传输情况，及时发现并处置各类风险隐患。</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（四）宣传推广</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在直录播前进行预热宣传，在直录播过程中及直录播结束后对内容特色亮点、幕后故事、活动花絮等进行宣传，在公共文化云及新媒体矩阵发布海报、推文、照片、宣传短片等。在线下布置直录播海报、易拉宝等宣传品。</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（五）后期加工</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直录播整场内容、单个精编节目的包装制作，以及宣传片、人物采访、直播花絮等衍生内容的整理加工。演出类场次须按照单个节目进行精准分段拆条处理。所有成片、拆条视频及衍生内容均严格按照公共文化云数字化加工规范，确保质量合规、格式标准。</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（六）多平台直播数据统计</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对直录播场次在国家公共文化云、本省公共文化云及相关播出平台的数据进行多维度的统计，包括但不限于总播放量、累计观看人数、用户观看平均时长及用户互动参与数据等。</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（七）成果提交</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1.可通过硬盘、网盘或国家公共文化云后台上传的方式提交项目成果。成果包含整场直录播完整高清视频、标准化视频拆条与衍生素材。</w:t>
            </w:r>
          </w:p>
          <w:p>
            <w:pPr>
              <w:widowControl w:val="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2.演出类直录播视频拆条应按节目进行拆条；活动、展览或其他类直录播视频，应提炼活动高光片段、制作与主题相关的衍生内容作为拆条素材。</w:t>
            </w:r>
          </w:p>
          <w:p>
            <w:pPr>
              <w:widowControl w:val="0"/>
              <w:jc w:val="both"/>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3.视频采用MP4或MOV等主流视频封装格式，画面分辨率达到1080P及以上，码率为25M。</w:t>
            </w:r>
          </w:p>
        </w:tc>
      </w:tr>
    </w:tbl>
    <w:p>
      <w:pPr>
        <w:adjustRightInd w:val="0"/>
        <w:snapToGrid w:val="0"/>
        <w:spacing w:line="360" w:lineRule="auto"/>
        <w:ind w:firstLine="482" w:firstLineChars="200"/>
        <w:rPr>
          <w:rFonts w:hint="eastAsia" w:ascii="仿宋" w:hAnsi="仿宋" w:eastAsia="仿宋" w:cs="仿宋"/>
          <w:lang w:val="en-US" w:eastAsia="zh-CN"/>
        </w:rPr>
      </w:pPr>
      <w:r>
        <w:rPr>
          <w:rFonts w:hint="eastAsia" w:ascii="仿宋" w:hAnsi="仿宋" w:eastAsia="仿宋" w:cs="仿宋"/>
          <w:b/>
          <w:bCs/>
          <w:lang w:val="en-US" w:eastAsia="zh-CN"/>
        </w:rPr>
        <w:t>三、款项结算</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w:t>
      </w:r>
      <w:r>
        <w:rPr>
          <w:rFonts w:hint="eastAsia" w:ascii="仿宋" w:hAnsi="仿宋" w:eastAsia="仿宋" w:cs="仿宋"/>
        </w:rPr>
        <w:t>合同款的支付：具体以与采购方签订的合同为准。</w:t>
      </w:r>
    </w:p>
    <w:p>
      <w:pPr>
        <w:adjustRightInd w:val="0"/>
        <w:snapToGrid w:val="0"/>
        <w:spacing w:line="360" w:lineRule="auto"/>
        <w:ind w:firstLine="480" w:firstLineChars="200"/>
        <w:rPr>
          <w:rFonts w:hint="eastAsia" w:ascii="仿宋" w:hAnsi="仿宋" w:eastAsia="仿宋" w:cs="仿宋"/>
          <w:b/>
          <w:bCs/>
          <w:lang w:val="en-US" w:eastAsia="zh-CN"/>
        </w:rPr>
      </w:pPr>
      <w:r>
        <w:rPr>
          <w:rFonts w:hint="eastAsia" w:ascii="仿宋" w:hAnsi="仿宋" w:eastAsia="仿宋" w:cs="仿宋"/>
        </w:rPr>
        <w:t>2</w:t>
      </w:r>
      <w:r>
        <w:rPr>
          <w:rFonts w:hint="eastAsia" w:ascii="仿宋" w:hAnsi="仿宋" w:eastAsia="仿宋" w:cs="仿宋"/>
          <w:lang w:val="en-US" w:eastAsia="zh-CN"/>
        </w:rPr>
        <w:t>.</w:t>
      </w:r>
      <w:r>
        <w:rPr>
          <w:rFonts w:hint="eastAsia" w:ascii="仿宋" w:hAnsi="仿宋" w:eastAsia="仿宋" w:cs="仿宋"/>
        </w:rPr>
        <w:t>结算方式：</w:t>
      </w:r>
      <w:r>
        <w:rPr>
          <w:rFonts w:hint="eastAsia" w:ascii="仿宋" w:hAnsi="仿宋" w:eastAsia="仿宋" w:cs="仿宋"/>
          <w:lang w:eastAsia="zh-CN"/>
        </w:rPr>
        <w:t>平利县文化馆</w:t>
      </w:r>
      <w:r>
        <w:rPr>
          <w:rFonts w:hint="eastAsia" w:ascii="仿宋" w:hAnsi="仿宋" w:eastAsia="仿宋" w:cs="仿宋"/>
        </w:rPr>
        <w:t>负责结算，发票开至</w:t>
      </w:r>
      <w:r>
        <w:rPr>
          <w:rFonts w:hint="eastAsia" w:ascii="仿宋" w:hAnsi="仿宋" w:eastAsia="仿宋" w:cs="仿宋"/>
          <w:lang w:eastAsia="zh-CN"/>
        </w:rPr>
        <w:t>平利县文化馆</w:t>
      </w:r>
      <w:r>
        <w:rPr>
          <w:rFonts w:hint="eastAsia" w:ascii="仿宋" w:hAnsi="仿宋" w:eastAsia="仿宋" w:cs="仿宋"/>
        </w:rPr>
        <w:t>。</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b/>
          <w:bCs/>
          <w:lang w:val="en-US" w:eastAsia="zh-CN"/>
        </w:rPr>
      </w:pPr>
      <w:r>
        <w:rPr>
          <w:rFonts w:hint="eastAsia" w:ascii="仿宋" w:hAnsi="仿宋" w:eastAsia="仿宋" w:cs="仿宋"/>
          <w:b/>
          <w:bCs/>
          <w:lang w:val="en-US" w:eastAsia="zh-CN"/>
        </w:rPr>
        <w:t>四、验收</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1. 项目完成后，成交人需提供全套报告等书面资料，并按国家有关部门的标准要求验收。验收由</w:t>
      </w:r>
      <w:r>
        <w:rPr>
          <w:rFonts w:hint="eastAsia" w:ascii="仿宋" w:hAnsi="仿宋" w:eastAsia="仿宋" w:cs="仿宋"/>
          <w:lang w:val="en-US" w:eastAsia="zh-CN"/>
        </w:rPr>
        <w:t>甲方</w:t>
      </w:r>
      <w:r>
        <w:rPr>
          <w:rFonts w:hint="eastAsia" w:ascii="仿宋" w:hAnsi="仿宋" w:eastAsia="仿宋" w:cs="仿宋"/>
        </w:rPr>
        <w:t>会同有关部门进行验收。</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2. 验收依据：</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2-1 合同文本、磋商文件、投标文件。</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2-2 国家或行业标准、规范等规定的标准和方法。</w:t>
      </w:r>
    </w:p>
    <w:p>
      <w:pPr>
        <w:adjustRightInd w:val="0"/>
        <w:snapToGrid w:val="0"/>
        <w:spacing w:line="360" w:lineRule="auto"/>
        <w:ind w:firstLine="480" w:firstLineChars="200"/>
        <w:rPr>
          <w:rFonts w:hint="default" w:ascii="仿宋" w:hAnsi="仿宋" w:eastAsia="仿宋" w:cs="仿宋"/>
          <w:color w:val="FF0000"/>
          <w:lang w:val="en-US" w:eastAsia="zh-CN"/>
        </w:rPr>
      </w:pPr>
      <w:r>
        <w:rPr>
          <w:rFonts w:hint="eastAsia" w:ascii="仿宋" w:hAnsi="仿宋" w:eastAsia="仿宋" w:cs="仿宋"/>
        </w:rPr>
        <w:t>验收规则：验收仅核对资料完整性、成果是否满足合同、磋商文件、投标文件及国家行业标准，全部达标视为验收合格；资料缺失、成果不符合验收依据要求的，</w:t>
      </w:r>
      <w:r>
        <w:rPr>
          <w:rFonts w:hint="eastAsia" w:ascii="仿宋" w:hAnsi="仿宋" w:eastAsia="仿宋" w:cs="仿宋"/>
          <w:lang w:val="en-US" w:eastAsia="zh-CN"/>
        </w:rPr>
        <w:t>甲方</w:t>
      </w:r>
      <w:r>
        <w:rPr>
          <w:rFonts w:hint="eastAsia" w:ascii="仿宋" w:hAnsi="仿宋" w:eastAsia="仿宋" w:cs="仿宋"/>
        </w:rPr>
        <w:t>有权要求成交人限期整改，整改仍不合格的，追究成交人违约责任。</w:t>
      </w:r>
    </w:p>
    <w:p>
      <w:pPr>
        <w:adjustRightInd w:val="0"/>
        <w:snapToGrid w:val="0"/>
        <w:spacing w:line="360" w:lineRule="auto"/>
        <w:ind w:firstLine="482" w:firstLineChars="200"/>
        <w:rPr>
          <w:rFonts w:hint="default" w:ascii="仿宋" w:hAnsi="仿宋" w:eastAsia="仿宋" w:cs="仿宋"/>
          <w:b/>
          <w:bCs/>
          <w:color w:val="auto"/>
          <w:lang w:val="en-US" w:eastAsia="zh-CN"/>
        </w:rPr>
      </w:pPr>
      <w:r>
        <w:rPr>
          <w:rFonts w:hint="eastAsia" w:ascii="仿宋" w:hAnsi="仿宋" w:eastAsia="仿宋" w:cs="仿宋"/>
          <w:b/>
          <w:bCs/>
          <w:color w:val="auto"/>
          <w:lang w:val="en-US" w:eastAsia="zh-CN"/>
        </w:rPr>
        <w:t xml:space="preserve"> 七、质量保证</w:t>
      </w:r>
    </w:p>
    <w:p>
      <w:pPr>
        <w:spacing w:line="360" w:lineRule="auto"/>
        <w:ind w:right="-1" w:firstLine="480" w:firstLineChars="200"/>
        <w:jc w:val="left"/>
        <w:outlineLvl w:val="0"/>
        <w:rPr>
          <w:rFonts w:hint="eastAsia" w:ascii="仿宋" w:hAnsi="仿宋" w:eastAsia="仿宋" w:cs="仿宋"/>
          <w:color w:val="auto"/>
          <w:lang w:val="en-US" w:eastAsia="zh-CN"/>
        </w:rPr>
      </w:pPr>
      <w:r>
        <w:rPr>
          <w:rFonts w:hint="eastAsia" w:ascii="仿宋" w:hAnsi="仿宋" w:eastAsia="仿宋" w:cs="仿宋"/>
          <w:color w:val="auto"/>
          <w:lang w:val="en-US" w:eastAsia="zh-CN"/>
        </w:rPr>
        <w:t>1、在服务范围内按工作内容和要求制定详细的方案，方案科学、合理、可靠。</w:t>
      </w:r>
    </w:p>
    <w:p>
      <w:pPr>
        <w:spacing w:line="360" w:lineRule="auto"/>
        <w:ind w:right="-1" w:firstLine="480" w:firstLineChars="200"/>
        <w:jc w:val="left"/>
        <w:outlineLvl w:val="0"/>
        <w:rPr>
          <w:rFonts w:hint="eastAsia" w:ascii="仿宋" w:hAnsi="仿宋" w:eastAsia="仿宋" w:cs="仿宋"/>
          <w:color w:val="auto"/>
          <w:lang w:val="en-US" w:eastAsia="zh-CN"/>
        </w:rPr>
      </w:pPr>
      <w:r>
        <w:rPr>
          <w:rFonts w:hint="eastAsia" w:ascii="仿宋" w:hAnsi="仿宋" w:eastAsia="仿宋" w:cs="仿宋"/>
          <w:color w:val="auto"/>
          <w:lang w:val="en-US" w:eastAsia="zh-CN"/>
        </w:rPr>
        <w:t>2、人员配备合理。有针对本项目的专项服务小组，项目负责人、工作人员分工明确（有具体成员名单，包括姓名、工作职责等）。</w:t>
      </w:r>
    </w:p>
    <w:p>
      <w:pPr>
        <w:spacing w:line="360" w:lineRule="auto"/>
        <w:ind w:right="-1" w:firstLine="480" w:firstLineChars="200"/>
        <w:jc w:val="left"/>
        <w:outlineLvl w:val="0"/>
        <w:rPr>
          <w:rFonts w:hint="eastAsia" w:ascii="仿宋" w:hAnsi="仿宋" w:eastAsia="仿宋" w:cs="仿宋"/>
          <w:color w:val="auto"/>
          <w:lang w:val="en-US" w:eastAsia="zh-CN"/>
        </w:rPr>
      </w:pPr>
      <w:r>
        <w:rPr>
          <w:rFonts w:hint="eastAsia" w:ascii="仿宋" w:hAnsi="仿宋" w:eastAsia="仿宋" w:cs="仿宋"/>
          <w:color w:val="auto"/>
          <w:lang w:val="en-US" w:eastAsia="zh-CN"/>
        </w:rPr>
        <w:t>3、有各类突发事件的应急预案和措施，有明确具体的承诺。</w:t>
      </w:r>
    </w:p>
    <w:p>
      <w:pPr>
        <w:spacing w:line="360" w:lineRule="auto"/>
        <w:ind w:right="-1" w:firstLine="480" w:firstLineChars="200"/>
        <w:jc w:val="left"/>
        <w:outlineLvl w:val="0"/>
        <w:rPr>
          <w:rFonts w:hint="eastAsia" w:ascii="仿宋" w:hAnsi="仿宋" w:eastAsia="仿宋" w:cs="仿宋"/>
          <w:b/>
          <w:color w:val="auto"/>
          <w:sz w:val="28"/>
          <w:szCs w:val="28"/>
        </w:rPr>
      </w:pPr>
      <w:r>
        <w:rPr>
          <w:rFonts w:hint="eastAsia" w:ascii="仿宋" w:hAnsi="仿宋" w:eastAsia="仿宋" w:cs="仿宋"/>
          <w:color w:val="auto"/>
          <w:lang w:val="en-US" w:eastAsia="zh-CN"/>
        </w:rPr>
        <w:t>4、供应商所拟派的工作人员，若在服务期间发生任何伤害，采购人概不负责，由供应商自行处理。</w:t>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spacing w:line="360" w:lineRule="auto"/>
        <w:ind w:right="-1"/>
        <w:jc w:val="center"/>
        <w:outlineLvl w:val="0"/>
        <w:rPr>
          <w:rFonts w:hint="eastAsia" w:ascii="仿宋" w:hAnsi="仿宋" w:eastAsia="仿宋" w:cs="仿宋"/>
          <w:color w:val="auto"/>
          <w:sz w:val="28"/>
          <w:szCs w:val="28"/>
        </w:rPr>
      </w:pPr>
      <w:r>
        <w:rPr>
          <w:rFonts w:hint="eastAsia" w:ascii="仿宋" w:hAnsi="仿宋" w:eastAsia="仿宋" w:cs="仿宋"/>
          <w:b/>
          <w:color w:val="auto"/>
          <w:sz w:val="28"/>
          <w:szCs w:val="28"/>
        </w:rPr>
        <w:t>第四部分 合同主要条款（参考）</w:t>
      </w:r>
    </w:p>
    <w:p>
      <w:pPr>
        <w:adjustRightInd w:val="0"/>
        <w:snapToGrid w:val="0"/>
        <w:spacing w:line="500" w:lineRule="exact"/>
        <w:rPr>
          <w:rFonts w:hint="eastAsia" w:ascii="仿宋" w:hAnsi="仿宋" w:eastAsia="仿宋" w:cs="仿宋"/>
          <w:b/>
          <w:bCs/>
          <w:spacing w:val="16"/>
          <w:sz w:val="24"/>
          <w:szCs w:val="24"/>
        </w:rPr>
      </w:pPr>
      <w:r>
        <w:rPr>
          <w:rFonts w:hint="eastAsia" w:ascii="仿宋" w:hAnsi="仿宋" w:eastAsia="仿宋" w:cs="仿宋"/>
          <w:b/>
          <w:bCs/>
          <w:color w:val="auto"/>
          <w:sz w:val="21"/>
          <w:szCs w:val="21"/>
        </w:rPr>
        <w:t>注:本合同仅作为本项目采购合同的</w:t>
      </w:r>
      <w:r>
        <w:rPr>
          <w:rFonts w:hint="eastAsia" w:ascii="仿宋" w:hAnsi="仿宋" w:eastAsia="仿宋" w:cs="仿宋"/>
          <w:b/>
          <w:bCs/>
          <w:color w:val="auto"/>
          <w:sz w:val="21"/>
          <w:szCs w:val="21"/>
          <w:lang w:val="en-US" w:eastAsia="zh-CN"/>
        </w:rPr>
        <w:t>参考</w:t>
      </w:r>
      <w:r>
        <w:rPr>
          <w:rFonts w:hint="eastAsia" w:ascii="仿宋" w:hAnsi="仿宋" w:eastAsia="仿宋" w:cs="仿宋"/>
          <w:b/>
          <w:bCs/>
          <w:color w:val="auto"/>
          <w:sz w:val="21"/>
          <w:szCs w:val="21"/>
        </w:rPr>
        <w:t>条款，其他细节条款由</w:t>
      </w:r>
      <w:r>
        <w:rPr>
          <w:rFonts w:hint="eastAsia" w:ascii="仿宋" w:hAnsi="仿宋" w:eastAsia="仿宋" w:cs="仿宋"/>
          <w:b/>
          <w:bCs/>
          <w:color w:val="auto"/>
          <w:sz w:val="21"/>
          <w:szCs w:val="21"/>
          <w:lang w:val="en-US" w:eastAsia="zh-CN"/>
        </w:rPr>
        <w:t>供应商</w:t>
      </w:r>
      <w:r>
        <w:rPr>
          <w:rFonts w:hint="eastAsia" w:ascii="仿宋" w:hAnsi="仿宋" w:eastAsia="仿宋" w:cs="仿宋"/>
          <w:b/>
          <w:bCs/>
          <w:color w:val="auto"/>
          <w:sz w:val="21"/>
          <w:szCs w:val="21"/>
        </w:rPr>
        <w:t>与采购单位在签订合同时具体商定。</w:t>
      </w:r>
    </w:p>
    <w:p>
      <w:pPr>
        <w:adjustRightInd w:val="0"/>
        <w:snapToGrid w:val="0"/>
        <w:spacing w:line="52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甲方（全称）：</w:t>
      </w:r>
      <w:r>
        <w:rPr>
          <w:rFonts w:hint="eastAsia" w:ascii="仿宋" w:hAnsi="仿宋" w:eastAsia="仿宋" w:cs="仿宋"/>
          <w:color w:val="auto"/>
          <w:sz w:val="24"/>
          <w:szCs w:val="24"/>
          <w:lang w:val="en-US" w:eastAsia="zh-CN"/>
        </w:rPr>
        <w:t>平利县文化馆</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乙方（全称）： </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依照《中华人民共和国政府采购法》及相关法律、法规，遵循平等、自愿、</w:t>
      </w:r>
    </w:p>
    <w:p>
      <w:pPr>
        <w:adjustRightInd w:val="0"/>
        <w:snapToGrid w:val="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公平和诚实信用的原则，双方就</w:t>
      </w:r>
      <w:r>
        <w:rPr>
          <w:rFonts w:hint="eastAsia" w:ascii="仿宋" w:hAnsi="仿宋" w:eastAsia="仿宋" w:cs="仿宋"/>
          <w:color w:val="auto"/>
          <w:sz w:val="24"/>
          <w:szCs w:val="24"/>
          <w:lang w:val="en-US" w:eastAsia="zh-CN"/>
        </w:rPr>
        <w:t>平利县2026年公共数字文化云建设项目</w:t>
      </w:r>
      <w:r>
        <w:rPr>
          <w:rFonts w:hint="eastAsia" w:ascii="仿宋" w:hAnsi="仿宋" w:eastAsia="仿宋" w:cs="仿宋"/>
          <w:color w:val="auto"/>
          <w:sz w:val="24"/>
          <w:szCs w:val="24"/>
        </w:rPr>
        <w:t>协商一致，订立本合同。</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一、</w:t>
      </w:r>
      <w:r>
        <w:rPr>
          <w:rFonts w:hint="eastAsia" w:ascii="仿宋" w:hAnsi="仿宋" w:eastAsia="仿宋" w:cs="仿宋"/>
          <w:b/>
          <w:bCs/>
          <w:color w:val="auto"/>
          <w:sz w:val="24"/>
          <w:szCs w:val="24"/>
          <w:lang w:eastAsia="zh-CN"/>
        </w:rPr>
        <w:t>项目</w:t>
      </w:r>
      <w:r>
        <w:rPr>
          <w:rFonts w:hint="eastAsia" w:ascii="仿宋" w:hAnsi="仿宋" w:eastAsia="仿宋" w:cs="仿宋"/>
          <w:b/>
          <w:bCs/>
          <w:color w:val="auto"/>
          <w:sz w:val="24"/>
          <w:szCs w:val="24"/>
        </w:rPr>
        <w:t>概况</w:t>
      </w:r>
    </w:p>
    <w:p>
      <w:pPr>
        <w:adjustRightInd w:val="0"/>
        <w:snapToGrid w:val="0"/>
        <w:spacing w:line="52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lang w:val="en-US" w:eastAsia="zh-CN"/>
        </w:rPr>
        <w:t>平利县2026年公共数字文化云建设项目</w:t>
      </w:r>
    </w:p>
    <w:p>
      <w:pPr>
        <w:adjustRightInd w:val="0"/>
        <w:snapToGrid w:val="0"/>
        <w:spacing w:line="52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项目地点：</w:t>
      </w:r>
      <w:r>
        <w:rPr>
          <w:rFonts w:hint="eastAsia" w:ascii="仿宋" w:hAnsi="仿宋" w:eastAsia="仿宋" w:cs="仿宋"/>
          <w:color w:val="auto"/>
          <w:sz w:val="24"/>
          <w:szCs w:val="24"/>
          <w:lang w:val="en-US" w:eastAsia="zh-CN"/>
        </w:rPr>
        <w:t>平利县</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二、质量标准</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文件相关要求。</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三、合同价款及付款方式</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1、项目总金额（人民币大写）：</w:t>
      </w:r>
    </w:p>
    <w:p>
      <w:pPr>
        <w:adjustRightInd w:val="0"/>
        <w:snapToGrid w:val="0"/>
        <w:spacing w:line="52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2、付款方式：</w:t>
      </w:r>
      <w:r>
        <w:rPr>
          <w:rFonts w:hint="eastAsia" w:ascii="仿宋" w:hAnsi="仿宋" w:eastAsia="仿宋" w:cs="仿宋"/>
        </w:rPr>
        <w:t>具体以与采购方签订的合同为准。</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四、服务时限要求</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自</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日至</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日前完成全部项目任务。</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五、要求及责任</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乙方须认真解读理解文件，按甲方提供的采购内容及事项并结合甲方负责人根据项目过程中提出的意见进行。如果项目中存在问题，乙方应提前及时向甲方提出，经甲方同意签认，方可执行。否则，不按规定要求的不予计算。</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2、按甲方规定的时限完成商定的内容。如遇人力不可抗拒的因素，不能在规定周期完成任务，要提前及时报告甲方，并提出弥补方案，时限应延期。</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3、因甲方责任造成的相应损失，按签订的合同单价、按实际额度补偿乙方；因乙方工作失误造成的相应损失由乙方自行承担。</w:t>
      </w:r>
    </w:p>
    <w:p>
      <w:pPr>
        <w:keepNext w:val="0"/>
        <w:keepLines w:val="0"/>
        <w:pageBreakBefore w:val="0"/>
        <w:widowControl/>
        <w:kinsoku/>
        <w:wordWrap/>
        <w:overflowPunct/>
        <w:topLinePunct w:val="0"/>
        <w:autoSpaceDE/>
        <w:autoSpaceDN/>
        <w:bidi w:val="0"/>
        <w:adjustRightInd w:val="0"/>
        <w:snapToGrid w:val="0"/>
        <w:spacing w:line="520" w:lineRule="exact"/>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六、</w:t>
      </w:r>
      <w:r>
        <w:rPr>
          <w:rFonts w:hint="eastAsia" w:ascii="仿宋" w:hAnsi="仿宋" w:eastAsia="仿宋" w:cs="仿宋"/>
          <w:b/>
          <w:bCs/>
          <w:color w:val="auto"/>
          <w:sz w:val="24"/>
          <w:szCs w:val="24"/>
          <w:lang w:eastAsia="zh-CN"/>
        </w:rPr>
        <w:t>保密规定</w:t>
      </w:r>
    </w:p>
    <w:p>
      <w:pPr>
        <w:pStyle w:val="4"/>
        <w:keepNext w:val="0"/>
        <w:keepLines w:val="0"/>
        <w:pageBreakBefore w:val="0"/>
        <w:widowControl/>
        <w:kinsoku/>
        <w:wordWrap/>
        <w:overflowPunct/>
        <w:topLinePunct w:val="0"/>
        <w:autoSpaceDE/>
        <w:autoSpaceDN/>
        <w:bidi w:val="0"/>
        <w:spacing w:line="520" w:lineRule="exact"/>
        <w:textAlignment w:val="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甲、乙双方应永久恪守因签署或履行本合同而获知的对方秘密信息及其它秘密资料。任何一方如将获知的对方秘密信息泄露给第三方，应赔偿因泄密而给对方造成的一切损失并承担相应的法律责任（包括刑事责任）。</w:t>
      </w:r>
    </w:p>
    <w:p>
      <w:pPr>
        <w:keepNext w:val="0"/>
        <w:keepLines w:val="0"/>
        <w:pageBreakBefore w:val="0"/>
        <w:widowControl/>
        <w:kinsoku/>
        <w:wordWrap/>
        <w:overflowPunct/>
        <w:topLinePunct w:val="0"/>
        <w:autoSpaceDE/>
        <w:autoSpaceDN/>
        <w:bidi w:val="0"/>
        <w:adjustRightInd w:val="0"/>
        <w:snapToGrid w:val="0"/>
        <w:spacing w:line="5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1.如有未尽事宜，由双方依法订立补充合同。</w:t>
      </w:r>
    </w:p>
    <w:p>
      <w:pPr>
        <w:keepNext w:val="0"/>
        <w:keepLines w:val="0"/>
        <w:pageBreakBefore w:val="0"/>
        <w:widowControl/>
        <w:kinsoku/>
        <w:wordWrap/>
        <w:overflowPunct/>
        <w:topLinePunct w:val="0"/>
        <w:autoSpaceDE/>
        <w:autoSpaceDN/>
        <w:bidi w:val="0"/>
        <w:adjustRightInd w:val="0"/>
        <w:snapToGrid w:val="0"/>
        <w:spacing w:line="5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2.本合同一式四份，甲、乙双方各持两份，具同等法律效应。</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 xml:space="preserve">采  购  人：（公章）            供  应  商：（公章） </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法定代表人：                    法定代表人：</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委托代理人：                    委托代理人：</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 xml:space="preserve">电      话：                    电      话： </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737" w:leftChars="307" w:firstLine="1440" w:firstLineChars="600"/>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w:t>
      </w:r>
    </w:p>
    <w:p>
      <w:pPr>
        <w:adjustRightInd w:val="0"/>
        <w:snapToGrid w:val="0"/>
        <w:spacing w:line="500" w:lineRule="exact"/>
        <w:ind w:left="737" w:leftChars="307" w:firstLine="1440" w:firstLineChars="600"/>
        <w:rPr>
          <w:rFonts w:ascii="Times New Roman" w:hAnsi="Times New Roman" w:cs="Times New Roman"/>
          <w:color w:val="auto"/>
          <w:sz w:val="24"/>
          <w:szCs w:val="24"/>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rPr>
          <w:rFonts w:hint="eastAsia" w:ascii="仿宋" w:hAnsi="仿宋" w:eastAsia="仿宋" w:cs="仿宋"/>
          <w:color w:val="auto"/>
          <w:sz w:val="24"/>
          <w:szCs w:val="24"/>
          <w:shd w:val="clear" w:color="auto" w:fill="FFFFFF"/>
        </w:rPr>
      </w:pPr>
    </w:p>
    <w:p>
      <w:pPr>
        <w:tabs>
          <w:tab w:val="right" w:pos="4860"/>
        </w:tabs>
        <w:adjustRightInd w:val="0"/>
        <w:snapToGrid w:val="0"/>
        <w:spacing w:line="520" w:lineRule="exact"/>
        <w:jc w:val="center"/>
        <w:outlineLvl w:val="0"/>
        <w:rPr>
          <w:rFonts w:hint="eastAsia" w:ascii="仿宋" w:hAnsi="仿宋" w:eastAsia="仿宋" w:cs="仿宋"/>
          <w:b/>
          <w:color w:val="auto"/>
          <w:sz w:val="32"/>
          <w:szCs w:val="32"/>
        </w:rPr>
      </w:pPr>
      <w:r>
        <w:rPr>
          <w:rFonts w:hint="eastAsia" w:ascii="仿宋" w:hAnsi="仿宋" w:eastAsia="仿宋" w:cs="仿宋"/>
          <w:b/>
          <w:color w:val="auto"/>
          <w:sz w:val="28"/>
          <w:szCs w:val="28"/>
        </w:rPr>
        <w:t>第</w:t>
      </w:r>
      <w:r>
        <w:rPr>
          <w:rFonts w:hint="eastAsia" w:ascii="仿宋" w:hAnsi="仿宋" w:eastAsia="仿宋" w:cs="仿宋"/>
          <w:b/>
          <w:color w:val="auto"/>
          <w:sz w:val="28"/>
          <w:szCs w:val="28"/>
          <w:lang w:val="en-US" w:eastAsia="zh-CN"/>
        </w:rPr>
        <w:t>五</w:t>
      </w:r>
      <w:r>
        <w:rPr>
          <w:rFonts w:hint="eastAsia" w:ascii="仿宋" w:hAnsi="仿宋" w:eastAsia="仿宋" w:cs="仿宋"/>
          <w:b/>
          <w:color w:val="auto"/>
          <w:sz w:val="28"/>
          <w:szCs w:val="28"/>
        </w:rPr>
        <w:t>部分  竞争性磋商响应文件（格式）</w:t>
      </w:r>
    </w:p>
    <w:p>
      <w:pPr>
        <w:adjustRightInd w:val="0"/>
        <w:snapToGrid w:val="0"/>
        <w:spacing w:line="400" w:lineRule="exact"/>
        <w:rPr>
          <w:rFonts w:hint="eastAsia" w:ascii="仿宋" w:hAnsi="仿宋" w:eastAsia="仿宋" w:cs="仿宋"/>
          <w:b/>
          <w:color w:val="auto"/>
        </w:rPr>
      </w:pPr>
    </w:p>
    <w:p>
      <w:pPr>
        <w:adjustRightInd w:val="0"/>
        <w:snapToGrid w:val="0"/>
        <w:spacing w:line="400" w:lineRule="exact"/>
        <w:jc w:val="both"/>
        <w:rPr>
          <w:rFonts w:hint="eastAsia" w:ascii="仿宋" w:hAnsi="仿宋" w:eastAsia="仿宋" w:cs="仿宋"/>
          <w:b/>
          <w:color w:val="auto"/>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HTZB2026-AK-024</w:t>
      </w:r>
    </w:p>
    <w:p>
      <w:pPr>
        <w:adjustRightInd w:val="0"/>
        <w:snapToGrid w:val="0"/>
        <w:spacing w:line="360" w:lineRule="auto"/>
        <w:rPr>
          <w:rFonts w:hint="eastAsia" w:ascii="仿宋" w:hAnsi="仿宋" w:eastAsia="仿宋" w:cs="仿宋"/>
          <w:color w:val="auto"/>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tabs>
          <w:tab w:val="left" w:pos="3000"/>
          <w:tab w:val="center" w:pos="4535"/>
        </w:tabs>
        <w:adjustRightInd w:val="0"/>
        <w:snapToGrid w:val="0"/>
        <w:spacing w:line="360" w:lineRule="auto"/>
        <w:rPr>
          <w:rFonts w:hint="eastAsia" w:ascii="仿宋" w:hAnsi="仿宋" w:eastAsia="仿宋" w:cs="仿宋"/>
          <w:color w:val="auto"/>
          <w:sz w:val="32"/>
          <w:szCs w:val="32"/>
        </w:rPr>
      </w:pPr>
      <w:r>
        <w:rPr>
          <w:rFonts w:hint="eastAsia" w:ascii="仿宋" w:hAnsi="仿宋" w:eastAsia="仿宋" w:cs="仿宋"/>
          <w:color w:val="auto"/>
          <w:sz w:val="32"/>
          <w:szCs w:val="32"/>
        </w:rPr>
        <w:tab/>
      </w:r>
      <w:r>
        <w:rPr>
          <w:rFonts w:hint="eastAsia" w:ascii="仿宋" w:hAnsi="仿宋" w:eastAsia="仿宋" w:cs="仿宋"/>
          <w:color w:val="auto"/>
          <w:sz w:val="32"/>
          <w:szCs w:val="32"/>
        </w:rPr>
        <w:tab/>
      </w:r>
    </w:p>
    <w:p>
      <w:pPr>
        <w:adjustRightInd w:val="0"/>
        <w:snapToGrid w:val="0"/>
        <w:spacing w:line="360" w:lineRule="auto"/>
        <w:jc w:val="center"/>
        <w:rPr>
          <w:rFonts w:hint="eastAsia" w:ascii="仿宋" w:hAnsi="仿宋" w:eastAsia="仿宋" w:cs="仿宋"/>
          <w:b/>
          <w:color w:val="auto"/>
          <w:sz w:val="44"/>
          <w:szCs w:val="44"/>
        </w:rPr>
      </w:pPr>
      <w:r>
        <w:rPr>
          <w:rFonts w:hint="eastAsia" w:ascii="仿宋" w:hAnsi="仿宋" w:eastAsia="仿宋" w:cs="仿宋"/>
          <w:b/>
          <w:color w:val="auto"/>
          <w:sz w:val="44"/>
          <w:szCs w:val="44"/>
          <w:lang w:eastAsia="zh-CN"/>
        </w:rPr>
        <w:t>平利县2026年公共数字文化云建设项目</w:t>
      </w:r>
      <w:r>
        <w:rPr>
          <w:rFonts w:hint="eastAsia" w:ascii="仿宋" w:hAnsi="仿宋" w:eastAsia="仿宋" w:cs="仿宋"/>
          <w:b/>
          <w:color w:val="auto"/>
          <w:sz w:val="44"/>
          <w:szCs w:val="44"/>
          <w:lang w:val="en-US" w:eastAsia="zh-CN"/>
        </w:rPr>
        <w:t>竞争性</w:t>
      </w:r>
      <w:r>
        <w:rPr>
          <w:rFonts w:hint="eastAsia" w:ascii="仿宋" w:hAnsi="仿宋" w:eastAsia="仿宋" w:cs="仿宋"/>
          <w:b/>
          <w:color w:val="auto"/>
          <w:sz w:val="44"/>
          <w:szCs w:val="44"/>
        </w:rPr>
        <w:t>磋商响应文件</w:t>
      </w: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800" w:lineRule="exact"/>
        <w:rPr>
          <w:rFonts w:hint="eastAsia" w:ascii="仿宋" w:hAnsi="仿宋" w:eastAsia="仿宋" w:cs="仿宋"/>
          <w:b/>
          <w:bCs/>
          <w:color w:val="auto"/>
          <w:sz w:val="30"/>
          <w:szCs w:val="30"/>
          <w:lang w:eastAsia="zh-CN"/>
        </w:rPr>
      </w:pPr>
    </w:p>
    <w:p>
      <w:pPr>
        <w:adjustRightInd w:val="0"/>
        <w:snapToGrid w:val="0"/>
        <w:spacing w:line="800" w:lineRule="exact"/>
        <w:ind w:firstLine="1576"/>
        <w:rPr>
          <w:rFonts w:hint="eastAsia" w:ascii="仿宋" w:hAnsi="仿宋" w:eastAsia="仿宋" w:cs="仿宋"/>
          <w:b/>
          <w:bCs/>
          <w:color w:val="auto"/>
          <w:sz w:val="30"/>
          <w:szCs w:val="30"/>
          <w:lang w:eastAsia="zh-CN"/>
        </w:rPr>
      </w:pPr>
    </w:p>
    <w:p>
      <w:pPr>
        <w:adjustRightInd w:val="0"/>
        <w:snapToGrid w:val="0"/>
        <w:spacing w:line="800" w:lineRule="exact"/>
        <w:ind w:firstLine="1576"/>
        <w:rPr>
          <w:rFonts w:hint="eastAsia" w:ascii="仿宋" w:hAnsi="仿宋" w:eastAsia="仿宋" w:cs="仿宋"/>
          <w:color w:val="auto"/>
          <w:sz w:val="32"/>
          <w:szCs w:val="32"/>
          <w:u w:val="single"/>
          <w:lang w:val="en-US" w:eastAsia="zh-CN"/>
        </w:rPr>
      </w:pPr>
      <w:r>
        <w:rPr>
          <w:rFonts w:hint="eastAsia" w:ascii="仿宋" w:hAnsi="仿宋" w:eastAsia="仿宋" w:cs="仿宋"/>
          <w:b/>
          <w:bCs/>
          <w:color w:val="auto"/>
          <w:sz w:val="30"/>
          <w:szCs w:val="30"/>
          <w:lang w:eastAsia="zh-CN"/>
        </w:rPr>
        <w:t>供应商（盖章）</w:t>
      </w:r>
      <w:r>
        <w:rPr>
          <w:rFonts w:hint="eastAsia" w:ascii="仿宋" w:hAnsi="仿宋" w:eastAsia="仿宋" w:cs="仿宋"/>
          <w:b/>
          <w:color w:val="auto"/>
          <w:sz w:val="30"/>
          <w:szCs w:val="30"/>
        </w:rPr>
        <w:t>:</w:t>
      </w:r>
      <w:r>
        <w:rPr>
          <w:rFonts w:hint="eastAsia" w:ascii="仿宋" w:hAnsi="仿宋" w:eastAsia="仿宋" w:cs="仿宋"/>
          <w:b/>
          <w:color w:val="auto"/>
          <w:sz w:val="30"/>
          <w:szCs w:val="30"/>
          <w:lang w:val="en-US" w:eastAsia="zh-CN"/>
        </w:rPr>
        <w:t xml:space="preserve"> </w:t>
      </w:r>
      <w:r>
        <w:rPr>
          <w:rFonts w:hint="eastAsia" w:ascii="仿宋" w:hAnsi="仿宋" w:eastAsia="仿宋" w:cs="仿宋"/>
          <w:b/>
          <w:color w:val="auto"/>
          <w:sz w:val="30"/>
          <w:szCs w:val="30"/>
          <w:u w:val="single"/>
          <w:lang w:val="en-US" w:eastAsia="zh-CN"/>
        </w:rPr>
        <w:t xml:space="preserve">                     </w:t>
      </w:r>
    </w:p>
    <w:p>
      <w:pPr>
        <w:adjustRightInd w:val="0"/>
        <w:snapToGrid w:val="0"/>
        <w:spacing w:line="800" w:lineRule="exact"/>
        <w:ind w:firstLine="1576"/>
        <w:rPr>
          <w:rFonts w:hint="eastAsia" w:ascii="仿宋" w:hAnsi="仿宋" w:eastAsia="仿宋" w:cs="仿宋"/>
          <w:b/>
          <w:color w:val="auto"/>
          <w:sz w:val="30"/>
          <w:szCs w:val="30"/>
          <w:u w:val="single"/>
          <w:lang w:val="en-US" w:eastAsia="zh-CN"/>
        </w:rPr>
      </w:pPr>
      <w:r>
        <w:rPr>
          <w:rFonts w:hint="eastAsia" w:ascii="仿宋" w:hAnsi="仿宋" w:eastAsia="仿宋" w:cs="仿宋"/>
          <w:b/>
          <w:bCs/>
          <w:color w:val="auto"/>
          <w:sz w:val="30"/>
          <w:szCs w:val="30"/>
          <w:lang w:eastAsia="zh-CN"/>
        </w:rPr>
        <w:t>法人或委托人（签字）</w:t>
      </w:r>
      <w:r>
        <w:rPr>
          <w:rFonts w:hint="eastAsia" w:ascii="仿宋" w:hAnsi="仿宋" w:eastAsia="仿宋" w:cs="仿宋"/>
          <w:b/>
          <w:color w:val="auto"/>
          <w:sz w:val="30"/>
          <w:szCs w:val="30"/>
        </w:rPr>
        <w:t>：</w:t>
      </w:r>
      <w:r>
        <w:rPr>
          <w:rFonts w:hint="eastAsia" w:ascii="仿宋" w:hAnsi="仿宋" w:eastAsia="仿宋" w:cs="仿宋"/>
          <w:b/>
          <w:color w:val="auto"/>
          <w:sz w:val="30"/>
          <w:szCs w:val="30"/>
          <w:u w:val="single"/>
          <w:lang w:val="en-US" w:eastAsia="zh-CN"/>
        </w:rPr>
        <w:t xml:space="preserve">               </w:t>
      </w:r>
      <w:r>
        <w:rPr>
          <w:rFonts w:hint="eastAsia" w:ascii="仿宋" w:hAnsi="仿宋" w:eastAsia="仿宋" w:cs="仿宋"/>
          <w:b/>
          <w:color w:val="auto"/>
          <w:sz w:val="30"/>
          <w:szCs w:val="30"/>
          <w:lang w:val="en-US" w:eastAsia="zh-CN"/>
        </w:rPr>
        <w:t xml:space="preserve">    </w:t>
      </w:r>
    </w:p>
    <w:p>
      <w:pPr>
        <w:adjustRightInd w:val="0"/>
        <w:snapToGrid w:val="0"/>
        <w:spacing w:line="800" w:lineRule="exact"/>
        <w:ind w:firstLine="1576"/>
        <w:rPr>
          <w:rFonts w:hint="eastAsia" w:ascii="仿宋" w:hAnsi="仿宋" w:eastAsia="仿宋" w:cs="仿宋"/>
          <w:color w:val="auto"/>
          <w:sz w:val="30"/>
          <w:szCs w:val="30"/>
          <w:u w:val="single"/>
          <w:lang w:val="en-US" w:eastAsia="zh-CN"/>
        </w:rPr>
      </w:pPr>
      <w:r>
        <w:rPr>
          <w:rFonts w:hint="eastAsia" w:ascii="仿宋" w:hAnsi="仿宋" w:eastAsia="仿宋" w:cs="仿宋"/>
          <w:b/>
          <w:color w:val="auto"/>
          <w:sz w:val="30"/>
          <w:szCs w:val="30"/>
        </w:rPr>
        <w:t xml:space="preserve">时  </w:t>
      </w:r>
      <w:r>
        <w:rPr>
          <w:rFonts w:hint="eastAsia" w:ascii="仿宋" w:hAnsi="仿宋" w:eastAsia="仿宋" w:cs="仿宋"/>
          <w:b/>
          <w:color w:val="auto"/>
          <w:sz w:val="30"/>
          <w:szCs w:val="30"/>
          <w:lang w:val="en-US" w:eastAsia="zh-CN"/>
        </w:rPr>
        <w:t xml:space="preserve">    </w:t>
      </w:r>
      <w:r>
        <w:rPr>
          <w:rFonts w:hint="eastAsia" w:ascii="仿宋" w:hAnsi="仿宋" w:eastAsia="仿宋" w:cs="仿宋"/>
          <w:b/>
          <w:color w:val="auto"/>
          <w:sz w:val="30"/>
          <w:szCs w:val="30"/>
        </w:rPr>
        <w:t xml:space="preserve">  间</w:t>
      </w:r>
      <w:r>
        <w:rPr>
          <w:rFonts w:hint="eastAsia" w:ascii="仿宋" w:hAnsi="仿宋" w:eastAsia="仿宋" w:cs="仿宋"/>
          <w:color w:val="auto"/>
          <w:sz w:val="30"/>
          <w:szCs w:val="30"/>
        </w:rPr>
        <w:t>：</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lang w:val="en-US" w:eastAsia="zh-CN"/>
        </w:rPr>
        <w:t xml:space="preserve">  </w:t>
      </w:r>
    </w:p>
    <w:p>
      <w:pPr>
        <w:adjustRightInd w:val="0"/>
        <w:snapToGrid w:val="0"/>
        <w:spacing w:line="360" w:lineRule="auto"/>
        <w:rPr>
          <w:rFonts w:hint="eastAsia" w:ascii="仿宋" w:hAnsi="仿宋" w:eastAsia="仿宋" w:cs="仿宋"/>
          <w:b/>
          <w:color w:val="auto"/>
          <w:sz w:val="30"/>
          <w:szCs w:val="30"/>
        </w:rPr>
      </w:pP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6"/>
          <w:szCs w:val="36"/>
        </w:rPr>
        <w:t>目  录</w:t>
      </w:r>
    </w:p>
    <w:p>
      <w:pPr>
        <w:adjustRightInd w:val="0"/>
        <w:snapToGrid w:val="0"/>
        <w:spacing w:line="400" w:lineRule="exact"/>
        <w:ind w:firstLine="1494" w:firstLineChars="496"/>
        <w:rPr>
          <w:rFonts w:hint="eastAsia" w:ascii="仿宋" w:hAnsi="仿宋" w:eastAsia="仿宋" w:cs="仿宋"/>
          <w:b/>
          <w:bCs/>
          <w:color w:val="auto"/>
          <w:sz w:val="30"/>
          <w:szCs w:val="30"/>
        </w:rPr>
      </w:pP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第一章：竞争性磋商响应函</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第二章：磋商报价表</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第三章：供应商资格证明文件</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第四章：供应商概况</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第五章：供应商拒绝政府采购领域商业贿赂承诺书</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第六章：响应方案</w:t>
      </w:r>
    </w:p>
    <w:p>
      <w:pPr>
        <w:adjustRightInd w:val="0"/>
        <w:snapToGrid w:val="0"/>
        <w:spacing w:line="480" w:lineRule="auto"/>
        <w:ind w:firstLine="1205" w:firstLineChars="400"/>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t>第七章：项目业绩一览表</w:t>
      </w: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rPr>
          <w:rFonts w:hint="eastAsia" w:ascii="仿宋" w:hAnsi="仿宋" w:eastAsia="仿宋" w:cs="仿宋"/>
          <w:b/>
          <w:bCs/>
          <w:color w:val="auto"/>
          <w:sz w:val="30"/>
          <w:szCs w:val="30"/>
        </w:rPr>
      </w:pPr>
    </w:p>
    <w:p>
      <w:pPr>
        <w:pStyle w:val="18"/>
        <w:rPr>
          <w:rFonts w:hint="eastAsia" w:ascii="仿宋" w:hAnsi="仿宋" w:eastAsia="仿宋" w:cs="仿宋"/>
          <w:color w:val="auto"/>
        </w:rPr>
      </w:pPr>
    </w:p>
    <w:p>
      <w:pPr>
        <w:pStyle w:val="18"/>
        <w:ind w:firstLine="602"/>
        <w:rPr>
          <w:rFonts w:hint="eastAsia" w:ascii="仿宋" w:hAnsi="仿宋" w:eastAsia="仿宋" w:cs="仿宋"/>
          <w:b/>
          <w:bCs/>
          <w:color w:val="auto"/>
          <w:kern w:val="0"/>
          <w:sz w:val="30"/>
          <w:szCs w:val="30"/>
        </w:rPr>
      </w:pPr>
    </w:p>
    <w:p>
      <w:pPr>
        <w:rPr>
          <w:rFonts w:hint="eastAsia" w:ascii="仿宋" w:hAnsi="仿宋" w:eastAsia="仿宋" w:cs="仿宋"/>
          <w:b/>
          <w:bCs/>
          <w:color w:val="auto"/>
          <w:sz w:val="30"/>
          <w:szCs w:val="30"/>
        </w:rPr>
      </w:pPr>
    </w:p>
    <w:p>
      <w:pPr>
        <w:pStyle w:val="18"/>
        <w:rPr>
          <w:rFonts w:hint="eastAsia" w:ascii="仿宋" w:hAnsi="仿宋" w:eastAsia="仿宋" w:cs="仿宋"/>
          <w:color w:val="auto"/>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pStyle w:val="3"/>
        <w:bidi w:val="0"/>
        <w:rPr>
          <w:rFonts w:hint="eastAsia" w:ascii="仿宋" w:hAnsi="仿宋" w:eastAsia="仿宋" w:cs="仿宋"/>
          <w:b/>
          <w:color w:val="auto"/>
        </w:rPr>
      </w:pPr>
      <w:r>
        <w:rPr>
          <w:rFonts w:hint="eastAsia" w:ascii="仿宋" w:hAnsi="仿宋" w:eastAsia="仿宋" w:cs="仿宋"/>
          <w:color w:val="auto"/>
        </w:rPr>
        <w:t xml:space="preserve">第一章 </w:t>
      </w:r>
      <w:r>
        <w:rPr>
          <w:rFonts w:hint="eastAsia" w:ascii="仿宋" w:hAnsi="仿宋" w:eastAsia="仿宋" w:cs="仿宋"/>
          <w:color w:val="auto"/>
          <w:lang w:val="en-US" w:eastAsia="zh-CN"/>
        </w:rPr>
        <w:t xml:space="preserve"> </w:t>
      </w:r>
      <w:r>
        <w:rPr>
          <w:rFonts w:hint="eastAsia" w:ascii="仿宋" w:hAnsi="仿宋" w:eastAsia="仿宋" w:cs="仿宋"/>
          <w:color w:val="auto"/>
        </w:rPr>
        <w:t>竞争性磋商响应函</w:t>
      </w:r>
    </w:p>
    <w:p>
      <w:pPr>
        <w:adjustRightInd w:val="0"/>
        <w:snapToGrid w:val="0"/>
        <w:spacing w:line="360" w:lineRule="auto"/>
        <w:rPr>
          <w:rFonts w:hint="eastAsia" w:ascii="仿宋" w:hAnsi="仿宋" w:eastAsia="仿宋" w:cs="仿宋"/>
          <w:b/>
          <w:bCs/>
          <w:color w:val="auto"/>
        </w:rPr>
      </w:pPr>
      <w:r>
        <w:rPr>
          <w:rFonts w:hint="eastAsia" w:ascii="仿宋" w:hAnsi="仿宋" w:eastAsia="仿宋" w:cs="仿宋"/>
          <w:b/>
          <w:color w:val="auto"/>
        </w:rPr>
        <w:t>宏泰项目管理有限公司</w:t>
      </w:r>
      <w:r>
        <w:rPr>
          <w:rFonts w:hint="eastAsia" w:ascii="仿宋" w:hAnsi="仿宋" w:eastAsia="仿宋" w:cs="仿宋"/>
          <w:b/>
          <w:bCs/>
          <w:color w:val="auto"/>
        </w:rPr>
        <w:t>：</w:t>
      </w:r>
    </w:p>
    <w:p>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我单位收到磋商文件，经详细研究，我们决定参加</w:t>
      </w:r>
      <w:r>
        <w:rPr>
          <w:rFonts w:hint="eastAsia" w:ascii="仿宋" w:hAnsi="仿宋" w:eastAsia="仿宋" w:cs="仿宋"/>
          <w:color w:val="auto"/>
          <w:u w:val="single"/>
        </w:rPr>
        <w:t xml:space="preserve"> (</w:t>
      </w:r>
      <w:r>
        <w:rPr>
          <w:rFonts w:hint="eastAsia" w:ascii="仿宋" w:hAnsi="仿宋" w:eastAsia="仿宋" w:cs="仿宋"/>
          <w:color w:val="auto"/>
          <w:u w:val="single"/>
          <w:lang w:eastAsia="zh-CN"/>
        </w:rPr>
        <w:t>项目名称</w:t>
      </w:r>
      <w:r>
        <w:rPr>
          <w:rFonts w:hint="eastAsia" w:ascii="仿宋" w:hAnsi="仿宋" w:eastAsia="仿宋" w:cs="仿宋"/>
          <w:color w:val="auto"/>
          <w:u w:val="single"/>
        </w:rPr>
        <w:t>)</w:t>
      </w:r>
      <w:r>
        <w:rPr>
          <w:rFonts w:hint="eastAsia" w:ascii="仿宋" w:hAnsi="仿宋" w:eastAsia="仿宋" w:cs="仿宋"/>
          <w:color w:val="auto"/>
        </w:rPr>
        <w:t>的磋商活动。为此，我方郑重声明以下诸点，并负法律责任。</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1．愿意按照磋商文件中的一切要求，完成合同的责任和义务。</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2．按照磋商文件的规定，完成总体</w:t>
      </w:r>
      <w:r>
        <w:rPr>
          <w:rFonts w:hint="eastAsia" w:ascii="仿宋" w:hAnsi="仿宋" w:eastAsia="仿宋" w:cs="仿宋"/>
          <w:color w:val="auto"/>
          <w:lang w:eastAsia="zh-CN"/>
        </w:rPr>
        <w:t>项目</w:t>
      </w:r>
      <w:r>
        <w:rPr>
          <w:rFonts w:hint="eastAsia" w:ascii="仿宋" w:hAnsi="仿宋" w:eastAsia="仿宋" w:cs="仿宋"/>
          <w:color w:val="auto"/>
        </w:rPr>
        <w:t>的报价为：</w:t>
      </w:r>
    </w:p>
    <w:p>
      <w:pPr>
        <w:keepNext w:val="0"/>
        <w:keepLines w:val="0"/>
        <w:pageBreakBefore w:val="0"/>
        <w:kinsoku/>
        <w:overflowPunct/>
        <w:topLinePunct w:val="0"/>
        <w:autoSpaceDE/>
        <w:autoSpaceDN/>
        <w:bidi w:val="0"/>
        <w:adjustRightInd w:val="0"/>
        <w:snapToGrid w:val="0"/>
        <w:spacing w:line="360" w:lineRule="auto"/>
        <w:ind w:left="630"/>
        <w:textAlignment w:val="auto"/>
        <w:rPr>
          <w:rFonts w:hint="eastAsia" w:ascii="仿宋" w:hAnsi="仿宋" w:eastAsia="仿宋" w:cs="仿宋"/>
          <w:color w:val="auto"/>
        </w:rPr>
      </w:pPr>
      <w:r>
        <w:rPr>
          <w:rFonts w:hint="eastAsia" w:ascii="仿宋" w:hAnsi="仿宋" w:eastAsia="仿宋" w:cs="仿宋"/>
          <w:color w:val="auto"/>
        </w:rPr>
        <w:t>人民币（大写）：</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w:t>
      </w:r>
      <w:r>
        <w:rPr>
          <w:rFonts w:hint="eastAsia" w:ascii="仿宋" w:hAnsi="仿宋" w:eastAsia="仿宋" w:cs="仿宋"/>
          <w:color w:val="auto"/>
          <w:lang w:eastAsia="zh-CN"/>
        </w:rPr>
        <w:t>¥</w:t>
      </w:r>
      <w:r>
        <w:rPr>
          <w:rFonts w:hint="eastAsia" w:ascii="仿宋" w:hAnsi="仿宋" w:eastAsia="仿宋" w:cs="仿宋"/>
          <w:color w:val="auto"/>
        </w:rPr>
        <w:t>：</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元）</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auto"/>
        </w:rPr>
      </w:pPr>
      <w:r>
        <w:rPr>
          <w:rFonts w:hint="eastAsia" w:ascii="仿宋" w:hAnsi="仿宋" w:eastAsia="仿宋" w:cs="仿宋"/>
          <w:color w:val="auto"/>
        </w:rPr>
        <w:t>3．</w:t>
      </w:r>
      <w:r>
        <w:rPr>
          <w:rFonts w:hint="eastAsia" w:ascii="仿宋" w:hAnsi="仿宋" w:eastAsia="仿宋" w:cs="仿宋"/>
          <w:b/>
          <w:bCs/>
          <w:color w:val="auto"/>
        </w:rPr>
        <w:t>我方提交的磋商响应文件为</w:t>
      </w:r>
      <w:r>
        <w:rPr>
          <w:rFonts w:hint="eastAsia" w:ascii="仿宋" w:hAnsi="仿宋" w:eastAsia="仿宋" w:cs="仿宋"/>
          <w:b/>
          <w:bCs/>
          <w:color w:val="auto"/>
          <w:sz w:val="24"/>
          <w:szCs w:val="24"/>
          <w:lang w:val="en-US" w:eastAsia="zh-CN"/>
        </w:rPr>
        <w:t>纸质版</w:t>
      </w:r>
      <w:r>
        <w:rPr>
          <w:rFonts w:hint="eastAsia" w:ascii="仿宋" w:hAnsi="仿宋" w:eastAsia="仿宋" w:cs="仿宋"/>
          <w:b/>
          <w:bCs/>
          <w:color w:val="auto"/>
          <w:sz w:val="24"/>
          <w:szCs w:val="24"/>
          <w:lang w:eastAsia="zh-CN"/>
        </w:rPr>
        <w:t>投标文件</w:t>
      </w:r>
      <w:r>
        <w:rPr>
          <w:rFonts w:hint="eastAsia" w:ascii="仿宋" w:hAnsi="仿宋" w:eastAsia="仿宋" w:cs="仿宋"/>
          <w:b/>
          <w:bCs/>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4．我们已详细阅读了磋商文件，完全理解并同意放弃提出含糊不清和误解问题的权力。</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5．如果我方在投标后到规定的投标有效期内撤回磋商响应文件及承诺，</w:t>
      </w:r>
      <w:r>
        <w:rPr>
          <w:rFonts w:hint="eastAsia" w:ascii="仿宋" w:hAnsi="仿宋" w:eastAsia="仿宋" w:cs="仿宋"/>
          <w:color w:val="auto"/>
          <w:lang w:val="en-US" w:eastAsia="zh-CN"/>
        </w:rPr>
        <w:t>将按有关规定接受处罚</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6．同意向贵方提供贵方可能要求的、与本次投标有关的一切数据或资料</w:t>
      </w:r>
      <w:r>
        <w:rPr>
          <w:rFonts w:hint="eastAsia" w:ascii="仿宋" w:hAnsi="仿宋" w:eastAsia="仿宋" w:cs="仿宋"/>
          <w:color w:val="auto"/>
          <w:lang w:eastAsia="zh-CN"/>
        </w:rPr>
        <w:t>，</w:t>
      </w:r>
      <w:r>
        <w:rPr>
          <w:rFonts w:hint="eastAsia" w:ascii="仿宋" w:hAnsi="仿宋" w:eastAsia="仿宋" w:cs="仿宋"/>
          <w:color w:val="auto"/>
        </w:rPr>
        <w:t>完全理解贵方不一定接受最低</w:t>
      </w:r>
      <w:r>
        <w:rPr>
          <w:rFonts w:hint="eastAsia" w:ascii="仿宋" w:hAnsi="仿宋" w:eastAsia="仿宋" w:cs="仿宋"/>
          <w:color w:val="auto"/>
          <w:lang w:eastAsia="zh-CN"/>
        </w:rPr>
        <w:t>磋商</w:t>
      </w:r>
      <w:r>
        <w:rPr>
          <w:rFonts w:hint="eastAsia" w:ascii="仿宋" w:hAnsi="仿宋" w:eastAsia="仿宋" w:cs="仿宋"/>
          <w:color w:val="auto"/>
        </w:rPr>
        <w:t>报价的</w:t>
      </w:r>
      <w:r>
        <w:rPr>
          <w:rFonts w:hint="eastAsia" w:ascii="仿宋" w:hAnsi="仿宋" w:eastAsia="仿宋" w:cs="仿宋"/>
          <w:color w:val="auto"/>
          <w:lang w:eastAsia="zh-CN"/>
        </w:rPr>
        <w:t>响应文件</w:t>
      </w:r>
      <w:r>
        <w:rPr>
          <w:rFonts w:hint="eastAsia" w:ascii="仿宋" w:hAnsi="仿宋" w:eastAsia="仿宋" w:cs="仿宋"/>
          <w:color w:val="auto"/>
        </w:rPr>
        <w:t>或收到的任何</w:t>
      </w:r>
      <w:r>
        <w:rPr>
          <w:rFonts w:hint="eastAsia" w:ascii="仿宋" w:hAnsi="仿宋" w:eastAsia="仿宋" w:cs="仿宋"/>
          <w:color w:val="auto"/>
          <w:lang w:eastAsia="zh-CN"/>
        </w:rPr>
        <w:t>响应文件</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 xml:space="preserve">7. </w:t>
      </w:r>
      <w:r>
        <w:rPr>
          <w:rFonts w:hint="eastAsia" w:ascii="仿宋" w:hAnsi="仿宋" w:eastAsia="仿宋" w:cs="仿宋"/>
          <w:color w:val="auto"/>
        </w:rPr>
        <w:t>我方的磋商响应文件在90日历日内有效。</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8</w:t>
      </w:r>
      <w:r>
        <w:rPr>
          <w:rFonts w:hint="eastAsia" w:ascii="仿宋" w:hAnsi="仿宋" w:eastAsia="仿宋" w:cs="仿宋"/>
          <w:color w:val="auto"/>
        </w:rPr>
        <w:t>．所有关于本次投标的函电，请按下列地址联系：</w:t>
      </w:r>
    </w:p>
    <w:p>
      <w:pPr>
        <w:adjustRightInd w:val="0"/>
        <w:snapToGrid w:val="0"/>
        <w:spacing w:line="360" w:lineRule="auto"/>
        <w:ind w:firstLine="720" w:firstLineChars="300"/>
        <w:rPr>
          <w:rFonts w:hint="eastAsia" w:ascii="仿宋" w:hAnsi="仿宋" w:eastAsia="仿宋" w:cs="仿宋"/>
          <w:color w:val="auto"/>
        </w:rPr>
      </w:pPr>
      <w:r>
        <w:rPr>
          <w:rFonts w:hint="eastAsia" w:ascii="仿宋" w:hAnsi="仿宋" w:eastAsia="仿宋" w:cs="仿宋"/>
          <w:color w:val="auto"/>
        </w:rPr>
        <w:t>单位全称：</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（印章）</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地    址：</w:t>
      </w:r>
      <w:r>
        <w:rPr>
          <w:rFonts w:hint="eastAsia" w:ascii="仿宋" w:hAnsi="仿宋" w:eastAsia="仿宋" w:cs="仿宋"/>
          <w:color w:val="auto"/>
          <w:u w:val="single"/>
          <w:lang w:val="en-US" w:eastAsia="zh-CN"/>
        </w:rPr>
        <w:t xml:space="preserve">                          </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电    话：</w:t>
      </w:r>
      <w:r>
        <w:rPr>
          <w:rFonts w:hint="eastAsia" w:ascii="仿宋" w:hAnsi="仿宋" w:eastAsia="仿宋" w:cs="仿宋"/>
          <w:color w:val="auto"/>
          <w:u w:val="single"/>
          <w:lang w:val="en-US" w:eastAsia="zh-CN"/>
        </w:rPr>
        <w:t xml:space="preserve">                          </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邮    编：</w:t>
      </w:r>
      <w:r>
        <w:rPr>
          <w:rFonts w:hint="eastAsia" w:ascii="仿宋" w:hAnsi="仿宋" w:eastAsia="仿宋" w:cs="仿宋"/>
          <w:color w:val="auto"/>
          <w:u w:val="single"/>
          <w:lang w:val="en-US" w:eastAsia="zh-CN"/>
        </w:rPr>
        <w:t xml:space="preserve">                          </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法定代表人或授权代表(</w:t>
      </w:r>
      <w:r>
        <w:rPr>
          <w:rFonts w:hint="eastAsia" w:ascii="仿宋" w:hAnsi="仿宋" w:eastAsia="仿宋" w:cs="仿宋"/>
          <w:color w:val="auto"/>
          <w:sz w:val="24"/>
        </w:rPr>
        <w:t>签字或盖章</w:t>
      </w:r>
      <w:r>
        <w:rPr>
          <w:rFonts w:hint="eastAsia" w:ascii="仿宋" w:hAnsi="仿宋" w:eastAsia="仿宋" w:cs="仿宋"/>
          <w:color w:val="auto"/>
        </w:rPr>
        <w:t>)：</w:t>
      </w:r>
      <w:r>
        <w:rPr>
          <w:rFonts w:hint="eastAsia" w:ascii="仿宋" w:hAnsi="仿宋" w:eastAsia="仿宋" w:cs="仿宋"/>
          <w:color w:val="auto"/>
          <w:u w:val="single"/>
          <w:lang w:val="en-US" w:eastAsia="zh-CN"/>
        </w:rPr>
        <w:t xml:space="preserve">         </w:t>
      </w:r>
    </w:p>
    <w:p>
      <w:pPr>
        <w:adjustRightInd w:val="0"/>
        <w:snapToGrid w:val="0"/>
        <w:spacing w:line="360" w:lineRule="auto"/>
        <w:ind w:firstLine="640"/>
        <w:rPr>
          <w:rFonts w:hint="eastAsia" w:ascii="仿宋" w:hAnsi="仿宋" w:eastAsia="仿宋" w:cs="仿宋"/>
          <w:color w:val="auto"/>
        </w:rPr>
      </w:pPr>
    </w:p>
    <w:p>
      <w:pPr>
        <w:wordWrap w:val="0"/>
        <w:adjustRightInd w:val="0"/>
        <w:snapToGrid w:val="0"/>
        <w:spacing w:line="500" w:lineRule="exact"/>
        <w:ind w:right="560" w:firstLine="720" w:firstLineChars="300"/>
        <w:jc w:val="center"/>
        <w:rPr>
          <w:rFonts w:hint="eastAsia" w:ascii="仿宋" w:hAnsi="仿宋" w:eastAsia="仿宋" w:cs="仿宋"/>
          <w:color w:val="auto"/>
        </w:rPr>
      </w:pPr>
    </w:p>
    <w:p>
      <w:pPr>
        <w:wordWrap w:val="0"/>
        <w:adjustRightInd w:val="0"/>
        <w:snapToGrid w:val="0"/>
        <w:spacing w:line="500" w:lineRule="exact"/>
        <w:ind w:right="560" w:firstLine="720" w:firstLineChars="300"/>
        <w:jc w:val="center"/>
        <w:rPr>
          <w:rFonts w:hint="eastAsia" w:ascii="仿宋" w:hAnsi="仿宋" w:eastAsia="仿宋" w:cs="仿宋"/>
          <w:color w:val="auto"/>
          <w:sz w:val="24"/>
          <w:szCs w:val="24"/>
        </w:rPr>
        <w:sectPr>
          <w:footerReference r:id="rId6" w:type="first"/>
          <w:footerReference r:id="rId5" w:type="default"/>
          <w:pgSz w:w="11906" w:h="16838"/>
          <w:pgMar w:top="1361" w:right="1417" w:bottom="1361" w:left="1417" w:header="851" w:footer="992" w:gutter="0"/>
          <w:pgNumType w:fmt="decimal" w:start="2"/>
          <w:cols w:space="720" w:num="1"/>
          <w:docGrid w:linePitch="312" w:charSpace="0"/>
        </w:sectPr>
      </w:pPr>
      <w:r>
        <w:rPr>
          <w:rFonts w:hint="eastAsia" w:ascii="仿宋" w:hAnsi="仿宋" w:eastAsia="仿宋" w:cs="仿宋"/>
          <w:color w:val="auto"/>
        </w:rPr>
        <w:t xml:space="preserve">                                       年     月     日</w:t>
      </w:r>
    </w:p>
    <w:p>
      <w:pPr>
        <w:numPr>
          <w:ilvl w:val="0"/>
          <w:numId w:val="0"/>
        </w:num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第二章  </w:t>
      </w:r>
      <w:r>
        <w:rPr>
          <w:rFonts w:hint="eastAsia" w:ascii="仿宋" w:hAnsi="仿宋" w:eastAsia="仿宋" w:cs="仿宋"/>
          <w:b/>
          <w:bCs/>
          <w:color w:val="auto"/>
          <w:sz w:val="28"/>
          <w:szCs w:val="28"/>
        </w:rPr>
        <w:t>磋商报价表</w:t>
      </w:r>
    </w:p>
    <w:p>
      <w:pPr>
        <w:pStyle w:val="35"/>
        <w:numPr>
          <w:ilvl w:val="0"/>
          <w:numId w:val="0"/>
        </w:numPr>
        <w:rPr>
          <w:rFonts w:hint="eastAsia" w:ascii="仿宋" w:hAnsi="仿宋" w:eastAsia="仿宋" w:cs="仿宋"/>
          <w:color w:val="auto"/>
        </w:rPr>
      </w:pPr>
    </w:p>
    <w:p>
      <w:pPr>
        <w:ind w:right="280"/>
        <w:rPr>
          <w:rFonts w:hint="eastAsia" w:ascii="仿宋" w:hAnsi="仿宋" w:eastAsia="仿宋" w:cs="仿宋"/>
          <w:b/>
          <w:color w:val="auto"/>
        </w:rPr>
      </w:pPr>
    </w:p>
    <w:tbl>
      <w:tblPr>
        <w:tblStyle w:val="27"/>
        <w:tblW w:w="8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2345"/>
        <w:gridCol w:w="1898"/>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8" w:hRule="atLeast"/>
          <w:jc w:val="center"/>
        </w:trPr>
        <w:tc>
          <w:tcPr>
            <w:tcW w:w="3018" w:type="dxa"/>
            <w:tcBorders>
              <w:tl2br w:val="single" w:color="auto" w:sz="4" w:space="0"/>
            </w:tcBorders>
            <w:vAlign w:val="center"/>
          </w:tcPr>
          <w:p>
            <w:pPr>
              <w:adjustRightInd w:val="0"/>
              <w:snapToGrid w:val="0"/>
              <w:jc w:val="center"/>
              <w:rPr>
                <w:rFonts w:hint="eastAsia" w:ascii="仿宋" w:hAnsi="仿宋" w:eastAsia="仿宋" w:cs="仿宋"/>
                <w:color w:val="auto"/>
              </w:rPr>
            </w:pPr>
            <w:r>
              <w:rPr>
                <w:rFonts w:hint="eastAsia" w:ascii="仿宋" w:hAnsi="仿宋" w:eastAsia="仿宋" w:cs="仿宋"/>
                <w:color w:val="auto"/>
              </w:rPr>
              <w:t xml:space="preserve">      报价内容</w:t>
            </w:r>
          </w:p>
          <w:p>
            <w:pPr>
              <w:adjustRightInd w:val="0"/>
              <w:snapToGrid w:val="0"/>
              <w:rPr>
                <w:rFonts w:hint="eastAsia" w:ascii="仿宋" w:hAnsi="仿宋" w:eastAsia="仿宋" w:cs="仿宋"/>
                <w:color w:val="auto"/>
              </w:rPr>
            </w:pPr>
          </w:p>
          <w:p>
            <w:pPr>
              <w:adjustRightInd w:val="0"/>
              <w:snapToGrid w:val="0"/>
              <w:rPr>
                <w:rFonts w:hint="eastAsia" w:ascii="仿宋" w:hAnsi="仿宋" w:eastAsia="仿宋" w:cs="仿宋"/>
                <w:color w:val="auto"/>
              </w:rPr>
            </w:pPr>
            <w:r>
              <w:rPr>
                <w:rFonts w:hint="eastAsia" w:ascii="仿宋" w:hAnsi="仿宋" w:eastAsia="仿宋" w:cs="仿宋"/>
                <w:color w:val="auto"/>
              </w:rPr>
              <w:t>项目名</w:t>
            </w:r>
          </w:p>
        </w:tc>
        <w:tc>
          <w:tcPr>
            <w:tcW w:w="2345" w:type="dxa"/>
            <w:vAlign w:val="center"/>
          </w:tcPr>
          <w:p>
            <w:pPr>
              <w:spacing w:line="560" w:lineRule="exact"/>
              <w:jc w:val="center"/>
              <w:rPr>
                <w:rFonts w:hint="eastAsia" w:ascii="仿宋" w:hAnsi="仿宋" w:eastAsia="仿宋" w:cs="仿宋"/>
                <w:color w:val="auto"/>
              </w:rPr>
            </w:pPr>
            <w:r>
              <w:rPr>
                <w:rFonts w:hint="eastAsia" w:ascii="仿宋" w:hAnsi="仿宋" w:eastAsia="仿宋" w:cs="仿宋"/>
                <w:color w:val="auto"/>
              </w:rPr>
              <w:t>总报价</w:t>
            </w:r>
          </w:p>
          <w:p>
            <w:pPr>
              <w:spacing w:line="560" w:lineRule="exact"/>
              <w:jc w:val="center"/>
              <w:rPr>
                <w:rFonts w:hint="eastAsia" w:ascii="仿宋" w:hAnsi="仿宋" w:eastAsia="仿宋" w:cs="仿宋"/>
                <w:color w:val="auto"/>
              </w:rPr>
            </w:pPr>
            <w:r>
              <w:rPr>
                <w:rFonts w:hint="eastAsia" w:ascii="仿宋" w:hAnsi="仿宋" w:eastAsia="仿宋" w:cs="仿宋"/>
                <w:color w:val="auto"/>
              </w:rPr>
              <w:t>（元）</w:t>
            </w:r>
          </w:p>
        </w:tc>
        <w:tc>
          <w:tcPr>
            <w:tcW w:w="1898" w:type="dxa"/>
            <w:vAlign w:val="center"/>
          </w:tcPr>
          <w:p>
            <w:pPr>
              <w:spacing w:line="560" w:lineRule="exact"/>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服务</w:t>
            </w:r>
            <w:r>
              <w:rPr>
                <w:rFonts w:hint="eastAsia" w:ascii="仿宋" w:hAnsi="仿宋" w:eastAsia="仿宋" w:cs="仿宋"/>
                <w:color w:val="auto"/>
                <w:lang w:eastAsia="zh-CN"/>
              </w:rPr>
              <w:t>期</w:t>
            </w:r>
          </w:p>
        </w:tc>
        <w:tc>
          <w:tcPr>
            <w:tcW w:w="1392" w:type="dxa"/>
            <w:vAlign w:val="center"/>
          </w:tcPr>
          <w:p>
            <w:pPr>
              <w:ind w:firstLine="120" w:firstLineChars="50"/>
              <w:jc w:val="center"/>
              <w:rPr>
                <w:rFonts w:hint="eastAsia" w:ascii="仿宋" w:hAnsi="仿宋" w:eastAsia="仿宋" w:cs="仿宋"/>
                <w:color w:val="auto"/>
              </w:rPr>
            </w:pPr>
            <w:r>
              <w:rPr>
                <w:rFonts w:hint="eastAsia" w:ascii="仿宋" w:hAnsi="仿宋" w:eastAsia="仿宋" w:cs="仿宋"/>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13" w:hRule="atLeast"/>
          <w:jc w:val="center"/>
        </w:trPr>
        <w:tc>
          <w:tcPr>
            <w:tcW w:w="3018" w:type="dxa"/>
            <w:vAlign w:val="center"/>
          </w:tcPr>
          <w:p>
            <w:pPr>
              <w:adjustRightInd w:val="0"/>
              <w:snapToGrid w:val="0"/>
              <w:rPr>
                <w:rFonts w:hint="eastAsia" w:ascii="仿宋" w:hAnsi="仿宋" w:eastAsia="仿宋" w:cs="仿宋"/>
                <w:color w:val="auto"/>
                <w:lang w:eastAsia="zh-CN"/>
              </w:rPr>
            </w:pPr>
            <w:r>
              <w:rPr>
                <w:rFonts w:hint="eastAsia" w:ascii="仿宋" w:hAnsi="仿宋" w:eastAsia="仿宋" w:cs="仿宋"/>
                <w:color w:val="auto"/>
                <w:lang w:eastAsia="zh-CN"/>
              </w:rPr>
              <w:t>平利县2026年公共数字文化云建设项目</w:t>
            </w:r>
          </w:p>
        </w:tc>
        <w:tc>
          <w:tcPr>
            <w:tcW w:w="2345" w:type="dxa"/>
            <w:vAlign w:val="center"/>
          </w:tcPr>
          <w:p>
            <w:pPr>
              <w:adjustRightInd w:val="0"/>
              <w:snapToGrid w:val="0"/>
              <w:spacing w:line="360" w:lineRule="auto"/>
              <w:jc w:val="center"/>
              <w:rPr>
                <w:rFonts w:hint="eastAsia" w:ascii="仿宋" w:hAnsi="仿宋" w:eastAsia="仿宋" w:cs="仿宋"/>
                <w:color w:val="auto"/>
              </w:rPr>
            </w:pPr>
          </w:p>
        </w:tc>
        <w:tc>
          <w:tcPr>
            <w:tcW w:w="1898" w:type="dxa"/>
            <w:vAlign w:val="center"/>
          </w:tcPr>
          <w:p>
            <w:pPr>
              <w:adjustRightInd w:val="0"/>
              <w:snapToGrid w:val="0"/>
              <w:spacing w:line="360" w:lineRule="auto"/>
              <w:jc w:val="center"/>
              <w:rPr>
                <w:rFonts w:hint="eastAsia" w:ascii="仿宋" w:hAnsi="仿宋" w:eastAsia="仿宋" w:cs="仿宋"/>
                <w:color w:val="auto"/>
              </w:rPr>
            </w:pPr>
          </w:p>
        </w:tc>
        <w:tc>
          <w:tcPr>
            <w:tcW w:w="1392" w:type="dxa"/>
            <w:vAlign w:val="center"/>
          </w:tcPr>
          <w:p>
            <w:pPr>
              <w:adjustRightInd w:val="0"/>
              <w:snapToGrid w:val="0"/>
              <w:spacing w:line="360" w:lineRule="auto"/>
              <w:jc w:val="center"/>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atLeast"/>
          <w:jc w:val="center"/>
        </w:trPr>
        <w:tc>
          <w:tcPr>
            <w:tcW w:w="3018" w:type="dxa"/>
          </w:tcPr>
          <w:p>
            <w:pPr>
              <w:adjustRightInd w:val="0"/>
              <w:snapToGrid w:val="0"/>
              <w:spacing w:line="360" w:lineRule="auto"/>
              <w:jc w:val="center"/>
              <w:rPr>
                <w:rFonts w:hint="eastAsia" w:ascii="仿宋" w:hAnsi="仿宋" w:eastAsia="仿宋" w:cs="仿宋"/>
                <w:color w:val="auto"/>
              </w:rPr>
            </w:pPr>
          </w:p>
          <w:p>
            <w:pPr>
              <w:adjustRightInd w:val="0"/>
              <w:snapToGrid w:val="0"/>
              <w:spacing w:line="360" w:lineRule="auto"/>
              <w:jc w:val="center"/>
              <w:rPr>
                <w:rFonts w:hint="eastAsia" w:ascii="仿宋" w:hAnsi="仿宋" w:eastAsia="仿宋" w:cs="仿宋"/>
                <w:color w:val="auto"/>
              </w:rPr>
            </w:pPr>
            <w:r>
              <w:rPr>
                <w:rFonts w:hint="eastAsia" w:ascii="仿宋" w:hAnsi="仿宋" w:eastAsia="仿宋" w:cs="仿宋"/>
                <w:color w:val="auto"/>
              </w:rPr>
              <w:t>磋商总报价</w:t>
            </w:r>
          </w:p>
        </w:tc>
        <w:tc>
          <w:tcPr>
            <w:tcW w:w="5635" w:type="dxa"/>
            <w:gridSpan w:val="3"/>
            <w:vAlign w:val="center"/>
          </w:tcPr>
          <w:p>
            <w:pPr>
              <w:adjustRightInd w:val="0"/>
              <w:snapToGrid w:val="0"/>
              <w:spacing w:line="360" w:lineRule="auto"/>
              <w:rPr>
                <w:rFonts w:hint="eastAsia" w:ascii="仿宋" w:hAnsi="仿宋" w:eastAsia="仿宋" w:cs="仿宋"/>
                <w:color w:val="auto"/>
                <w:lang w:val="en-US" w:eastAsia="zh-CN"/>
              </w:rPr>
            </w:pPr>
            <w:r>
              <w:rPr>
                <w:rFonts w:hint="eastAsia" w:ascii="仿宋" w:hAnsi="仿宋" w:eastAsia="仿宋" w:cs="仿宋"/>
                <w:color w:val="auto"/>
              </w:rPr>
              <w:t>人民币大写：</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hint="default" w:ascii="Arial" w:hAnsi="Arial" w:eastAsia="仿宋" w:cs="Arial"/>
                <w:color w:val="auto"/>
              </w:rPr>
              <w:t>¥</w:t>
            </w:r>
            <w:r>
              <w:rPr>
                <w:rFonts w:hint="eastAsia" w:ascii="仿宋" w:hAnsi="仿宋" w:eastAsia="仿宋" w:cs="仿宋"/>
                <w:color w:val="auto"/>
              </w:rPr>
              <w:t>：</w:t>
            </w:r>
            <w:r>
              <w:rPr>
                <w:rFonts w:hint="eastAsia" w:ascii="仿宋" w:hAnsi="仿宋" w:eastAsia="仿宋" w:cs="仿宋"/>
                <w:color w:val="auto"/>
                <w:u w:val="single"/>
                <w:lang w:val="en-US" w:eastAsia="zh-CN"/>
              </w:rPr>
              <w:t xml:space="preserve">         </w:t>
            </w:r>
          </w:p>
        </w:tc>
      </w:tr>
    </w:tbl>
    <w:p>
      <w:pPr>
        <w:spacing w:line="520" w:lineRule="exact"/>
        <w:ind w:firstLine="560" w:firstLineChars="200"/>
        <w:rPr>
          <w:rFonts w:hint="eastAsia" w:ascii="仿宋" w:hAnsi="仿宋" w:eastAsia="仿宋" w:cs="仿宋"/>
          <w:bCs/>
          <w:color w:val="auto"/>
          <w:sz w:val="28"/>
          <w:szCs w:val="28"/>
        </w:rPr>
      </w:pPr>
    </w:p>
    <w:p>
      <w:pPr>
        <w:spacing w:line="520" w:lineRule="exact"/>
        <w:ind w:firstLine="560" w:firstLineChars="200"/>
        <w:rPr>
          <w:rFonts w:hint="eastAsia" w:ascii="仿宋" w:hAnsi="仿宋" w:eastAsia="仿宋" w:cs="仿宋"/>
          <w:color w:val="auto"/>
          <w:sz w:val="28"/>
          <w:szCs w:val="28"/>
        </w:rPr>
      </w:pPr>
    </w:p>
    <w:p>
      <w:pPr>
        <w:adjustRightInd w:val="0"/>
        <w:snapToGrid w:val="0"/>
        <w:spacing w:line="360" w:lineRule="auto"/>
        <w:rPr>
          <w:rFonts w:hint="eastAsia" w:ascii="仿宋" w:hAnsi="仿宋" w:eastAsia="仿宋" w:cs="仿宋"/>
          <w:bCs/>
          <w:color w:val="auto"/>
          <w:sz w:val="28"/>
          <w:szCs w:val="28"/>
        </w:rPr>
      </w:pPr>
    </w:p>
    <w:p>
      <w:pPr>
        <w:adjustRightInd w:val="0"/>
        <w:snapToGrid w:val="0"/>
        <w:spacing w:line="360" w:lineRule="auto"/>
        <w:rPr>
          <w:rFonts w:hint="eastAsia" w:ascii="仿宋" w:hAnsi="仿宋" w:eastAsia="仿宋" w:cs="仿宋"/>
          <w:bCs/>
          <w:color w:val="auto"/>
          <w:sz w:val="28"/>
          <w:szCs w:val="28"/>
        </w:rPr>
      </w:pPr>
    </w:p>
    <w:p>
      <w:pPr>
        <w:adjustRightInd w:val="0"/>
        <w:snapToGrid w:val="0"/>
        <w:spacing w:line="360" w:lineRule="auto"/>
        <w:rPr>
          <w:rFonts w:hint="eastAsia" w:ascii="仿宋" w:hAnsi="仿宋" w:eastAsia="仿宋" w:cs="仿宋"/>
          <w:bCs/>
          <w:color w:val="auto"/>
        </w:rPr>
      </w:pPr>
      <w:r>
        <w:rPr>
          <w:rFonts w:hint="eastAsia" w:ascii="仿宋" w:hAnsi="仿宋" w:eastAsia="仿宋" w:cs="仿宋"/>
          <w:bCs/>
          <w:color w:val="auto"/>
        </w:rPr>
        <w:t>供应商（公章）：</w:t>
      </w: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r>
        <w:rPr>
          <w:rFonts w:hint="eastAsia" w:ascii="仿宋" w:hAnsi="仿宋" w:eastAsia="仿宋" w:cs="仿宋"/>
          <w:color w:val="auto"/>
        </w:rPr>
        <w:t>法定代表人或授权代表（</w:t>
      </w:r>
      <w:r>
        <w:rPr>
          <w:rFonts w:hint="eastAsia" w:ascii="仿宋" w:hAnsi="仿宋" w:eastAsia="仿宋" w:cs="仿宋"/>
          <w:color w:val="auto"/>
          <w:sz w:val="24"/>
        </w:rPr>
        <w:t>签字或盖章</w:t>
      </w:r>
      <w:r>
        <w:rPr>
          <w:rFonts w:hint="eastAsia" w:ascii="仿宋" w:hAnsi="仿宋" w:eastAsia="仿宋" w:cs="仿宋"/>
          <w:color w:val="auto"/>
        </w:rPr>
        <w:t>）</w:t>
      </w:r>
      <w:r>
        <w:rPr>
          <w:rFonts w:hint="eastAsia" w:ascii="仿宋" w:hAnsi="仿宋" w:eastAsia="仿宋" w:cs="仿宋"/>
          <w:bCs/>
          <w:color w:val="auto"/>
        </w:rPr>
        <w:t>：</w:t>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br w:type="page"/>
      </w:r>
    </w:p>
    <w:p>
      <w:pPr>
        <w:pStyle w:val="3"/>
        <w:bidi w:val="0"/>
        <w:rPr>
          <w:rFonts w:hint="eastAsia" w:ascii="仿宋" w:hAnsi="仿宋" w:eastAsia="仿宋" w:cs="仿宋"/>
        </w:rPr>
      </w:pPr>
      <w:r>
        <w:rPr>
          <w:rFonts w:hint="eastAsia" w:ascii="仿宋" w:hAnsi="仿宋" w:eastAsia="仿宋" w:cs="仿宋"/>
        </w:rPr>
        <w:t>第</w:t>
      </w:r>
      <w:r>
        <w:rPr>
          <w:rFonts w:hint="eastAsia" w:ascii="仿宋" w:hAnsi="仿宋" w:eastAsia="仿宋" w:cs="仿宋"/>
          <w:lang w:eastAsia="zh-CN"/>
        </w:rPr>
        <w:t>三</w:t>
      </w:r>
      <w:r>
        <w:rPr>
          <w:rFonts w:hint="eastAsia" w:ascii="仿宋" w:hAnsi="仿宋" w:eastAsia="仿宋" w:cs="仿宋"/>
        </w:rPr>
        <w:t xml:space="preserve">章 </w:t>
      </w:r>
      <w:r>
        <w:rPr>
          <w:rFonts w:hint="eastAsia" w:ascii="仿宋" w:hAnsi="仿宋" w:eastAsia="仿宋" w:cs="仿宋"/>
          <w:lang w:val="en-US" w:eastAsia="zh-CN"/>
        </w:rPr>
        <w:t xml:space="preserve"> </w:t>
      </w:r>
      <w:r>
        <w:rPr>
          <w:rFonts w:hint="eastAsia" w:ascii="仿宋" w:hAnsi="仿宋" w:eastAsia="仿宋" w:cs="仿宋"/>
          <w:lang w:eastAsia="zh-CN"/>
        </w:rPr>
        <w:t>供应商资格证明文件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（1）具有独立承担民事责任能力的法人或其他组织，并出具合法有效的营业执照或事业单位法人证书等国家规定的相关证明；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（2）法定代表人授权书及被授权人身份证复印件(法定代表人参加只需提供身份证复印件）；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（3）提供2025年度经审计的完整财务报告(成立时间至首次递交响应文件截止时间不足一年的，可提供成立后任意时段的资产负债表），或开标前六个月内其基本存款账户开户银行出具的资信证明；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（4）提供2026年3月至今已缴存的至少一个月的社会保障资金缴存单据或社保机构开具的社会保险参保缴费情况证明，依法不需要缴纳社会保障资金的应提供相关证明文件；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（5）提供2026年3月至今已缴存的至少一个月的纳税证明或完税证明，纳税证明或完税证明上应有代收机构或税务机关的公章，依法免税的应提供相关证明文件；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（6）参加政府采购活动近三年内，在经营活动中没有重大违法记录声明；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（8）本项目专门面向中小企业采购，供应商需提供《中小企业声明函》；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8"/>
          <w:szCs w:val="28"/>
          <w:lang w:eastAsia="zh-CN"/>
        </w:rPr>
      </w:pPr>
      <w:r>
        <w:rPr>
          <w:rFonts w:hint="eastAsia" w:ascii="仿宋" w:hAnsi="仿宋" w:eastAsia="仿宋" w:cs="仿宋"/>
          <w:i w:val="0"/>
          <w:iCs w:val="0"/>
          <w:caps w:val="0"/>
          <w:color w:val="auto"/>
          <w:spacing w:val="0"/>
          <w:sz w:val="24"/>
          <w:szCs w:val="24"/>
          <w:shd w:val="clear" w:fill="FFFFFF"/>
        </w:rPr>
        <w:t>（9）本项目不接受联合体投标。</w:t>
      </w:r>
      <w:r>
        <w:rPr>
          <w:rFonts w:hint="eastAsia" w:ascii="仿宋" w:hAnsi="仿宋" w:eastAsia="仿宋" w:cs="仿宋"/>
          <w:b/>
          <w:color w:val="auto"/>
        </w:rPr>
        <w:br w:type="page"/>
      </w:r>
    </w:p>
    <w:p>
      <w:pPr>
        <w:adjustRightInd w:val="0"/>
        <w:snapToGrid w:val="0"/>
        <w:spacing w:line="360" w:lineRule="auto"/>
        <w:ind w:right="42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法定代表人证明书</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现任我单位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eastAsia="zh-CN"/>
        </w:rPr>
        <w:t>职务，为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（供应商名称）的法定代表人</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主要负责人</w:t>
      </w:r>
      <w:r>
        <w:rPr>
          <w:rFonts w:hint="eastAsia" w:ascii="仿宋" w:hAnsi="仿宋" w:eastAsia="仿宋" w:cs="仿宋"/>
          <w:color w:val="auto"/>
          <w:sz w:val="24"/>
          <w:szCs w:val="24"/>
          <w:highlight w:val="none"/>
        </w:rPr>
        <w:t>。</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民族：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联系电话：</w:t>
      </w:r>
      <w:r>
        <w:rPr>
          <w:rFonts w:hint="eastAsia" w:ascii="仿宋" w:hAnsi="仿宋" w:eastAsia="仿宋" w:cs="仿宋"/>
          <w:color w:val="auto"/>
          <w:sz w:val="24"/>
          <w:szCs w:val="24"/>
          <w:highlight w:val="none"/>
          <w:u w:val="single"/>
          <w:lang w:val="en-US" w:eastAsia="zh-CN"/>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邮政编码：</w:t>
      </w:r>
      <w:r>
        <w:rPr>
          <w:rFonts w:hint="eastAsia" w:ascii="仿宋" w:hAnsi="仿宋" w:eastAsia="仿宋" w:cs="仿宋"/>
          <w:color w:val="auto"/>
          <w:sz w:val="24"/>
          <w:szCs w:val="24"/>
          <w:highlight w:val="none"/>
          <w:u w:val="single"/>
          <w:lang w:val="en-US" w:eastAsia="zh-CN"/>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附：法定代表人身份证复印件</w:t>
      </w:r>
    </w:p>
    <w:tbl>
      <w:tblPr>
        <w:tblStyle w:val="27"/>
        <w:tblpPr w:leftFromText="180" w:rightFromText="180" w:vertAnchor="text" w:horzAnchor="margin" w:tblpXSpec="center" w:tblpY="104"/>
        <w:tblW w:w="5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9" w:hRule="atLeast"/>
        </w:trPr>
        <w:tc>
          <w:tcPr>
            <w:tcW w:w="5440" w:type="dxa"/>
            <w:noWrap w:val="0"/>
            <w:vAlign w:val="center"/>
          </w:tcPr>
          <w:p>
            <w:pPr>
              <w:snapToGrid w:val="0"/>
              <w:spacing w:line="480" w:lineRule="auto"/>
              <w:jc w:val="center"/>
              <w:rPr>
                <w:rFonts w:hint="eastAsia" w:ascii="仿宋" w:hAnsi="仿宋" w:eastAsia="仿宋" w:cs="仿宋"/>
                <w:color w:val="auto"/>
                <w:sz w:val="24"/>
                <w:szCs w:val="24"/>
                <w:highlight w:val="none"/>
              </w:rPr>
            </w:pPr>
          </w:p>
          <w:p>
            <w:pPr>
              <w:snapToGrid w:val="0"/>
              <w:spacing w:line="480" w:lineRule="auto"/>
              <w:jc w:val="center"/>
              <w:rPr>
                <w:rFonts w:hint="eastAsia" w:ascii="仿宋" w:hAnsi="仿宋" w:eastAsia="仿宋" w:cs="仿宋"/>
                <w:color w:val="auto"/>
                <w:sz w:val="24"/>
                <w:szCs w:val="24"/>
                <w:highlight w:val="none"/>
              </w:rPr>
            </w:pPr>
          </w:p>
          <w:p>
            <w:pPr>
              <w:autoSpaceDE w:val="0"/>
              <w:autoSpaceDN w:val="0"/>
              <w:adjustRightInd w:val="0"/>
              <w:snapToGrid w:val="0"/>
              <w:spacing w:beforeLines="5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法定代表人身份证复印件粘贴处</w:t>
            </w:r>
          </w:p>
          <w:p>
            <w:pPr>
              <w:pStyle w:val="1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（正反面）</w:t>
            </w:r>
          </w:p>
          <w:p>
            <w:pPr>
              <w:snapToGrid w:val="0"/>
              <w:spacing w:line="480" w:lineRule="auto"/>
              <w:jc w:val="center"/>
              <w:rPr>
                <w:rFonts w:hint="eastAsia" w:ascii="仿宋" w:hAnsi="仿宋" w:eastAsia="仿宋" w:cs="仿宋"/>
                <w:color w:val="auto"/>
                <w:sz w:val="24"/>
                <w:szCs w:val="24"/>
                <w:highlight w:val="none"/>
              </w:rPr>
            </w:pPr>
          </w:p>
          <w:p>
            <w:pPr>
              <w:snapToGrid w:val="0"/>
              <w:spacing w:line="480" w:lineRule="auto"/>
              <w:jc w:val="center"/>
              <w:rPr>
                <w:rFonts w:hint="eastAsia" w:ascii="仿宋" w:hAnsi="仿宋" w:eastAsia="仿宋" w:cs="仿宋"/>
                <w:color w:val="auto"/>
                <w:sz w:val="24"/>
                <w:szCs w:val="24"/>
                <w:highlight w:val="none"/>
              </w:rPr>
            </w:pPr>
          </w:p>
        </w:tc>
      </w:tr>
    </w:tbl>
    <w:p>
      <w:pPr>
        <w:snapToGrid w:val="0"/>
        <w:spacing w:line="480" w:lineRule="auto"/>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adjustRightInd w:val="0"/>
        <w:snapToGrid w:val="0"/>
        <w:spacing w:line="360" w:lineRule="auto"/>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600" w:lineRule="exact"/>
        <w:ind w:right="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单位</w:t>
      </w:r>
      <w:r>
        <w:rPr>
          <w:rFonts w:hint="eastAsia" w:ascii="仿宋" w:hAnsi="仿宋" w:eastAsia="仿宋" w:cs="仿宋"/>
          <w:color w:val="auto"/>
          <w:sz w:val="24"/>
          <w:szCs w:val="24"/>
          <w:highlight w:val="none"/>
        </w:rPr>
        <w:t>名称（公章）：</w:t>
      </w:r>
    </w:p>
    <w:p>
      <w:pPr>
        <w:keepNext w:val="0"/>
        <w:keepLines w:val="0"/>
        <w:pageBreakBefore w:val="0"/>
        <w:widowControl w:val="0"/>
        <w:kinsoku/>
        <w:wordWrap/>
        <w:overflowPunct/>
        <w:topLinePunct w:val="0"/>
        <w:autoSpaceDE/>
        <w:autoSpaceDN/>
        <w:bidi w:val="0"/>
        <w:adjustRightInd w:val="0"/>
        <w:snapToGrid w:val="0"/>
        <w:spacing w:line="600" w:lineRule="exact"/>
        <w:ind w:right="420"/>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pPr>
        <w:bidi w:val="0"/>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（注：参会人员非公司法定代表人的，适用法定代表人授权委托书；参会人员为公司法定代表人的，适用法定代表人证明书。）</w:t>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pPr>
        <w:bidi w:val="0"/>
        <w:jc w:val="center"/>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rPr>
        <w:t>法定代表人授权书</w:t>
      </w:r>
    </w:p>
    <w:p>
      <w:pPr>
        <w:adjustRightInd w:val="0"/>
        <w:snapToGrid w:val="0"/>
        <w:spacing w:line="520" w:lineRule="exact"/>
        <w:rPr>
          <w:rFonts w:hint="eastAsia" w:ascii="仿宋" w:hAnsi="仿宋" w:eastAsia="仿宋" w:cs="仿宋"/>
          <w:b/>
          <w:color w:val="auto"/>
        </w:rPr>
      </w:pPr>
      <w:r>
        <w:rPr>
          <w:rFonts w:hint="eastAsia" w:ascii="仿宋" w:hAnsi="仿宋" w:eastAsia="仿宋" w:cs="仿宋"/>
          <w:b/>
          <w:color w:val="auto"/>
          <w:lang w:eastAsia="zh-CN"/>
        </w:rPr>
        <w:t>平利县文化馆</w:t>
      </w:r>
      <w:r>
        <w:rPr>
          <w:rFonts w:hint="eastAsia" w:ascii="仿宋" w:hAnsi="仿宋" w:eastAsia="仿宋" w:cs="仿宋"/>
          <w:b/>
          <w:color w:val="auto"/>
        </w:rPr>
        <w:t>：</w:t>
      </w:r>
    </w:p>
    <w:p>
      <w:pPr>
        <w:adjustRightInd w:val="0"/>
        <w:snapToGrid w:val="0"/>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注册于</w:t>
      </w:r>
      <w:r>
        <w:rPr>
          <w:rFonts w:hint="eastAsia" w:ascii="仿宋" w:hAnsi="仿宋" w:eastAsia="仿宋" w:cs="仿宋"/>
          <w:color w:val="auto"/>
          <w:u w:val="single"/>
        </w:rPr>
        <w:t>（工商行政管理局名称）</w:t>
      </w:r>
      <w:r>
        <w:rPr>
          <w:rFonts w:hint="eastAsia" w:ascii="仿宋" w:hAnsi="仿宋" w:eastAsia="仿宋" w:cs="仿宋"/>
          <w:color w:val="auto"/>
        </w:rPr>
        <w:t>之</w:t>
      </w:r>
      <w:r>
        <w:rPr>
          <w:rFonts w:hint="eastAsia" w:ascii="仿宋" w:hAnsi="仿宋" w:eastAsia="仿宋" w:cs="仿宋"/>
          <w:color w:val="auto"/>
          <w:u w:val="single"/>
        </w:rPr>
        <w:t>（供应商全称）</w:t>
      </w:r>
      <w:r>
        <w:rPr>
          <w:rFonts w:hint="eastAsia" w:ascii="仿宋" w:hAnsi="仿宋" w:eastAsia="仿宋" w:cs="仿宋"/>
          <w:color w:val="auto"/>
        </w:rPr>
        <w:t>法人代表</w:t>
      </w:r>
      <w:r>
        <w:rPr>
          <w:rFonts w:hint="eastAsia" w:ascii="仿宋" w:hAnsi="仿宋" w:eastAsia="仿宋" w:cs="仿宋"/>
          <w:color w:val="auto"/>
          <w:u w:val="single"/>
        </w:rPr>
        <w:t>（姓名、职务）</w:t>
      </w:r>
      <w:r>
        <w:rPr>
          <w:rFonts w:hint="eastAsia" w:ascii="仿宋" w:hAnsi="仿宋" w:eastAsia="仿宋" w:cs="仿宋"/>
          <w:color w:val="auto"/>
        </w:rPr>
        <w:t>授权</w:t>
      </w:r>
      <w:r>
        <w:rPr>
          <w:rFonts w:hint="eastAsia" w:ascii="仿宋" w:hAnsi="仿宋" w:eastAsia="仿宋" w:cs="仿宋"/>
          <w:color w:val="auto"/>
          <w:u w:val="single"/>
        </w:rPr>
        <w:t>（被授权人姓名、职务）</w:t>
      </w:r>
      <w:r>
        <w:rPr>
          <w:rFonts w:hint="eastAsia" w:ascii="仿宋" w:hAnsi="仿宋" w:eastAsia="仿宋" w:cs="仿宋"/>
          <w:color w:val="auto"/>
        </w:rPr>
        <w:t>为本公司的合法代理人，就本项目</w:t>
      </w:r>
      <w:r>
        <w:rPr>
          <w:rFonts w:hint="eastAsia" w:ascii="仿宋" w:hAnsi="仿宋" w:eastAsia="仿宋" w:cs="仿宋"/>
          <w:color w:val="auto"/>
          <w:u w:val="single"/>
        </w:rPr>
        <w:t>（项目名称）</w:t>
      </w:r>
      <w:r>
        <w:rPr>
          <w:rFonts w:hint="eastAsia" w:ascii="仿宋" w:hAnsi="仿宋" w:eastAsia="仿宋" w:cs="仿宋"/>
          <w:color w:val="auto"/>
        </w:rPr>
        <w:t>的招标及合同的执行和完成，以本公司的名义处理一切与之有关的事宜。</w:t>
      </w:r>
    </w:p>
    <w:p>
      <w:pPr>
        <w:adjustRightInd w:val="0"/>
        <w:snapToGrid w:val="0"/>
        <w:spacing w:line="520" w:lineRule="exact"/>
        <w:rPr>
          <w:rFonts w:hint="eastAsia" w:ascii="仿宋" w:hAnsi="仿宋" w:eastAsia="仿宋" w:cs="仿宋"/>
          <w:color w:val="auto"/>
          <w:u w:val="single"/>
          <w:lang w:val="en-US" w:eastAsia="zh-CN"/>
        </w:rPr>
      </w:pPr>
      <w:r>
        <w:rPr>
          <w:rFonts w:hint="eastAsia" w:ascii="仿宋" w:hAnsi="仿宋" w:eastAsia="仿宋" w:cs="仿宋"/>
          <w:color w:val="auto"/>
        </w:rPr>
        <w:t>附：全权代表姓名</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 性别</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年龄</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p>
    <w:p>
      <w:pPr>
        <w:adjustRightInd w:val="0"/>
        <w:snapToGrid w:val="0"/>
        <w:spacing w:line="520" w:lineRule="exact"/>
        <w:ind w:firstLine="630"/>
        <w:rPr>
          <w:rFonts w:hint="eastAsia" w:ascii="仿宋" w:hAnsi="仿宋" w:eastAsia="仿宋" w:cs="仿宋"/>
          <w:color w:val="auto"/>
          <w:lang w:val="en-US" w:eastAsia="zh-CN"/>
        </w:rPr>
      </w:pPr>
      <w:r>
        <w:rPr>
          <w:rFonts w:hint="eastAsia" w:ascii="仿宋" w:hAnsi="仿宋" w:eastAsia="仿宋" w:cs="仿宋"/>
          <w:color w:val="auto"/>
        </w:rPr>
        <w:t>职    务</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身份证号码</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p>
    <w:p>
      <w:pPr>
        <w:adjustRightInd w:val="0"/>
        <w:snapToGrid w:val="0"/>
        <w:spacing w:line="520" w:lineRule="exact"/>
        <w:ind w:firstLine="630"/>
        <w:rPr>
          <w:rFonts w:hint="eastAsia" w:ascii="仿宋" w:hAnsi="仿宋" w:eastAsia="仿宋" w:cs="仿宋"/>
          <w:color w:val="auto"/>
          <w:u w:val="single"/>
          <w:lang w:val="en-US" w:eastAsia="zh-CN"/>
        </w:rPr>
      </w:pPr>
      <w:r>
        <w:rPr>
          <w:rFonts w:hint="eastAsia" w:ascii="仿宋" w:hAnsi="仿宋" w:eastAsia="仿宋" w:cs="仿宋"/>
          <w:color w:val="auto"/>
        </w:rPr>
        <w:t>通讯地址</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adjustRightInd w:val="0"/>
        <w:snapToGrid w:val="0"/>
        <w:spacing w:line="520" w:lineRule="exact"/>
        <w:ind w:firstLine="630"/>
        <w:rPr>
          <w:rFonts w:hint="eastAsia" w:ascii="仿宋" w:hAnsi="仿宋" w:eastAsia="仿宋" w:cs="仿宋"/>
          <w:color w:val="auto"/>
          <w:u w:val="single"/>
          <w:lang w:val="en-US" w:eastAsia="zh-CN"/>
        </w:rPr>
      </w:pPr>
      <w:r>
        <w:rPr>
          <w:rFonts w:hint="eastAsia" w:ascii="仿宋" w:hAnsi="仿宋" w:eastAsia="仿宋" w:cs="仿宋"/>
          <w:color w:val="auto"/>
        </w:rPr>
        <w:t>邮政编码</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adjustRightInd w:val="0"/>
        <w:snapToGrid w:val="0"/>
        <w:spacing w:line="520" w:lineRule="exact"/>
        <w:ind w:firstLine="630"/>
        <w:rPr>
          <w:rFonts w:hint="eastAsia" w:ascii="仿宋" w:hAnsi="仿宋" w:eastAsia="仿宋" w:cs="仿宋"/>
          <w:color w:val="auto"/>
          <w:u w:val="single"/>
          <w:lang w:val="en-US" w:eastAsia="zh-CN"/>
        </w:rPr>
      </w:pPr>
      <w:r>
        <w:rPr>
          <w:rFonts w:hint="eastAsia" w:ascii="仿宋" w:hAnsi="仿宋" w:eastAsia="仿宋" w:cs="仿宋"/>
          <w:color w:val="auto"/>
        </w:rPr>
        <w:t>电    话</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电传</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adjustRightInd w:val="0"/>
        <w:snapToGrid w:val="0"/>
        <w:spacing w:line="600" w:lineRule="exact"/>
        <w:ind w:left="274" w:leftChars="114" w:firstLine="388" w:firstLineChars="162"/>
        <w:rPr>
          <w:rFonts w:hint="eastAsia" w:ascii="仿宋" w:hAnsi="仿宋" w:eastAsia="仿宋" w:cs="仿宋"/>
          <w:color w:val="auto"/>
        </w:rPr>
      </w:pPr>
      <w:r>
        <w:rPr>
          <w:rFonts w:hint="eastAsia" w:ascii="仿宋" w:hAnsi="仿宋" w:eastAsia="仿宋" w:cs="仿宋"/>
          <w:color w:val="auto"/>
        </w:rPr>
        <w:t>法定代表人/授权代表身份证复印件</w:t>
      </w:r>
    </w:p>
    <w:tbl>
      <w:tblPr>
        <w:tblStyle w:val="27"/>
        <w:tblW w:w="8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6"/>
        <w:gridCol w:w="4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5" w:hRule="atLeast"/>
          <w:jc w:val="center"/>
        </w:trPr>
        <w:tc>
          <w:tcPr>
            <w:tcW w:w="4136" w:type="dxa"/>
            <w:vAlign w:val="center"/>
          </w:tcPr>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法定代表人身份证复印件</w:t>
            </w:r>
          </w:p>
          <w:p>
            <w:pPr>
              <w:adjustRightInd w:val="0"/>
              <w:snapToGrid w:val="0"/>
              <w:spacing w:line="600" w:lineRule="exact"/>
              <w:jc w:val="center"/>
              <w:rPr>
                <w:rFonts w:hint="eastAsia" w:ascii="仿宋" w:hAnsi="仿宋" w:eastAsia="仿宋" w:cs="仿宋"/>
                <w:color w:val="auto"/>
                <w:lang w:eastAsia="zh-CN"/>
              </w:rPr>
            </w:pPr>
            <w:r>
              <w:rPr>
                <w:rFonts w:hint="eastAsia" w:ascii="仿宋" w:hAnsi="仿宋" w:eastAsia="仿宋" w:cs="仿宋"/>
                <w:color w:val="auto"/>
              </w:rPr>
              <w:t>（正反面）</w:t>
            </w:r>
          </w:p>
        </w:tc>
        <w:tc>
          <w:tcPr>
            <w:tcW w:w="4021" w:type="dxa"/>
            <w:vAlign w:val="center"/>
          </w:tcPr>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授权代表身份证复印件</w:t>
            </w:r>
          </w:p>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（正反面）</w:t>
            </w:r>
          </w:p>
        </w:tc>
      </w:tr>
    </w:tbl>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单位名称（公章）：</w:t>
      </w:r>
    </w:p>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法定代表人（签字）：</w:t>
      </w:r>
    </w:p>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本授权有效期为自开标之日起90日历日：</w:t>
      </w:r>
    </w:p>
    <w:p>
      <w:pPr>
        <w:adjustRightInd w:val="0"/>
        <w:snapToGrid w:val="0"/>
        <w:spacing w:line="600" w:lineRule="exact"/>
        <w:ind w:firstLine="3748" w:firstLineChars="1562"/>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color w:val="auto"/>
        </w:rPr>
      </w:pPr>
      <w:r>
        <w:rPr>
          <w:rFonts w:hint="eastAsia" w:ascii="仿宋" w:hAnsi="仿宋" w:eastAsia="仿宋" w:cs="仿宋"/>
          <w:color w:val="auto"/>
        </w:rPr>
        <w:t>年    月     日至     年    月    日</w:t>
      </w:r>
    </w:p>
    <w:p>
      <w:pPr>
        <w:spacing w:line="360" w:lineRule="auto"/>
        <w:ind w:firstLine="1668" w:firstLineChars="695"/>
        <w:outlineLvl w:val="9"/>
        <w:rPr>
          <w:rFonts w:hint="eastAsia" w:ascii="仿宋" w:hAnsi="仿宋" w:eastAsia="仿宋" w:cs="仿宋"/>
          <w:color w:val="auto"/>
        </w:rPr>
      </w:pPr>
    </w:p>
    <w:p>
      <w:pPr>
        <w:jc w:val="both"/>
        <w:rPr>
          <w:rFonts w:hint="eastAsia" w:ascii="仿宋" w:hAnsi="仿宋" w:eastAsia="仿宋" w:cs="仿宋"/>
          <w:b/>
          <w:color w:val="auto"/>
          <w:sz w:val="28"/>
          <w:szCs w:val="28"/>
        </w:rPr>
      </w:pPr>
    </w:p>
    <w:p>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近三年无重大违法记录书面声明</w:t>
      </w:r>
    </w:p>
    <w:p>
      <w:pPr>
        <w:keepNext w:val="0"/>
        <w:keepLines w:val="0"/>
        <w:pageBreakBefore w:val="0"/>
        <w:widowControl/>
        <w:kinsoku/>
        <w:wordWrap/>
        <w:overflowPunct/>
        <w:topLinePunct w:val="0"/>
        <w:autoSpaceDE/>
        <w:autoSpaceDN/>
        <w:bidi w:val="0"/>
        <w:adjustRightInd/>
        <w:snapToGrid/>
        <w:spacing w:line="480" w:lineRule="auto"/>
        <w:jc w:val="left"/>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致：</w:t>
      </w:r>
      <w:r>
        <w:rPr>
          <w:rFonts w:hint="eastAsia" w:ascii="仿宋" w:hAnsi="仿宋" w:eastAsia="仿宋" w:cs="仿宋"/>
          <w:color w:val="auto"/>
          <w:lang w:eastAsia="zh-CN"/>
        </w:rPr>
        <w:t>平利县文化馆</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我方</w:t>
      </w:r>
      <w:r>
        <w:rPr>
          <w:rFonts w:hint="eastAsia" w:ascii="仿宋" w:hAnsi="仿宋" w:eastAsia="仿宋" w:cs="仿宋"/>
          <w:b w:val="0"/>
          <w:bCs w:val="0"/>
          <w:color w:val="auto"/>
          <w:sz w:val="24"/>
          <w:szCs w:val="24"/>
          <w:u w:val="single"/>
        </w:rPr>
        <w:t xml:space="preserve"> （</w:t>
      </w:r>
      <w:r>
        <w:rPr>
          <w:rFonts w:hint="eastAsia" w:ascii="仿宋" w:hAnsi="仿宋" w:eastAsia="仿宋" w:cs="仿宋"/>
          <w:b w:val="0"/>
          <w:bCs w:val="0"/>
          <w:color w:val="auto"/>
          <w:sz w:val="24"/>
          <w:szCs w:val="24"/>
          <w:u w:val="single"/>
          <w:lang w:val="en-US" w:eastAsia="zh-CN"/>
        </w:rPr>
        <w:t>单位</w:t>
      </w:r>
      <w:r>
        <w:rPr>
          <w:rFonts w:hint="eastAsia" w:ascii="仿宋" w:hAnsi="仿宋" w:eastAsia="仿宋" w:cs="仿宋"/>
          <w:b w:val="0"/>
          <w:bCs w:val="0"/>
          <w:color w:val="auto"/>
          <w:sz w:val="24"/>
          <w:szCs w:val="24"/>
          <w:u w:val="single"/>
        </w:rPr>
        <w:t xml:space="preserve">名称） </w:t>
      </w:r>
      <w:r>
        <w:rPr>
          <w:rFonts w:hint="eastAsia" w:ascii="仿宋" w:hAnsi="仿宋" w:eastAsia="仿宋" w:cs="仿宋"/>
          <w:b w:val="0"/>
          <w:bCs w:val="0"/>
          <w:color w:val="auto"/>
          <w:sz w:val="24"/>
          <w:szCs w:val="24"/>
        </w:rPr>
        <w:t xml:space="preserve">参加 </w:t>
      </w:r>
      <w:r>
        <w:rPr>
          <w:rFonts w:hint="eastAsia" w:ascii="仿宋" w:hAnsi="仿宋" w:eastAsia="仿宋" w:cs="仿宋"/>
          <w:b w:val="0"/>
          <w:bCs w:val="0"/>
          <w:color w:val="auto"/>
          <w:sz w:val="24"/>
          <w:szCs w:val="24"/>
          <w:u w:val="single"/>
        </w:rPr>
        <w:t xml:space="preserve">（项目名称） </w:t>
      </w:r>
      <w:r>
        <w:rPr>
          <w:rFonts w:hint="eastAsia" w:ascii="仿宋" w:hAnsi="仿宋" w:eastAsia="仿宋" w:cs="仿宋"/>
          <w:b w:val="0"/>
          <w:bCs w:val="0"/>
          <w:color w:val="auto"/>
          <w:sz w:val="24"/>
          <w:szCs w:val="24"/>
          <w:lang w:val="en-US" w:eastAsia="zh-CN"/>
        </w:rPr>
        <w:t>的采购活动</w:t>
      </w:r>
      <w:r>
        <w:rPr>
          <w:rFonts w:hint="eastAsia" w:ascii="仿宋" w:hAnsi="仿宋" w:eastAsia="仿宋" w:cs="仿宋"/>
          <w:b w:val="0"/>
          <w:bCs w:val="0"/>
          <w:color w:val="auto"/>
          <w:sz w:val="24"/>
          <w:szCs w:val="24"/>
        </w:rPr>
        <w:t>，在此郑重声明：我方参加本次政府采购活动前三年内，在经营活动中没有重大违法记录。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特此声明，如有不实，我方愿承担由此带来的一切法律责任。</w:t>
      </w: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3600" w:firstLineChars="1500"/>
        <w:rPr>
          <w:rFonts w:hint="eastAsia" w:ascii="仿宋" w:hAnsi="仿宋" w:eastAsia="仿宋" w:cs="仿宋"/>
          <w:color w:val="auto"/>
          <w:u w:val="single"/>
        </w:rPr>
      </w:pPr>
      <w:r>
        <w:rPr>
          <w:rFonts w:hint="eastAsia" w:ascii="仿宋" w:hAnsi="仿宋" w:eastAsia="仿宋" w:cs="仿宋"/>
          <w:color w:val="auto"/>
        </w:rPr>
        <w:t>供应商（公章）：</w:t>
      </w:r>
    </w:p>
    <w:p>
      <w:pPr>
        <w:spacing w:line="480" w:lineRule="auto"/>
        <w:rPr>
          <w:rFonts w:hint="eastAsia" w:ascii="仿宋" w:hAnsi="仿宋" w:eastAsia="仿宋" w:cs="仿宋"/>
          <w:color w:val="auto"/>
        </w:rPr>
      </w:pPr>
    </w:p>
    <w:p>
      <w:pPr>
        <w:spacing w:line="480" w:lineRule="auto"/>
        <w:ind w:firstLine="3480" w:firstLineChars="1450"/>
        <w:rPr>
          <w:rFonts w:hint="eastAsia" w:ascii="仿宋" w:hAnsi="仿宋" w:eastAsia="仿宋" w:cs="仿宋"/>
          <w:color w:val="auto"/>
        </w:rPr>
      </w:pPr>
      <w:r>
        <w:rPr>
          <w:rFonts w:hint="eastAsia" w:ascii="仿宋" w:hAnsi="仿宋" w:eastAsia="仿宋" w:cs="仿宋"/>
          <w:color w:val="auto"/>
        </w:rPr>
        <w:t xml:space="preserve"> 法定代表人或授权代表（签字或盖章）：</w:t>
      </w:r>
    </w:p>
    <w:p>
      <w:pPr>
        <w:spacing w:line="480" w:lineRule="auto"/>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b/>
          <w:color w:val="auto"/>
          <w:sz w:val="28"/>
          <w:szCs w:val="28"/>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日期：    年    月   日</w:t>
      </w:r>
    </w:p>
    <w:p>
      <w:pPr>
        <w:rPr>
          <w:rFonts w:hint="eastAsia" w:ascii="仿宋" w:hAnsi="仿宋" w:eastAsia="仿宋" w:cs="仿宋"/>
          <w:b/>
          <w:bCs/>
          <w:color w:val="auto"/>
          <w:sz w:val="28"/>
          <w:szCs w:val="28"/>
        </w:rPr>
      </w:pPr>
    </w:p>
    <w:p>
      <w:pPr>
        <w:pStyle w:val="35"/>
        <w:rPr>
          <w:rFonts w:hint="eastAsia" w:ascii="仿宋" w:hAnsi="仿宋" w:eastAsia="仿宋" w:cs="仿宋"/>
          <w:b/>
          <w:bCs/>
          <w:color w:val="auto"/>
          <w:sz w:val="28"/>
          <w:szCs w:val="28"/>
        </w:rPr>
      </w:pPr>
    </w:p>
    <w:p>
      <w:pPr>
        <w:pStyle w:val="35"/>
        <w:rPr>
          <w:rFonts w:hint="eastAsia" w:ascii="仿宋" w:hAnsi="仿宋" w:eastAsia="仿宋" w:cs="仿宋"/>
          <w:b/>
          <w:bCs/>
          <w:color w:val="auto"/>
          <w:sz w:val="28"/>
          <w:szCs w:val="28"/>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bidi w:val="0"/>
        <w:jc w:val="center"/>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rPr>
        <w:t>非联合体投标声明</w:t>
      </w:r>
    </w:p>
    <w:p>
      <w:pPr>
        <w:spacing w:line="480" w:lineRule="auto"/>
        <w:rPr>
          <w:rFonts w:hint="eastAsia" w:ascii="仿宋" w:hAnsi="仿宋" w:eastAsia="仿宋" w:cs="仿宋"/>
          <w:color w:val="auto"/>
          <w:lang w:eastAsia="zh-CN"/>
        </w:rPr>
      </w:pPr>
      <w:r>
        <w:rPr>
          <w:rFonts w:hint="eastAsia" w:ascii="仿宋" w:hAnsi="仿宋" w:eastAsia="仿宋" w:cs="仿宋"/>
          <w:color w:val="auto"/>
        </w:rPr>
        <w:t>致：</w:t>
      </w:r>
      <w:r>
        <w:rPr>
          <w:rFonts w:hint="eastAsia" w:ascii="仿宋" w:hAnsi="仿宋" w:eastAsia="仿宋" w:cs="仿宋"/>
          <w:color w:val="auto"/>
          <w:lang w:eastAsia="zh-CN"/>
        </w:rPr>
        <w:t>平利县文化馆</w:t>
      </w:r>
    </w:p>
    <w:p>
      <w:pPr>
        <w:spacing w:line="480" w:lineRule="auto"/>
        <w:rPr>
          <w:rFonts w:hint="eastAsia" w:ascii="仿宋" w:hAnsi="仿宋" w:eastAsia="仿宋" w:cs="仿宋"/>
          <w:color w:val="auto"/>
        </w:rPr>
      </w:pPr>
      <w:r>
        <w:rPr>
          <w:rFonts w:hint="eastAsia" w:ascii="仿宋" w:hAnsi="仿宋" w:eastAsia="仿宋" w:cs="仿宋"/>
          <w:color w:val="auto"/>
        </w:rPr>
        <w:t xml:space="preserve">    我单位</w:t>
      </w:r>
      <w:r>
        <w:rPr>
          <w:rFonts w:hint="eastAsia" w:ascii="仿宋" w:hAnsi="仿宋" w:eastAsia="仿宋" w:cs="仿宋"/>
          <w:color w:val="auto"/>
          <w:u w:val="single"/>
        </w:rPr>
        <w:t xml:space="preserve">       （单位名称）           </w:t>
      </w:r>
      <w:r>
        <w:rPr>
          <w:rFonts w:hint="eastAsia" w:ascii="仿宋" w:hAnsi="仿宋" w:eastAsia="仿宋" w:cs="仿宋"/>
          <w:color w:val="auto"/>
        </w:rPr>
        <w:t>参加本次项目</w:t>
      </w:r>
      <w:r>
        <w:rPr>
          <w:rFonts w:hint="eastAsia" w:ascii="仿宋" w:hAnsi="仿宋" w:eastAsia="仿宋" w:cs="仿宋"/>
          <w:color w:val="auto"/>
          <w:u w:val="single"/>
        </w:rPr>
        <w:t xml:space="preserve">    （项目名称）    </w:t>
      </w:r>
      <w:r>
        <w:rPr>
          <w:rFonts w:hint="eastAsia" w:ascii="仿宋" w:hAnsi="仿宋" w:eastAsia="仿宋" w:cs="仿宋"/>
          <w:color w:val="auto"/>
        </w:rPr>
        <w:t>的采购活动，非联合体投标。</w:t>
      </w: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r>
        <w:rPr>
          <w:rFonts w:hint="eastAsia" w:ascii="仿宋" w:hAnsi="仿宋" w:eastAsia="仿宋" w:cs="仿宋"/>
          <w:color w:val="auto"/>
        </w:rPr>
        <w:t xml:space="preserve">                     特此声明！</w:t>
      </w: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u w:val="single"/>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供应商（公章）：</w:t>
      </w:r>
    </w:p>
    <w:p>
      <w:pPr>
        <w:spacing w:line="480" w:lineRule="auto"/>
        <w:rPr>
          <w:rFonts w:hint="eastAsia" w:ascii="仿宋" w:hAnsi="仿宋" w:eastAsia="仿宋" w:cs="仿宋"/>
          <w:color w:val="auto"/>
        </w:rPr>
      </w:pPr>
    </w:p>
    <w:p>
      <w:pPr>
        <w:spacing w:line="480" w:lineRule="auto"/>
        <w:ind w:firstLine="2280" w:firstLineChars="950"/>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法定代表人或授权代表（签字或盖章）：</w:t>
      </w:r>
    </w:p>
    <w:p>
      <w:pPr>
        <w:spacing w:line="480" w:lineRule="auto"/>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b/>
          <w:color w:val="auto"/>
          <w:sz w:val="28"/>
          <w:szCs w:val="28"/>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日期：    年    月   日</w:t>
      </w:r>
    </w:p>
    <w:p>
      <w:pPr>
        <w:spacing w:line="360" w:lineRule="auto"/>
        <w:ind w:firstLine="1954" w:firstLineChars="695"/>
        <w:outlineLvl w:val="9"/>
        <w:rPr>
          <w:rFonts w:hint="eastAsia" w:ascii="仿宋" w:hAnsi="仿宋" w:eastAsia="仿宋" w:cs="仿宋"/>
          <w:b/>
          <w:color w:val="auto"/>
          <w:sz w:val="28"/>
          <w:szCs w:val="28"/>
        </w:rPr>
      </w:pPr>
    </w:p>
    <w:p>
      <w:pPr>
        <w:spacing w:line="360" w:lineRule="auto"/>
        <w:ind w:firstLine="1954" w:firstLineChars="695"/>
        <w:outlineLvl w:val="9"/>
        <w:rPr>
          <w:rFonts w:hint="eastAsia" w:ascii="仿宋" w:hAnsi="仿宋" w:eastAsia="仿宋" w:cs="仿宋"/>
          <w:b/>
          <w:color w:val="auto"/>
          <w:sz w:val="28"/>
          <w:szCs w:val="28"/>
        </w:rPr>
      </w:pPr>
    </w:p>
    <w:p>
      <w:pPr>
        <w:spacing w:line="660" w:lineRule="exact"/>
        <w:jc w:val="center"/>
        <w:rPr>
          <w:rFonts w:hint="eastAsia" w:ascii="仿宋" w:hAnsi="仿宋" w:eastAsia="仿宋" w:cs="仿宋"/>
          <w:b/>
          <w:color w:val="auto"/>
          <w:sz w:val="32"/>
        </w:rPr>
      </w:pPr>
    </w:p>
    <w:p>
      <w:pPr>
        <w:rPr>
          <w:rFonts w:hint="eastAsia" w:ascii="仿宋" w:hAnsi="仿宋" w:eastAsia="仿宋" w:cs="仿宋"/>
          <w:b/>
          <w:color w:val="auto"/>
          <w:sz w:val="32"/>
        </w:rPr>
      </w:pPr>
      <w:r>
        <w:rPr>
          <w:rFonts w:hint="eastAsia" w:ascii="仿宋" w:hAnsi="仿宋" w:eastAsia="仿宋" w:cs="仿宋"/>
          <w:b/>
          <w:color w:val="auto"/>
          <w:sz w:val="32"/>
        </w:rPr>
        <w:br w:type="page"/>
      </w:r>
    </w:p>
    <w:p>
      <w:pPr>
        <w:jc w:val="center"/>
        <w:rPr>
          <w:rFonts w:hint="eastAsia" w:ascii="仿宋" w:hAnsi="仿宋" w:eastAsia="仿宋" w:cs="仿宋"/>
          <w:b/>
          <w:sz w:val="24"/>
          <w:szCs w:val="24"/>
        </w:rPr>
      </w:pPr>
      <w:r>
        <w:rPr>
          <w:rFonts w:hint="eastAsia" w:ascii="仿宋" w:hAnsi="仿宋" w:eastAsia="仿宋" w:cs="仿宋"/>
          <w:b/>
          <w:sz w:val="24"/>
          <w:szCs w:val="24"/>
        </w:rPr>
        <w:t>中小企业声明函（格式）</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 ）46 号）的规定，本公司（联合体）参加（单位名称）的（项目名称）采购活动，服务全部由符合政策要求的中小企业承接。相关企业（含联合体中的中小企业、签订分包意向协议的中小企业）的具体情况如下：</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bCs/>
          <w:sz w:val="24"/>
          <w:szCs w:val="24"/>
        </w:rPr>
        <w:t>1.</w:t>
      </w:r>
      <w:r>
        <w:rPr>
          <w:rFonts w:hint="eastAsia" w:ascii="仿宋" w:hAnsi="仿宋" w:eastAsia="仿宋" w:cs="仿宋"/>
          <w:bCs/>
          <w:sz w:val="24"/>
          <w:szCs w:val="24"/>
          <w:u w:val="single"/>
        </w:rPr>
        <w:t>（标的名称）</w:t>
      </w:r>
      <w:r>
        <w:rPr>
          <w:rFonts w:hint="eastAsia" w:ascii="仿宋" w:hAnsi="仿宋" w:eastAsia="仿宋" w:cs="仿宋"/>
          <w:bCs/>
          <w:sz w:val="24"/>
          <w:szCs w:val="24"/>
        </w:rPr>
        <w:t>,属于</w:t>
      </w:r>
      <w:r>
        <w:rPr>
          <w:rFonts w:hint="eastAsia" w:ascii="仿宋" w:hAnsi="仿宋" w:eastAsia="仿宋" w:cs="仿宋"/>
          <w:bCs/>
          <w:sz w:val="24"/>
          <w:szCs w:val="24"/>
          <w:u w:val="single"/>
        </w:rPr>
        <w:t>（采购文件中明确的所属行业）</w:t>
      </w:r>
      <w:r>
        <w:rPr>
          <w:rFonts w:hint="eastAsia" w:ascii="仿宋" w:hAnsi="仿宋" w:eastAsia="仿宋" w:cs="仿宋"/>
          <w:bCs/>
          <w:sz w:val="24"/>
          <w:szCs w:val="24"/>
        </w:rPr>
        <w:t>, 承建（承接）企业为</w:t>
      </w:r>
      <w:r>
        <w:rPr>
          <w:rFonts w:hint="eastAsia" w:ascii="仿宋" w:hAnsi="仿宋" w:eastAsia="仿宋" w:cs="仿宋"/>
          <w:bCs/>
          <w:sz w:val="24"/>
          <w:szCs w:val="24"/>
          <w:u w:val="single"/>
        </w:rPr>
        <w:t>（企业名称）</w:t>
      </w:r>
      <w:r>
        <w:rPr>
          <w:rFonts w:hint="eastAsia" w:ascii="仿宋" w:hAnsi="仿宋" w:eastAsia="仿宋" w:cs="仿宋"/>
          <w:bCs/>
          <w:sz w:val="24"/>
          <w:szCs w:val="24"/>
        </w:rPr>
        <w:t>, 从业人员</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人，营业收入为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万元，资产总额为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万元，属于</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（中型企业、 小型企业、微型企业）</w:t>
      </w:r>
      <w:r>
        <w:rPr>
          <w:rFonts w:hint="eastAsia" w:ascii="仿宋" w:hAnsi="仿宋" w:eastAsia="仿宋" w:cs="仿宋"/>
          <w:bCs/>
          <w:sz w:val="24"/>
          <w:szCs w:val="24"/>
        </w:rPr>
        <w:t>；</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u w:val="single"/>
        </w:rPr>
        <w:t>（标的名称）</w:t>
      </w:r>
      <w:r>
        <w:rPr>
          <w:rFonts w:hint="eastAsia" w:ascii="仿宋" w:hAnsi="仿宋" w:eastAsia="仿宋" w:cs="仿宋"/>
          <w:bCs/>
          <w:sz w:val="24"/>
          <w:szCs w:val="24"/>
        </w:rPr>
        <w:t>,属于</w:t>
      </w:r>
      <w:r>
        <w:rPr>
          <w:rFonts w:hint="eastAsia" w:ascii="仿宋" w:hAnsi="仿宋" w:eastAsia="仿宋" w:cs="仿宋"/>
          <w:bCs/>
          <w:sz w:val="24"/>
          <w:szCs w:val="24"/>
          <w:u w:val="single"/>
        </w:rPr>
        <w:t>（采购文件中明确的所属行业）</w:t>
      </w:r>
      <w:r>
        <w:rPr>
          <w:rFonts w:hint="eastAsia" w:ascii="仿宋" w:hAnsi="仿宋" w:eastAsia="仿宋" w:cs="仿宋"/>
          <w:bCs/>
          <w:sz w:val="24"/>
          <w:szCs w:val="24"/>
        </w:rPr>
        <w:t>, 承建（承接）企业为</w:t>
      </w:r>
      <w:r>
        <w:rPr>
          <w:rFonts w:hint="eastAsia" w:ascii="仿宋" w:hAnsi="仿宋" w:eastAsia="仿宋" w:cs="仿宋"/>
          <w:bCs/>
          <w:sz w:val="24"/>
          <w:szCs w:val="24"/>
          <w:u w:val="single"/>
        </w:rPr>
        <w:t>（企业名称）</w:t>
      </w:r>
      <w:r>
        <w:rPr>
          <w:rFonts w:hint="eastAsia" w:ascii="仿宋" w:hAnsi="仿宋" w:eastAsia="仿宋" w:cs="仿宋"/>
          <w:bCs/>
          <w:sz w:val="24"/>
          <w:szCs w:val="24"/>
        </w:rPr>
        <w:t>, 从业人员</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人，营业收入为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万元，资产总额为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万元，属于</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（中型企业、 小型企业、微型企业）</w:t>
      </w:r>
      <w:r>
        <w:rPr>
          <w:rFonts w:hint="eastAsia" w:ascii="仿宋" w:hAnsi="仿宋" w:eastAsia="仿宋" w:cs="仿宋"/>
          <w:bCs/>
          <w:sz w:val="24"/>
          <w:szCs w:val="24"/>
        </w:rPr>
        <w:t>；</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bCs/>
          <w:sz w:val="24"/>
          <w:szCs w:val="24"/>
        </w:rPr>
        <w:t>……</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sz w:val="24"/>
          <w:szCs w:val="24"/>
        </w:rPr>
        <w:t>本企业对上述声明内容的真实性负责。如有虚假，将依法承担相应责任。</w:t>
      </w:r>
      <w:r>
        <w:rPr>
          <w:rFonts w:hint="eastAsia" w:ascii="仿宋" w:hAnsi="仿宋" w:eastAsia="仿宋" w:cs="仿宋"/>
          <w:bCs/>
          <w:sz w:val="24"/>
          <w:szCs w:val="24"/>
        </w:rPr>
        <w:t xml:space="preserve"> </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sz w:val="24"/>
          <w:szCs w:val="24"/>
        </w:rPr>
        <w:t xml:space="preserve">                              单位名称（盖章）： </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 xml:space="preserve">                                   日 期：</w:t>
      </w:r>
    </w:p>
    <w:p>
      <w:pPr>
        <w:ind w:firstLine="480" w:firstLineChars="200"/>
        <w:rPr>
          <w:rFonts w:hint="eastAsia" w:ascii="仿宋" w:hAnsi="仿宋" w:eastAsia="仿宋" w:cs="仿宋"/>
          <w:sz w:val="24"/>
          <w:szCs w:val="24"/>
          <w:lang w:val="en-US" w:eastAsia="zh-CN" w:bidi="ar-SA"/>
        </w:rPr>
      </w:pPr>
    </w:p>
    <w:p>
      <w:pPr>
        <w:ind w:firstLine="480" w:firstLineChars="200"/>
        <w:rPr>
          <w:rFonts w:hint="eastAsia" w:ascii="仿宋" w:hAnsi="仿宋" w:eastAsia="仿宋" w:cs="仿宋"/>
          <w:sz w:val="24"/>
          <w:szCs w:val="24"/>
          <w:lang w:val="en-US" w:eastAsia="zh-CN" w:bidi="ar-SA"/>
        </w:rPr>
      </w:pP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注：从业人员、营业收入、资产总额填报上一年度数据，无上一年度数据的新成立企业可不填报。</w:t>
      </w:r>
    </w:p>
    <w:p>
      <w:pPr>
        <w:bidi w:val="0"/>
        <w:jc w:val="center"/>
        <w:outlineLvl w:val="9"/>
        <w:rPr>
          <w:rFonts w:hint="eastAsia" w:ascii="仿宋" w:hAnsi="仿宋" w:eastAsia="仿宋" w:cs="仿宋"/>
          <w:b/>
          <w:bCs/>
          <w:color w:val="auto"/>
          <w:sz w:val="24"/>
          <w:szCs w:val="24"/>
        </w:rPr>
      </w:pPr>
    </w:p>
    <w:p>
      <w:pPr>
        <w:pStyle w:val="36"/>
        <w:rPr>
          <w:rFonts w:hint="eastAsia" w:ascii="仿宋" w:hAnsi="仿宋" w:eastAsia="仿宋" w:cs="仿宋"/>
          <w:color w:val="auto"/>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第四章  供应商概况</w:t>
      </w: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pStyle w:val="18"/>
        <w:outlineLvl w:val="9"/>
        <w:rPr>
          <w:rFonts w:hint="eastAsia" w:ascii="仿宋" w:hAnsi="仿宋" w:eastAsia="仿宋" w:cs="仿宋"/>
          <w:color w:val="auto"/>
        </w:rPr>
      </w:pPr>
    </w:p>
    <w:p>
      <w:pPr>
        <w:rPr>
          <w:rFonts w:hint="eastAsia" w:ascii="仿宋" w:hAnsi="仿宋" w:eastAsia="仿宋" w:cs="仿宋"/>
          <w:color w:val="auto"/>
        </w:rPr>
      </w:pPr>
    </w:p>
    <w:p>
      <w:pPr>
        <w:pStyle w:val="18"/>
        <w:rPr>
          <w:rFonts w:hint="eastAsia" w:ascii="仿宋" w:hAnsi="仿宋" w:eastAsia="仿宋" w:cs="仿宋"/>
          <w:color w:val="auto"/>
        </w:rPr>
      </w:pPr>
    </w:p>
    <w:p>
      <w:pPr>
        <w:ind w:firstLine="2160" w:firstLineChars="900"/>
        <w:rPr>
          <w:rFonts w:hint="eastAsia" w:ascii="仿宋" w:hAnsi="仿宋" w:eastAsia="仿宋" w:cs="仿宋"/>
          <w:color w:val="auto"/>
        </w:rPr>
      </w:pPr>
      <w:r>
        <w:rPr>
          <w:rFonts w:hint="eastAsia" w:ascii="仿宋" w:hAnsi="仿宋" w:eastAsia="仿宋" w:cs="仿宋"/>
          <w:color w:val="auto"/>
        </w:rPr>
        <w:t>供应商（公章）：</w:t>
      </w:r>
      <w:r>
        <w:rPr>
          <w:rFonts w:hint="eastAsia" w:ascii="仿宋" w:hAnsi="仿宋" w:eastAsia="仿宋" w:cs="仿宋"/>
          <w:color w:val="auto"/>
          <w:u w:val="single"/>
        </w:rPr>
        <w:t>                                </w:t>
      </w:r>
    </w:p>
    <w:p>
      <w:pPr>
        <w:ind w:firstLine="240" w:firstLineChars="100"/>
        <w:rPr>
          <w:rFonts w:hint="eastAsia" w:ascii="仿宋" w:hAnsi="仿宋" w:eastAsia="仿宋" w:cs="仿宋"/>
          <w:color w:val="auto"/>
        </w:rPr>
      </w:pPr>
    </w:p>
    <w:p>
      <w:pPr>
        <w:ind w:firstLine="240" w:firstLineChars="100"/>
        <w:rPr>
          <w:rFonts w:hint="eastAsia" w:ascii="仿宋" w:hAnsi="仿宋" w:eastAsia="仿宋" w:cs="仿宋"/>
          <w:color w:val="auto"/>
        </w:rPr>
      </w:pPr>
    </w:p>
    <w:p>
      <w:pPr>
        <w:ind w:firstLine="2160" w:firstLineChars="900"/>
        <w:rPr>
          <w:rFonts w:hint="eastAsia" w:ascii="仿宋" w:hAnsi="仿宋" w:eastAsia="仿宋" w:cs="仿宋"/>
          <w:color w:val="auto"/>
        </w:rPr>
      </w:pPr>
      <w:r>
        <w:rPr>
          <w:rFonts w:hint="eastAsia" w:ascii="仿宋" w:hAnsi="仿宋" w:eastAsia="仿宋" w:cs="仿宋"/>
          <w:color w:val="auto"/>
        </w:rPr>
        <w:t>法定代表人或授权代表（签字或盖章）：</w:t>
      </w:r>
      <w:r>
        <w:rPr>
          <w:rFonts w:hint="eastAsia" w:ascii="仿宋" w:hAnsi="仿宋" w:eastAsia="仿宋" w:cs="仿宋"/>
          <w:color w:val="auto"/>
          <w:u w:val="single"/>
        </w:rPr>
        <w:t>              </w:t>
      </w:r>
    </w:p>
    <w:p>
      <w:pPr>
        <w:rPr>
          <w:rFonts w:hint="eastAsia" w:ascii="仿宋" w:hAnsi="仿宋" w:eastAsia="仿宋" w:cs="仿宋"/>
          <w:color w:val="auto"/>
        </w:rPr>
      </w:pPr>
    </w:p>
    <w:p>
      <w:pPr>
        <w:ind w:firstLine="4480"/>
        <w:rPr>
          <w:rFonts w:hint="eastAsia" w:ascii="仿宋" w:hAnsi="仿宋" w:eastAsia="仿宋" w:cs="仿宋"/>
          <w:color w:val="auto"/>
        </w:rPr>
      </w:pPr>
      <w:r>
        <w:rPr>
          <w:rFonts w:hint="eastAsia" w:ascii="仿宋" w:hAnsi="仿宋" w:eastAsia="仿宋" w:cs="仿宋"/>
          <w:color w:val="auto"/>
        </w:rPr>
        <w:t>　</w:t>
      </w:r>
    </w:p>
    <w:p>
      <w:pPr>
        <w:wordWrap w:val="0"/>
        <w:spacing w:line="520" w:lineRule="exact"/>
        <w:ind w:firstLine="1017" w:firstLineChars="424"/>
        <w:jc w:val="center"/>
        <w:rPr>
          <w:rFonts w:hint="eastAsia" w:ascii="仿宋" w:hAnsi="仿宋" w:eastAsia="仿宋" w:cs="仿宋"/>
          <w:color w:val="auto"/>
        </w:rPr>
      </w:pPr>
      <w:r>
        <w:rPr>
          <w:rFonts w:hint="eastAsia" w:ascii="仿宋" w:hAnsi="仿宋" w:eastAsia="仿宋" w:cs="仿宋"/>
          <w:color w:val="auto"/>
        </w:rPr>
        <w:t>日期：      年    月    日</w:t>
      </w:r>
    </w:p>
    <w:p>
      <w:pPr>
        <w:spacing w:line="360" w:lineRule="auto"/>
        <w:ind w:firstLine="1269" w:firstLineChars="395"/>
        <w:outlineLvl w:val="9"/>
        <w:rPr>
          <w:rFonts w:hint="eastAsia" w:ascii="仿宋" w:hAnsi="仿宋" w:eastAsia="仿宋" w:cs="仿宋"/>
          <w:b/>
          <w:color w:val="auto"/>
          <w:sz w:val="32"/>
          <w:szCs w:val="32"/>
        </w:rPr>
      </w:pPr>
    </w:p>
    <w:p>
      <w:pPr>
        <w:pStyle w:val="18"/>
        <w:outlineLvl w:val="9"/>
        <w:rPr>
          <w:rFonts w:hint="eastAsia" w:ascii="仿宋" w:hAnsi="仿宋" w:eastAsia="仿宋" w:cs="仿宋"/>
          <w:color w:val="auto"/>
        </w:rPr>
      </w:pPr>
    </w:p>
    <w:p>
      <w:pPr>
        <w:spacing w:line="360" w:lineRule="auto"/>
        <w:ind w:firstLine="1269" w:firstLineChars="395"/>
        <w:outlineLvl w:val="9"/>
        <w:rPr>
          <w:rFonts w:hint="eastAsia" w:ascii="仿宋" w:hAnsi="仿宋" w:eastAsia="仿宋" w:cs="仿宋"/>
          <w:b/>
          <w:color w:val="auto"/>
          <w:sz w:val="32"/>
          <w:szCs w:val="32"/>
        </w:rPr>
      </w:pPr>
    </w:p>
    <w:p>
      <w:pPr>
        <w:spacing w:line="600" w:lineRule="exact"/>
        <w:outlineLvl w:val="9"/>
        <w:rPr>
          <w:rFonts w:hint="eastAsia" w:ascii="仿宋" w:hAnsi="仿宋" w:eastAsia="仿宋" w:cs="仿宋"/>
          <w:b/>
          <w:bCs/>
          <w:color w:val="auto"/>
          <w:sz w:val="32"/>
          <w:szCs w:val="32"/>
        </w:rPr>
      </w:pPr>
    </w:p>
    <w:p>
      <w:pPr>
        <w:spacing w:line="600" w:lineRule="exact"/>
        <w:outlineLvl w:val="9"/>
        <w:rPr>
          <w:rFonts w:hint="eastAsia" w:ascii="仿宋" w:hAnsi="仿宋" w:eastAsia="仿宋" w:cs="仿宋"/>
          <w:b/>
          <w:bCs/>
          <w:color w:val="auto"/>
          <w:sz w:val="32"/>
          <w:szCs w:val="32"/>
        </w:rPr>
      </w:pPr>
    </w:p>
    <w:p>
      <w:pPr>
        <w:bidi w:val="0"/>
        <w:jc w:val="center"/>
        <w:outlineLvl w:val="1"/>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第五章  供应商拒绝政府采购领域商业贿赂承诺书</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为响应党中央、国务院关于治理政府采购领域商业贿赂行为的号召，我单位在此庄严承诺：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1、在参与政府采购活动中遵纪守法、诚信经营、公平竞标。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2、不向政府采购人、采购代理机构和政府采购评审专家进行任何形式的商业贿赂以谋取交易机会。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3、不向政府采购代理机构和采购人提供虚假资质文件或采用虚假应标方式参与政府采购市场竞争并谋取中标、成交。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4、不采取“围标、陪标”等商业欺诈手段获得政府采购定单。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5、不采取不正当手段诋毁、排挤其他供应商。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6、不在提供商品和服务时“偷梁换柱、以次充好”损害采购人的合法权益。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7、不与采购人、采购代理机构政府采购评审专家或其它供应商恶意串通，进行质疑和投诉，维护政府采购市场秩序。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8、尊重和接受政府采购监督管理部门的监督和政府采购代理机构招标采购要求，承担因违约行为给采购人造成的损失。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9、不发生其他有悖于政府采购公开、公平、公正和诚信原则的行为。 </w:t>
      </w:r>
    </w:p>
    <w:p>
      <w:pPr>
        <w:spacing w:line="520" w:lineRule="exact"/>
        <w:ind w:firstLine="720" w:firstLineChars="300"/>
        <w:rPr>
          <w:rFonts w:hint="eastAsia" w:ascii="仿宋" w:hAnsi="仿宋" w:eastAsia="仿宋" w:cs="仿宋"/>
          <w:color w:val="auto"/>
        </w:rPr>
      </w:pPr>
      <w:r>
        <w:rPr>
          <w:rFonts w:hint="eastAsia" w:ascii="仿宋" w:hAnsi="仿宋" w:eastAsia="仿宋" w:cs="仿宋"/>
          <w:color w:val="auto"/>
        </w:rPr>
        <w:t>承诺单位：</w:t>
      </w:r>
      <w:r>
        <w:rPr>
          <w:rFonts w:hint="eastAsia" w:ascii="仿宋" w:hAnsi="仿宋" w:eastAsia="仿宋" w:cs="仿宋"/>
          <w:color w:val="auto"/>
          <w:u w:val="single"/>
        </w:rPr>
        <w:t>　　                        　</w:t>
      </w:r>
      <w:r>
        <w:rPr>
          <w:rFonts w:hint="eastAsia" w:ascii="仿宋" w:hAnsi="仿宋" w:eastAsia="仿宋" w:cs="仿宋"/>
          <w:color w:val="auto"/>
        </w:rPr>
        <w:t>（盖章）</w:t>
      </w:r>
    </w:p>
    <w:p>
      <w:pPr>
        <w:spacing w:line="520" w:lineRule="exact"/>
        <w:ind w:firstLine="720" w:firstLineChars="300"/>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u w:val="single"/>
        </w:rPr>
        <w:t xml:space="preserve">　　　　　     　　　       </w:t>
      </w:r>
      <w:r>
        <w:rPr>
          <w:rFonts w:hint="eastAsia" w:ascii="仿宋" w:hAnsi="仿宋" w:eastAsia="仿宋" w:cs="仿宋"/>
          <w:color w:val="auto"/>
        </w:rPr>
        <w:t>（签字）</w:t>
      </w:r>
    </w:p>
    <w:p>
      <w:pPr>
        <w:spacing w:line="520" w:lineRule="exact"/>
        <w:ind w:firstLine="720" w:firstLineChars="300"/>
        <w:rPr>
          <w:rFonts w:hint="eastAsia" w:ascii="仿宋" w:hAnsi="仿宋" w:eastAsia="仿宋" w:cs="仿宋"/>
          <w:color w:val="auto"/>
          <w:u w:val="single"/>
        </w:rPr>
      </w:pPr>
      <w:r>
        <w:rPr>
          <w:rFonts w:hint="eastAsia" w:ascii="仿宋" w:hAnsi="仿宋" w:eastAsia="仿宋" w:cs="仿宋"/>
          <w:color w:val="auto"/>
        </w:rPr>
        <w:t>地　　址：</w:t>
      </w:r>
      <w:r>
        <w:rPr>
          <w:rFonts w:hint="eastAsia" w:ascii="仿宋" w:hAnsi="仿宋" w:eastAsia="仿宋" w:cs="仿宋"/>
          <w:color w:val="auto"/>
          <w:u w:val="single"/>
        </w:rPr>
        <w:t xml:space="preserve">                              </w:t>
      </w:r>
    </w:p>
    <w:p>
      <w:pPr>
        <w:spacing w:line="520" w:lineRule="exact"/>
        <w:ind w:firstLine="720" w:firstLineChars="300"/>
        <w:rPr>
          <w:rFonts w:hint="eastAsia" w:ascii="仿宋" w:hAnsi="仿宋" w:eastAsia="仿宋" w:cs="仿宋"/>
          <w:color w:val="auto"/>
          <w:u w:val="single"/>
        </w:rPr>
      </w:pPr>
      <w:r>
        <w:rPr>
          <w:rFonts w:hint="eastAsia" w:ascii="仿宋" w:hAnsi="仿宋" w:eastAsia="仿宋" w:cs="仿宋"/>
          <w:color w:val="auto"/>
        </w:rPr>
        <w:t>邮    编：</w:t>
      </w:r>
      <w:r>
        <w:rPr>
          <w:rFonts w:hint="eastAsia" w:ascii="仿宋" w:hAnsi="仿宋" w:eastAsia="仿宋" w:cs="仿宋"/>
          <w:color w:val="auto"/>
          <w:u w:val="single"/>
        </w:rPr>
        <w:t xml:space="preserve">　　                     　　 </w:t>
      </w:r>
    </w:p>
    <w:p>
      <w:pPr>
        <w:spacing w:line="520" w:lineRule="exact"/>
        <w:ind w:firstLine="720" w:firstLineChars="300"/>
        <w:rPr>
          <w:rFonts w:hint="eastAsia" w:ascii="仿宋" w:hAnsi="仿宋" w:eastAsia="仿宋" w:cs="仿宋"/>
          <w:color w:val="auto"/>
          <w:u w:val="single"/>
          <w:lang w:eastAsia="zh-CN"/>
        </w:rPr>
      </w:pPr>
      <w:r>
        <w:rPr>
          <w:rFonts w:hint="eastAsia" w:ascii="仿宋" w:hAnsi="仿宋" w:eastAsia="仿宋" w:cs="仿宋"/>
          <w:color w:val="auto"/>
        </w:rPr>
        <w:t>电　　话：</w:t>
      </w:r>
      <w:r>
        <w:rPr>
          <w:rFonts w:hint="eastAsia" w:ascii="仿宋" w:hAnsi="仿宋" w:eastAsia="仿宋" w:cs="仿宋"/>
          <w:color w:val="auto"/>
          <w:u w:val="single"/>
        </w:rPr>
        <w:t>　　　                　　　　</w:t>
      </w:r>
    </w:p>
    <w:p>
      <w:pPr>
        <w:spacing w:line="520" w:lineRule="exact"/>
        <w:ind w:firstLine="720" w:firstLineChars="300"/>
        <w:rPr>
          <w:rFonts w:hint="eastAsia" w:ascii="仿宋" w:hAnsi="仿宋" w:eastAsia="仿宋" w:cs="仿宋"/>
          <w:color w:val="auto"/>
        </w:rPr>
      </w:pPr>
      <w:r>
        <w:rPr>
          <w:rFonts w:hint="eastAsia" w:ascii="仿宋" w:hAnsi="仿宋" w:eastAsia="仿宋" w:cs="仿宋"/>
          <w:color w:val="auto"/>
        </w:rPr>
        <w:t xml:space="preserve">　　　　                                     年　　月　　日        </w:t>
      </w:r>
    </w:p>
    <w:p>
      <w:pPr>
        <w:spacing w:line="520" w:lineRule="exact"/>
        <w:rPr>
          <w:rFonts w:hint="eastAsia" w:ascii="仿宋" w:hAnsi="仿宋" w:eastAsia="仿宋" w:cs="仿宋"/>
          <w:b/>
          <w:color w:val="auto"/>
        </w:rPr>
      </w:pPr>
    </w:p>
    <w:p>
      <w:pPr>
        <w:spacing w:line="520" w:lineRule="exact"/>
        <w:jc w:val="center"/>
        <w:rPr>
          <w:rFonts w:hint="eastAsia" w:ascii="仿宋" w:hAnsi="仿宋" w:eastAsia="仿宋" w:cs="仿宋"/>
          <w:b/>
          <w:color w:val="auto"/>
        </w:rPr>
      </w:pPr>
    </w:p>
    <w:p>
      <w:pPr>
        <w:spacing w:line="520" w:lineRule="exact"/>
        <w:rPr>
          <w:rFonts w:hint="eastAsia" w:ascii="仿宋" w:hAnsi="仿宋" w:eastAsia="仿宋" w:cs="仿宋"/>
          <w:b/>
          <w:color w:val="auto"/>
        </w:rPr>
      </w:pP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bidi w:val="0"/>
        <w:jc w:val="center"/>
        <w:outlineLvl w:val="1"/>
        <w:rPr>
          <w:rFonts w:hint="eastAsia" w:ascii="仿宋" w:hAnsi="仿宋" w:eastAsia="仿宋" w:cs="仿宋"/>
          <w:color w:val="auto"/>
          <w:sz w:val="32"/>
          <w:szCs w:val="32"/>
        </w:rPr>
      </w:pPr>
      <w:r>
        <w:rPr>
          <w:rFonts w:hint="eastAsia" w:ascii="仿宋" w:hAnsi="仿宋" w:eastAsia="仿宋" w:cs="仿宋"/>
          <w:b/>
          <w:color w:val="auto"/>
          <w:sz w:val="28"/>
          <w:szCs w:val="28"/>
        </w:rPr>
        <w:t>第六</w:t>
      </w:r>
      <w:r>
        <w:rPr>
          <w:rFonts w:hint="eastAsia" w:ascii="仿宋" w:hAnsi="仿宋" w:eastAsia="仿宋" w:cs="仿宋"/>
          <w:b/>
          <w:bCs/>
          <w:color w:val="auto"/>
          <w:sz w:val="28"/>
          <w:szCs w:val="28"/>
        </w:rPr>
        <w:t xml:space="preserve">章 </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响应方案</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一、商务响应；</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二、技术服务方案；</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三、人员配备；</w:t>
      </w:r>
    </w:p>
    <w:p>
      <w:pPr>
        <w:spacing w:line="360" w:lineRule="auto"/>
        <w:jc w:val="both"/>
        <w:outlineLvl w:val="9"/>
        <w:rPr>
          <w:rFonts w:hint="default" w:ascii="仿宋" w:hAnsi="仿宋" w:eastAsia="仿宋" w:cs="仿宋"/>
          <w:color w:val="auto"/>
          <w:lang w:val="en-US" w:eastAsia="zh-CN"/>
        </w:rPr>
      </w:pPr>
      <w:r>
        <w:rPr>
          <w:rFonts w:hint="eastAsia" w:ascii="仿宋" w:hAnsi="仿宋" w:eastAsia="仿宋" w:cs="仿宋"/>
          <w:color w:val="auto"/>
          <w:lang w:val="en-US" w:eastAsia="zh-CN"/>
        </w:rPr>
        <w:t>四、质量保证；</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五、供应商认为有必要说明的问题。</w:t>
      </w:r>
    </w:p>
    <w:p>
      <w:pPr>
        <w:spacing w:line="360" w:lineRule="auto"/>
        <w:outlineLvl w:val="9"/>
        <w:rPr>
          <w:rFonts w:hint="eastAsia" w:ascii="仿宋" w:hAnsi="仿宋" w:eastAsia="仿宋" w:cs="仿宋"/>
          <w:b/>
          <w:bCs/>
          <w:color w:val="auto"/>
          <w:sz w:val="24"/>
          <w:szCs w:val="24"/>
        </w:rPr>
      </w:pPr>
    </w:p>
    <w:p>
      <w:pPr>
        <w:spacing w:line="360" w:lineRule="auto"/>
        <w:outlineLvl w:val="9"/>
        <w:rPr>
          <w:rFonts w:hint="eastAsia" w:ascii="仿宋" w:hAnsi="仿宋" w:eastAsia="仿宋" w:cs="仿宋"/>
          <w:b/>
          <w:bCs/>
          <w:color w:val="auto"/>
          <w:sz w:val="44"/>
          <w:szCs w:val="44"/>
        </w:rPr>
      </w:pPr>
      <w:r>
        <w:rPr>
          <w:rFonts w:hint="eastAsia" w:ascii="仿宋" w:hAnsi="仿宋" w:eastAsia="仿宋" w:cs="仿宋"/>
          <w:b/>
          <w:bCs/>
          <w:color w:val="auto"/>
          <w:sz w:val="24"/>
          <w:szCs w:val="24"/>
        </w:rPr>
        <w:t>注：供应商依据本项目实际情况，按竞争性磋商文件打分要求自拟</w:t>
      </w:r>
      <w:r>
        <w:rPr>
          <w:rFonts w:hint="eastAsia" w:ascii="仿宋" w:hAnsi="仿宋" w:eastAsia="仿宋" w:cs="仿宋"/>
          <w:b/>
          <w:bCs/>
          <w:color w:val="auto"/>
          <w:sz w:val="24"/>
          <w:szCs w:val="24"/>
          <w:lang w:eastAsia="zh-CN"/>
        </w:rPr>
        <w:t>。（详见</w:t>
      </w:r>
      <w:r>
        <w:rPr>
          <w:rFonts w:hint="eastAsia" w:ascii="仿宋" w:hAnsi="仿宋" w:eastAsia="仿宋" w:cs="仿宋"/>
          <w:b/>
          <w:bCs/>
          <w:color w:val="auto"/>
          <w:sz w:val="24"/>
          <w:szCs w:val="24"/>
        </w:rPr>
        <w:t>磋商文件的内容及评分细则等并编写</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w:t>
      </w:r>
    </w:p>
    <w:p>
      <w:pPr>
        <w:spacing w:line="360" w:lineRule="auto"/>
        <w:jc w:val="center"/>
        <w:outlineLvl w:val="9"/>
        <w:rPr>
          <w:rFonts w:hint="eastAsia" w:ascii="仿宋" w:hAnsi="仿宋" w:eastAsia="仿宋" w:cs="仿宋"/>
          <w:b/>
          <w:bCs/>
          <w:color w:val="auto"/>
          <w:sz w:val="44"/>
          <w:szCs w:val="44"/>
        </w:rPr>
      </w:pPr>
    </w:p>
    <w:p>
      <w:pPr>
        <w:spacing w:line="360" w:lineRule="auto"/>
        <w:jc w:val="center"/>
        <w:outlineLvl w:val="9"/>
        <w:rPr>
          <w:rFonts w:hint="eastAsia" w:ascii="仿宋" w:hAnsi="仿宋" w:eastAsia="仿宋" w:cs="仿宋"/>
          <w:b/>
          <w:bCs/>
          <w:color w:val="auto"/>
          <w:sz w:val="44"/>
          <w:szCs w:val="44"/>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spacing w:line="600" w:lineRule="exact"/>
        <w:jc w:val="center"/>
        <w:outlineLvl w:val="9"/>
        <w:rPr>
          <w:rFonts w:hint="eastAsia" w:ascii="仿宋" w:hAnsi="仿宋" w:eastAsia="仿宋" w:cs="仿宋"/>
          <w:b/>
          <w:bCs/>
          <w:color w:val="auto"/>
          <w:sz w:val="28"/>
          <w:szCs w:val="28"/>
        </w:rPr>
      </w:pPr>
    </w:p>
    <w:p>
      <w:pPr>
        <w:spacing w:line="600" w:lineRule="exact"/>
        <w:jc w:val="center"/>
        <w:outlineLvl w:val="9"/>
        <w:rPr>
          <w:rFonts w:hint="eastAsia" w:ascii="仿宋" w:hAnsi="仿宋" w:eastAsia="仿宋" w:cs="仿宋"/>
          <w:b/>
          <w:bCs/>
          <w:color w:val="auto"/>
          <w:sz w:val="28"/>
          <w:szCs w:val="28"/>
        </w:rPr>
      </w:pPr>
    </w:p>
    <w:p>
      <w:pP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br w:type="page"/>
      </w:r>
    </w:p>
    <w:p>
      <w:pPr>
        <w:bidi w:val="0"/>
        <w:jc w:val="center"/>
        <w:outlineLvl w:val="1"/>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第七章</w:t>
      </w:r>
      <w:r>
        <w:rPr>
          <w:rFonts w:hint="eastAsia" w:ascii="仿宋" w:hAnsi="仿宋" w:eastAsia="仿宋" w:cs="仿宋"/>
          <w:b/>
          <w:bCs/>
          <w:color w:val="auto"/>
          <w:sz w:val="28"/>
          <w:szCs w:val="28"/>
          <w:lang w:val="en-US" w:eastAsia="zh-CN"/>
        </w:rPr>
        <w:t xml:space="preserve">  项目业绩一览表</w:t>
      </w:r>
      <w:r>
        <w:rPr>
          <w:rFonts w:hint="eastAsia" w:ascii="仿宋" w:hAnsi="仿宋" w:eastAsia="仿宋" w:cs="仿宋"/>
          <w:b/>
          <w:bCs/>
          <w:color w:val="auto"/>
          <w:sz w:val="24"/>
          <w:szCs w:val="24"/>
          <w:lang w:val="en-US" w:eastAsia="zh-CN"/>
        </w:rPr>
        <w:t>（如有）</w:t>
      </w:r>
      <w:r>
        <w:rPr>
          <w:rFonts w:hint="eastAsia" w:ascii="仿宋" w:hAnsi="仿宋" w:eastAsia="仿宋" w:cs="仿宋"/>
          <w:b/>
          <w:bCs/>
          <w:color w:val="auto"/>
          <w:sz w:val="28"/>
          <w:szCs w:val="28"/>
          <w:lang w:val="en-US" w:eastAsia="zh-CN"/>
        </w:rPr>
        <w:t xml:space="preserve"> </w:t>
      </w:r>
    </w:p>
    <w:p>
      <w:pPr>
        <w:bidi w:val="0"/>
        <w:jc w:val="center"/>
        <w:outlineLvl w:val="9"/>
        <w:rPr>
          <w:rFonts w:hint="eastAsia" w:ascii="仿宋" w:hAnsi="仿宋" w:eastAsia="仿宋" w:cs="仿宋"/>
          <w:b/>
          <w:bCs/>
          <w:color w:val="auto"/>
          <w:sz w:val="28"/>
          <w:szCs w:val="28"/>
        </w:rPr>
      </w:pP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510"/>
        <w:gridCol w:w="1809"/>
        <w:gridCol w:w="1175"/>
        <w:gridCol w:w="1426"/>
        <w:gridCol w:w="1293"/>
        <w:gridCol w:w="1099"/>
        <w:gridCol w:w="109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57" w:hRule="atLeast"/>
          <w:jc w:val="center"/>
        </w:trPr>
        <w:tc>
          <w:tcPr>
            <w:tcW w:w="303" w:type="pct"/>
            <w:tcBorders>
              <w:top w:val="single" w:color="auto" w:sz="4"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1075"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合同名称</w:t>
            </w:r>
          </w:p>
        </w:tc>
        <w:tc>
          <w:tcPr>
            <w:tcW w:w="698"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合同内容</w:t>
            </w:r>
          </w:p>
        </w:tc>
        <w:tc>
          <w:tcPr>
            <w:tcW w:w="847"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rPr>
              <w:t>合同金额</w:t>
            </w:r>
            <w:r>
              <w:rPr>
                <w:rFonts w:hint="eastAsia" w:ascii="仿宋" w:hAnsi="仿宋" w:eastAsia="仿宋" w:cs="仿宋"/>
                <w:color w:val="auto"/>
                <w:sz w:val="24"/>
                <w:lang w:eastAsia="zh-CN"/>
              </w:rPr>
              <w:t>（元）</w:t>
            </w:r>
          </w:p>
        </w:tc>
        <w:tc>
          <w:tcPr>
            <w:tcW w:w="768" w:type="pct"/>
            <w:tcBorders>
              <w:top w:val="single" w:color="auto" w:sz="4"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合同签约日期</w:t>
            </w:r>
          </w:p>
        </w:tc>
        <w:tc>
          <w:tcPr>
            <w:tcW w:w="653" w:type="pct"/>
            <w:tcBorders>
              <w:top w:val="single" w:color="auto" w:sz="4" w:space="0"/>
              <w:left w:val="single" w:color="auto" w:sz="4" w:space="0"/>
              <w:bottom w:val="single" w:color="auto" w:sz="6" w:space="0"/>
              <w:right w:val="single" w:color="auto" w:sz="4" w:space="0"/>
            </w:tcBorders>
            <w:noWrap w:val="0"/>
            <w:vAlign w:val="center"/>
          </w:tcPr>
          <w:p>
            <w:pPr>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完成质量</w:t>
            </w:r>
          </w:p>
        </w:tc>
        <w:tc>
          <w:tcPr>
            <w:tcW w:w="653" w:type="pct"/>
            <w:tcBorders>
              <w:top w:val="single" w:color="auto" w:sz="4" w:space="0"/>
              <w:left w:val="single" w:color="auto" w:sz="4" w:space="0"/>
              <w:bottom w:val="single" w:color="auto" w:sz="6" w:space="0"/>
              <w:right w:val="single" w:color="auto" w:sz="4"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bl>
    <w:p>
      <w:pPr>
        <w:bidi w:val="0"/>
        <w:jc w:val="center"/>
        <w:outlineLvl w:val="9"/>
        <w:rPr>
          <w:rFonts w:hint="eastAsia" w:ascii="仿宋" w:hAnsi="仿宋" w:eastAsia="仿宋" w:cs="仿宋"/>
          <w:b/>
          <w:bCs/>
          <w:color w:val="auto"/>
          <w:sz w:val="28"/>
          <w:szCs w:val="28"/>
        </w:rPr>
      </w:pPr>
    </w:p>
    <w:p>
      <w:pPr>
        <w:pStyle w:val="35"/>
        <w:rPr>
          <w:rFonts w:hint="eastAsia" w:ascii="仿宋" w:hAnsi="仿宋" w:eastAsia="仿宋" w:cs="仿宋"/>
          <w:b/>
          <w:bCs/>
          <w:color w:val="auto"/>
          <w:sz w:val="28"/>
          <w:szCs w:val="28"/>
        </w:rPr>
      </w:pPr>
    </w:p>
    <w:p>
      <w:pPr>
        <w:spacing w:line="360" w:lineRule="auto"/>
        <w:jc w:val="left"/>
        <w:outlineLvl w:val="9"/>
        <w:rPr>
          <w:rFonts w:hint="eastAsia" w:ascii="仿宋" w:hAnsi="仿宋" w:eastAsia="仿宋" w:cs="仿宋"/>
          <w:b/>
          <w:bCs/>
          <w:color w:val="auto"/>
          <w:sz w:val="44"/>
          <w:szCs w:val="44"/>
        </w:rPr>
      </w:pPr>
      <w:r>
        <w:rPr>
          <w:rFonts w:hint="eastAsia" w:ascii="仿宋" w:hAnsi="仿宋" w:eastAsia="仿宋" w:cs="仿宋"/>
          <w:b/>
          <w:bCs/>
          <w:color w:val="auto"/>
          <w:sz w:val="24"/>
          <w:szCs w:val="24"/>
        </w:rPr>
        <w:t>注：投标人应填写“项目业绩一览表”，并附上符合评分标准要求的业绩证明材料复印件。</w:t>
      </w:r>
    </w:p>
    <w:p>
      <w:pPr>
        <w:spacing w:line="360" w:lineRule="auto"/>
        <w:jc w:val="center"/>
        <w:outlineLvl w:val="9"/>
        <w:rPr>
          <w:rFonts w:hint="eastAsia" w:ascii="仿宋" w:hAnsi="仿宋" w:eastAsia="仿宋" w:cs="仿宋"/>
          <w:b/>
          <w:bCs/>
          <w:color w:val="auto"/>
          <w:sz w:val="44"/>
          <w:szCs w:val="44"/>
        </w:rPr>
      </w:pPr>
    </w:p>
    <w:p>
      <w:pPr>
        <w:rPr>
          <w:rFonts w:hint="eastAsia" w:ascii="仿宋" w:hAnsi="仿宋" w:eastAsia="仿宋" w:cs="仿宋"/>
          <w:color w:val="auto"/>
          <w:sz w:val="28"/>
          <w:szCs w:val="28"/>
        </w:rPr>
      </w:pPr>
    </w:p>
    <w:p>
      <w:pPr>
        <w:ind w:firstLine="4320" w:firstLineChars="1800"/>
        <w:rPr>
          <w:rFonts w:hint="eastAsia" w:ascii="仿宋" w:hAnsi="仿宋" w:eastAsia="仿宋" w:cs="仿宋"/>
          <w:color w:val="auto"/>
          <w:sz w:val="24"/>
        </w:rPr>
      </w:pPr>
      <w:r>
        <w:rPr>
          <w:rFonts w:hint="eastAsia" w:ascii="仿宋" w:hAnsi="仿宋" w:eastAsia="仿宋" w:cs="仿宋"/>
          <w:color w:val="auto"/>
          <w:sz w:val="24"/>
        </w:rPr>
        <w:t>供应商（公章）：</w:t>
      </w:r>
    </w:p>
    <w:p>
      <w:pPr>
        <w:rPr>
          <w:rFonts w:hint="eastAsia" w:ascii="仿宋" w:hAnsi="仿宋" w:eastAsia="仿宋" w:cs="仿宋"/>
          <w:color w:val="auto"/>
          <w:sz w:val="24"/>
        </w:rPr>
      </w:pPr>
    </w:p>
    <w:p>
      <w:pPr>
        <w:rPr>
          <w:rFonts w:hint="eastAsia" w:ascii="仿宋" w:hAnsi="仿宋" w:eastAsia="仿宋" w:cs="仿宋"/>
          <w:color w:val="auto"/>
          <w:sz w:val="24"/>
        </w:rPr>
      </w:pPr>
      <w:r>
        <w:rPr>
          <w:rFonts w:hint="eastAsia" w:ascii="仿宋" w:hAnsi="仿宋" w:eastAsia="仿宋" w:cs="仿宋"/>
          <w:color w:val="auto"/>
          <w:sz w:val="24"/>
        </w:rPr>
        <w:t xml:space="preserve">              </w:t>
      </w:r>
    </w:p>
    <w:p>
      <w:pPr>
        <w:ind w:firstLine="4320" w:firstLineChars="1800"/>
        <w:rPr>
          <w:rFonts w:hint="eastAsia" w:ascii="仿宋" w:hAnsi="仿宋" w:eastAsia="仿宋" w:cs="仿宋"/>
          <w:color w:val="auto"/>
          <w:sz w:val="24"/>
        </w:rPr>
      </w:pPr>
      <w:r>
        <w:rPr>
          <w:rFonts w:hint="eastAsia" w:ascii="仿宋" w:hAnsi="仿宋" w:eastAsia="仿宋" w:cs="仿宋"/>
          <w:color w:val="auto"/>
          <w:sz w:val="24"/>
        </w:rPr>
        <w:t>法定代表人或授权</w:t>
      </w:r>
      <w:r>
        <w:rPr>
          <w:rFonts w:hint="eastAsia" w:ascii="仿宋" w:hAnsi="仿宋" w:eastAsia="仿宋" w:cs="仿宋"/>
          <w:color w:val="auto"/>
          <w:sz w:val="24"/>
          <w:lang w:eastAsia="zh-CN"/>
        </w:rPr>
        <w:t>代表</w:t>
      </w:r>
      <w:r>
        <w:rPr>
          <w:rFonts w:hint="eastAsia" w:ascii="仿宋" w:hAnsi="仿宋" w:eastAsia="仿宋" w:cs="仿宋"/>
          <w:color w:val="auto"/>
          <w:sz w:val="24"/>
        </w:rPr>
        <w:t>（签字或盖章）：</w:t>
      </w:r>
    </w:p>
    <w:p>
      <w:pPr>
        <w:pStyle w:val="35"/>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pStyle w:val="18"/>
        <w:ind w:left="0" w:leftChars="0" w:firstLine="0" w:firstLineChars="0"/>
        <w:rPr>
          <w:rFonts w:hint="eastAsia" w:ascii="仿宋" w:hAnsi="仿宋" w:eastAsia="仿宋" w:cs="仿宋"/>
          <w:color w:va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top w:val="single" w:color="auto" w:sz="4" w:space="0"/>
      </w:pBdr>
      <w:rPr>
        <w:rStyle w:val="31"/>
        <w:rFonts w:hint="default" w:ascii="Times New Roman" w:hAnsi="Times New Roman"/>
        <w:i/>
        <w:lang w:val="en-US"/>
      </w:rPr>
    </w:pPr>
    <w:r>
      <w:rPr>
        <w:rStyle w:val="31"/>
        <w:rFonts w:hint="eastAsia"/>
        <w:i/>
      </w:rPr>
      <w:t xml:space="preserve">                                             </w:t>
    </w:r>
    <w:r>
      <w:rPr>
        <w:rStyle w:val="31"/>
        <w:rFonts w:hint="eastAsia"/>
        <w:i/>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top w:val="single" w:color="auto" w:sz="4" w:space="0"/>
      </w:pBdr>
      <w:rPr>
        <w:rStyle w:val="31"/>
        <w:rFonts w:hint="default" w:ascii="Times New Roman" w:hAnsi="Times New Roman" w:cs="Times New Roman"/>
        <w:i/>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fupl/LAQAAnAMAAA4AAAAAAAAAAQAgAAAAHgEAAGRycy9lMm9E&#10;b2MueG1sUEsFBgAAAAAGAAYAWQEAAFsFAAAAAA==&#10;">
              <v:fill on="f" focussize="0,0"/>
              <v:stroke on="f"/>
              <v:imagedata o:title=""/>
              <o:lock v:ext="edit" aspectratio="f"/>
              <v:textbox inset="0mm,0mm,0mm,0mm" style="mso-fit-shape-to-text:t;">
                <w:txbxContent>
                  <w:p>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r>
      <w:rPr>
        <w:rStyle w:val="31"/>
        <w:rFonts w:hint="eastAsia"/>
        <w:i/>
        <w:lang w:val="en-US" w:eastAsia="zh-CN"/>
      </w:rPr>
      <w:t>宏泰项目管理有限公司</w:t>
    </w:r>
    <w:r>
      <w:rPr>
        <w:rStyle w:val="31"/>
        <w:rFonts w:hint="eastAsia"/>
        <w:i/>
      </w:rPr>
      <w:t xml:space="preserve">                                   </w:t>
    </w:r>
    <w:r>
      <w:rPr>
        <w:rStyle w:val="31"/>
        <w:rFonts w:hint="eastAsia" w:ascii="Times New Roman" w:hAnsi="Times New Roman" w:cs="Times New Roman"/>
        <w:i/>
        <w:lang w:val="en-US" w:eastAsia="zh-CN"/>
      </w:rPr>
      <w:t xml:space="preserve">             平利县城关镇莲花巷19号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TcacsBAACcAwAADgAAAGRycy9lMm9Eb2MueG1srVNLbtswEN0XyB0I&#10;7mPKWhSu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p03GnLAQAAnAMAAA4AAAAAAAAAAQAgAAAAHgEAAGRycy9lMm9E&#10;b2MueG1sUEsFBgAAAAAGAAYAWQEAAFsFAAAAAA==&#10;">
              <v:fill on="f" focussize="0,0"/>
              <v:stroke on="f"/>
              <v:imagedata o:title=""/>
              <o:lock v:ext="edit" aspectratio="f"/>
              <v:textbox inset="0mm,0mm,0mm,0mm" style="mso-fit-shape-to-text:t;">
                <w:txbxContent>
                  <w:p>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eastAsia="宋体"/>
        <w:i/>
        <w:lang w:val="en-US" w:eastAsia="zh-CN"/>
      </w:rPr>
    </w:pPr>
    <w:r>
      <w:rPr>
        <w:rFonts w:hint="eastAsia"/>
        <w:i/>
        <w:lang w:val="en-US" w:eastAsia="zh-CN"/>
      </w:rPr>
      <w:t xml:space="preserve">                                                       平利县2026年公共数字文化云建设项目</w:t>
    </w:r>
    <w:r>
      <w:rPr>
        <w:rFonts w:hint="eastAsia"/>
        <w:i/>
        <w:color w:val="auto"/>
        <w:lang w:val="en-US" w:eastAsia="zh-CN"/>
      </w:rPr>
      <w:t xml:space="preserve">   </w:t>
    </w:r>
    <w:r>
      <w:rPr>
        <w:rFonts w:hint="eastAsia"/>
        <w:i/>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CFA2B1"/>
    <w:multiLevelType w:val="singleLevel"/>
    <w:tmpl w:val="B3CFA2B1"/>
    <w:lvl w:ilvl="0" w:tentative="0">
      <w:start w:val="1"/>
      <w:numFmt w:val="chineseCounting"/>
      <w:suff w:val="nothing"/>
      <w:lvlText w:val="%1、"/>
      <w:lvlJc w:val="left"/>
      <w:rPr>
        <w:rFonts w:hint="eastAsia"/>
      </w:rPr>
    </w:lvl>
  </w:abstractNum>
  <w:abstractNum w:abstractNumId="1">
    <w:nsid w:val="44F6A06C"/>
    <w:multiLevelType w:val="singleLevel"/>
    <w:tmpl w:val="44F6A06C"/>
    <w:lvl w:ilvl="0" w:tentative="0">
      <w:start w:val="1"/>
      <w:numFmt w:val="chineseCounting"/>
      <w:suff w:val="space"/>
      <w:lvlText w:val="第%1部分"/>
      <w:lvlJc w:val="left"/>
      <w:rPr>
        <w:rFonts w:hint="eastAsia"/>
        <w:sz w:val="28"/>
        <w:szCs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lZmMwMDU0ZGQ5NjJhNDhjYWZmNTgzMDdlZTQwMWMifQ=="/>
    <w:docVar w:name="KSO_WPS_MARK_KEY" w:val="7b41016b-7f0b-4b9a-b12a-18173d0c7777"/>
  </w:docVars>
  <w:rsids>
    <w:rsidRoot w:val="00BF6740"/>
    <w:rsid w:val="00000986"/>
    <w:rsid w:val="00001D02"/>
    <w:rsid w:val="00003A18"/>
    <w:rsid w:val="000044E6"/>
    <w:rsid w:val="00004520"/>
    <w:rsid w:val="0000666B"/>
    <w:rsid w:val="0001384F"/>
    <w:rsid w:val="00013AA9"/>
    <w:rsid w:val="00014522"/>
    <w:rsid w:val="00015B12"/>
    <w:rsid w:val="0001667B"/>
    <w:rsid w:val="000215F4"/>
    <w:rsid w:val="00022114"/>
    <w:rsid w:val="00023179"/>
    <w:rsid w:val="00023305"/>
    <w:rsid w:val="0002529E"/>
    <w:rsid w:val="00025C67"/>
    <w:rsid w:val="00030871"/>
    <w:rsid w:val="00035775"/>
    <w:rsid w:val="00040476"/>
    <w:rsid w:val="000412EC"/>
    <w:rsid w:val="0004292A"/>
    <w:rsid w:val="0004366A"/>
    <w:rsid w:val="000446C8"/>
    <w:rsid w:val="00044BED"/>
    <w:rsid w:val="0004506E"/>
    <w:rsid w:val="00051A3C"/>
    <w:rsid w:val="00051B14"/>
    <w:rsid w:val="00052FB3"/>
    <w:rsid w:val="000536B7"/>
    <w:rsid w:val="00055123"/>
    <w:rsid w:val="0005529C"/>
    <w:rsid w:val="0006257E"/>
    <w:rsid w:val="00063543"/>
    <w:rsid w:val="0006360A"/>
    <w:rsid w:val="0006451E"/>
    <w:rsid w:val="00064F20"/>
    <w:rsid w:val="00065E0C"/>
    <w:rsid w:val="0006664A"/>
    <w:rsid w:val="00071334"/>
    <w:rsid w:val="00071529"/>
    <w:rsid w:val="00071859"/>
    <w:rsid w:val="00072803"/>
    <w:rsid w:val="000734B5"/>
    <w:rsid w:val="00073CB4"/>
    <w:rsid w:val="000810B0"/>
    <w:rsid w:val="00082697"/>
    <w:rsid w:val="00083316"/>
    <w:rsid w:val="000835CC"/>
    <w:rsid w:val="000952D3"/>
    <w:rsid w:val="00095D6E"/>
    <w:rsid w:val="00096958"/>
    <w:rsid w:val="00096BF9"/>
    <w:rsid w:val="00097652"/>
    <w:rsid w:val="000A06AC"/>
    <w:rsid w:val="000A1203"/>
    <w:rsid w:val="000A1D62"/>
    <w:rsid w:val="000A3A71"/>
    <w:rsid w:val="000A446B"/>
    <w:rsid w:val="000A5F32"/>
    <w:rsid w:val="000B0D64"/>
    <w:rsid w:val="000B3164"/>
    <w:rsid w:val="000B495B"/>
    <w:rsid w:val="000B4BAD"/>
    <w:rsid w:val="000B5418"/>
    <w:rsid w:val="000B5866"/>
    <w:rsid w:val="000B5E07"/>
    <w:rsid w:val="000B7E9F"/>
    <w:rsid w:val="000C0188"/>
    <w:rsid w:val="000C3C49"/>
    <w:rsid w:val="000C7E7C"/>
    <w:rsid w:val="000D1803"/>
    <w:rsid w:val="000D25C6"/>
    <w:rsid w:val="000D4EE2"/>
    <w:rsid w:val="000D528A"/>
    <w:rsid w:val="000D73AF"/>
    <w:rsid w:val="000E0D54"/>
    <w:rsid w:val="000E1EEA"/>
    <w:rsid w:val="000E25B7"/>
    <w:rsid w:val="000E3B52"/>
    <w:rsid w:val="000E6011"/>
    <w:rsid w:val="000E62CE"/>
    <w:rsid w:val="000F0D1F"/>
    <w:rsid w:val="000F259D"/>
    <w:rsid w:val="000F355E"/>
    <w:rsid w:val="000F3F3F"/>
    <w:rsid w:val="000F5A9F"/>
    <w:rsid w:val="001002A4"/>
    <w:rsid w:val="00100B16"/>
    <w:rsid w:val="00102BB3"/>
    <w:rsid w:val="001031E4"/>
    <w:rsid w:val="00103453"/>
    <w:rsid w:val="00104748"/>
    <w:rsid w:val="00106835"/>
    <w:rsid w:val="0011420A"/>
    <w:rsid w:val="00114483"/>
    <w:rsid w:val="00120434"/>
    <w:rsid w:val="0012623A"/>
    <w:rsid w:val="00126E00"/>
    <w:rsid w:val="001300E9"/>
    <w:rsid w:val="00130C33"/>
    <w:rsid w:val="00131169"/>
    <w:rsid w:val="00134C6A"/>
    <w:rsid w:val="00136057"/>
    <w:rsid w:val="0013616D"/>
    <w:rsid w:val="001363A0"/>
    <w:rsid w:val="00136EBC"/>
    <w:rsid w:val="00137A85"/>
    <w:rsid w:val="00140831"/>
    <w:rsid w:val="00140EB2"/>
    <w:rsid w:val="00141409"/>
    <w:rsid w:val="00141F94"/>
    <w:rsid w:val="0014294E"/>
    <w:rsid w:val="00146CC0"/>
    <w:rsid w:val="001479E1"/>
    <w:rsid w:val="00150197"/>
    <w:rsid w:val="00150CFF"/>
    <w:rsid w:val="00151821"/>
    <w:rsid w:val="00153DE1"/>
    <w:rsid w:val="00155280"/>
    <w:rsid w:val="00156774"/>
    <w:rsid w:val="00156FF1"/>
    <w:rsid w:val="00160262"/>
    <w:rsid w:val="0016082C"/>
    <w:rsid w:val="00161160"/>
    <w:rsid w:val="001632D5"/>
    <w:rsid w:val="00164DC4"/>
    <w:rsid w:val="00165BD6"/>
    <w:rsid w:val="00166646"/>
    <w:rsid w:val="00166F53"/>
    <w:rsid w:val="00171316"/>
    <w:rsid w:val="001752B4"/>
    <w:rsid w:val="00176B80"/>
    <w:rsid w:val="001802A2"/>
    <w:rsid w:val="00180689"/>
    <w:rsid w:val="00180A43"/>
    <w:rsid w:val="001821EB"/>
    <w:rsid w:val="00182663"/>
    <w:rsid w:val="0018638C"/>
    <w:rsid w:val="0018659B"/>
    <w:rsid w:val="0018706E"/>
    <w:rsid w:val="00187100"/>
    <w:rsid w:val="00190052"/>
    <w:rsid w:val="001902EA"/>
    <w:rsid w:val="00191287"/>
    <w:rsid w:val="001916C8"/>
    <w:rsid w:val="0019195A"/>
    <w:rsid w:val="00192FE0"/>
    <w:rsid w:val="00194EC8"/>
    <w:rsid w:val="001975CD"/>
    <w:rsid w:val="001A3EEE"/>
    <w:rsid w:val="001A4A86"/>
    <w:rsid w:val="001A76B7"/>
    <w:rsid w:val="001A7CCF"/>
    <w:rsid w:val="001A7D75"/>
    <w:rsid w:val="001B1ADD"/>
    <w:rsid w:val="001B4EF3"/>
    <w:rsid w:val="001B61DA"/>
    <w:rsid w:val="001B6909"/>
    <w:rsid w:val="001B6F29"/>
    <w:rsid w:val="001B7376"/>
    <w:rsid w:val="001B7466"/>
    <w:rsid w:val="001C0D86"/>
    <w:rsid w:val="001C3613"/>
    <w:rsid w:val="001C3B6F"/>
    <w:rsid w:val="001C6D11"/>
    <w:rsid w:val="001C7322"/>
    <w:rsid w:val="001D030A"/>
    <w:rsid w:val="001D1B51"/>
    <w:rsid w:val="001D2F2D"/>
    <w:rsid w:val="001D4C85"/>
    <w:rsid w:val="001D70A0"/>
    <w:rsid w:val="001E0951"/>
    <w:rsid w:val="001E2F0C"/>
    <w:rsid w:val="001E3914"/>
    <w:rsid w:val="001E4021"/>
    <w:rsid w:val="001E61F4"/>
    <w:rsid w:val="001F0492"/>
    <w:rsid w:val="001F0FA8"/>
    <w:rsid w:val="001F1A54"/>
    <w:rsid w:val="001F318E"/>
    <w:rsid w:val="001F43E8"/>
    <w:rsid w:val="001F4D47"/>
    <w:rsid w:val="001F6DAE"/>
    <w:rsid w:val="00203A3B"/>
    <w:rsid w:val="00205CD2"/>
    <w:rsid w:val="00205FAC"/>
    <w:rsid w:val="0020660D"/>
    <w:rsid w:val="0020683D"/>
    <w:rsid w:val="002103B1"/>
    <w:rsid w:val="00210F07"/>
    <w:rsid w:val="00211542"/>
    <w:rsid w:val="00213639"/>
    <w:rsid w:val="00213C47"/>
    <w:rsid w:val="0021458A"/>
    <w:rsid w:val="00220298"/>
    <w:rsid w:val="00220D93"/>
    <w:rsid w:val="00220EC9"/>
    <w:rsid w:val="0022434E"/>
    <w:rsid w:val="00225347"/>
    <w:rsid w:val="00226560"/>
    <w:rsid w:val="002277EB"/>
    <w:rsid w:val="00227A00"/>
    <w:rsid w:val="00227A14"/>
    <w:rsid w:val="00233019"/>
    <w:rsid w:val="00233199"/>
    <w:rsid w:val="0023352F"/>
    <w:rsid w:val="00233805"/>
    <w:rsid w:val="002345B0"/>
    <w:rsid w:val="00234A65"/>
    <w:rsid w:val="002359D4"/>
    <w:rsid w:val="00237881"/>
    <w:rsid w:val="002407F4"/>
    <w:rsid w:val="002416D0"/>
    <w:rsid w:val="002417C6"/>
    <w:rsid w:val="00241CC8"/>
    <w:rsid w:val="00242026"/>
    <w:rsid w:val="002424EC"/>
    <w:rsid w:val="00242EE9"/>
    <w:rsid w:val="0024306E"/>
    <w:rsid w:val="00243448"/>
    <w:rsid w:val="00247D3D"/>
    <w:rsid w:val="00247DA8"/>
    <w:rsid w:val="00254B05"/>
    <w:rsid w:val="00257132"/>
    <w:rsid w:val="00257AB5"/>
    <w:rsid w:val="00261C2C"/>
    <w:rsid w:val="002624DF"/>
    <w:rsid w:val="002628BE"/>
    <w:rsid w:val="00265865"/>
    <w:rsid w:val="0026759C"/>
    <w:rsid w:val="00270ADC"/>
    <w:rsid w:val="00271832"/>
    <w:rsid w:val="0027234B"/>
    <w:rsid w:val="00274741"/>
    <w:rsid w:val="00275858"/>
    <w:rsid w:val="00277A9A"/>
    <w:rsid w:val="00283012"/>
    <w:rsid w:val="0028419B"/>
    <w:rsid w:val="002842D0"/>
    <w:rsid w:val="002867A0"/>
    <w:rsid w:val="00287818"/>
    <w:rsid w:val="00287F72"/>
    <w:rsid w:val="002917AF"/>
    <w:rsid w:val="0029188A"/>
    <w:rsid w:val="0029239B"/>
    <w:rsid w:val="00293E5B"/>
    <w:rsid w:val="00296D67"/>
    <w:rsid w:val="002977ED"/>
    <w:rsid w:val="002A05D2"/>
    <w:rsid w:val="002A10FA"/>
    <w:rsid w:val="002A40CA"/>
    <w:rsid w:val="002A5A51"/>
    <w:rsid w:val="002A62C0"/>
    <w:rsid w:val="002A707D"/>
    <w:rsid w:val="002A78C9"/>
    <w:rsid w:val="002B01F5"/>
    <w:rsid w:val="002B068D"/>
    <w:rsid w:val="002B139C"/>
    <w:rsid w:val="002B1EBB"/>
    <w:rsid w:val="002B4F17"/>
    <w:rsid w:val="002B55B2"/>
    <w:rsid w:val="002B58FD"/>
    <w:rsid w:val="002C0439"/>
    <w:rsid w:val="002C0DB8"/>
    <w:rsid w:val="002C1A3A"/>
    <w:rsid w:val="002C29F1"/>
    <w:rsid w:val="002C35A4"/>
    <w:rsid w:val="002C40B0"/>
    <w:rsid w:val="002C4799"/>
    <w:rsid w:val="002C4C40"/>
    <w:rsid w:val="002C4F8D"/>
    <w:rsid w:val="002C5E50"/>
    <w:rsid w:val="002C6445"/>
    <w:rsid w:val="002C7E1B"/>
    <w:rsid w:val="002D1605"/>
    <w:rsid w:val="002D2F01"/>
    <w:rsid w:val="002D32DD"/>
    <w:rsid w:val="002D350E"/>
    <w:rsid w:val="002D6C71"/>
    <w:rsid w:val="002D6CF1"/>
    <w:rsid w:val="002E05B0"/>
    <w:rsid w:val="002E0695"/>
    <w:rsid w:val="002E124B"/>
    <w:rsid w:val="002E5D10"/>
    <w:rsid w:val="002F09C8"/>
    <w:rsid w:val="002F1623"/>
    <w:rsid w:val="002F3781"/>
    <w:rsid w:val="002F3D7E"/>
    <w:rsid w:val="002F56C5"/>
    <w:rsid w:val="002F5748"/>
    <w:rsid w:val="002F5B93"/>
    <w:rsid w:val="002F5FD6"/>
    <w:rsid w:val="002F63D3"/>
    <w:rsid w:val="002F763B"/>
    <w:rsid w:val="00300F2A"/>
    <w:rsid w:val="003012EE"/>
    <w:rsid w:val="00302A6B"/>
    <w:rsid w:val="003033C1"/>
    <w:rsid w:val="003047A8"/>
    <w:rsid w:val="00304B71"/>
    <w:rsid w:val="00310A26"/>
    <w:rsid w:val="003129AB"/>
    <w:rsid w:val="00313D51"/>
    <w:rsid w:val="003149CC"/>
    <w:rsid w:val="00315F40"/>
    <w:rsid w:val="00316B54"/>
    <w:rsid w:val="00317014"/>
    <w:rsid w:val="00317774"/>
    <w:rsid w:val="00317A60"/>
    <w:rsid w:val="00323EE2"/>
    <w:rsid w:val="003259CB"/>
    <w:rsid w:val="0032758F"/>
    <w:rsid w:val="00327A71"/>
    <w:rsid w:val="00327CC8"/>
    <w:rsid w:val="00331A19"/>
    <w:rsid w:val="0033374F"/>
    <w:rsid w:val="00335099"/>
    <w:rsid w:val="003355D0"/>
    <w:rsid w:val="003417A2"/>
    <w:rsid w:val="00342B0C"/>
    <w:rsid w:val="003434E5"/>
    <w:rsid w:val="00343F99"/>
    <w:rsid w:val="003440CC"/>
    <w:rsid w:val="0034422C"/>
    <w:rsid w:val="00345BD1"/>
    <w:rsid w:val="00346C40"/>
    <w:rsid w:val="00351A62"/>
    <w:rsid w:val="0035300C"/>
    <w:rsid w:val="0035564D"/>
    <w:rsid w:val="0035684C"/>
    <w:rsid w:val="00357007"/>
    <w:rsid w:val="0035759B"/>
    <w:rsid w:val="0036068B"/>
    <w:rsid w:val="00360D7B"/>
    <w:rsid w:val="00365488"/>
    <w:rsid w:val="003659C9"/>
    <w:rsid w:val="00366C94"/>
    <w:rsid w:val="00370DDA"/>
    <w:rsid w:val="00371F90"/>
    <w:rsid w:val="00373578"/>
    <w:rsid w:val="00373CDE"/>
    <w:rsid w:val="00375457"/>
    <w:rsid w:val="003763E9"/>
    <w:rsid w:val="003800A1"/>
    <w:rsid w:val="00380706"/>
    <w:rsid w:val="00382198"/>
    <w:rsid w:val="00383D40"/>
    <w:rsid w:val="0038451E"/>
    <w:rsid w:val="003860E7"/>
    <w:rsid w:val="0039144B"/>
    <w:rsid w:val="00391F47"/>
    <w:rsid w:val="00392B06"/>
    <w:rsid w:val="00394724"/>
    <w:rsid w:val="00394AA3"/>
    <w:rsid w:val="00394F1B"/>
    <w:rsid w:val="003A2C64"/>
    <w:rsid w:val="003A2DDB"/>
    <w:rsid w:val="003A4302"/>
    <w:rsid w:val="003A46D9"/>
    <w:rsid w:val="003A6CD3"/>
    <w:rsid w:val="003A7C99"/>
    <w:rsid w:val="003B010A"/>
    <w:rsid w:val="003B1701"/>
    <w:rsid w:val="003B205F"/>
    <w:rsid w:val="003B2367"/>
    <w:rsid w:val="003B23F0"/>
    <w:rsid w:val="003B5949"/>
    <w:rsid w:val="003B6BCB"/>
    <w:rsid w:val="003B710D"/>
    <w:rsid w:val="003B76DD"/>
    <w:rsid w:val="003C0603"/>
    <w:rsid w:val="003C0ADC"/>
    <w:rsid w:val="003C2348"/>
    <w:rsid w:val="003C2E5B"/>
    <w:rsid w:val="003C3312"/>
    <w:rsid w:val="003C45E0"/>
    <w:rsid w:val="003C6645"/>
    <w:rsid w:val="003C6D3B"/>
    <w:rsid w:val="003C7B1A"/>
    <w:rsid w:val="003C7C72"/>
    <w:rsid w:val="003D0F33"/>
    <w:rsid w:val="003D2740"/>
    <w:rsid w:val="003D2EB8"/>
    <w:rsid w:val="003D31A4"/>
    <w:rsid w:val="003D39A0"/>
    <w:rsid w:val="003D43AD"/>
    <w:rsid w:val="003D4A33"/>
    <w:rsid w:val="003D535D"/>
    <w:rsid w:val="003D5748"/>
    <w:rsid w:val="003D5C54"/>
    <w:rsid w:val="003E0A7F"/>
    <w:rsid w:val="003E1C4E"/>
    <w:rsid w:val="003E3DA2"/>
    <w:rsid w:val="003E497B"/>
    <w:rsid w:val="003E5440"/>
    <w:rsid w:val="003E5BA9"/>
    <w:rsid w:val="003E65F1"/>
    <w:rsid w:val="003E703D"/>
    <w:rsid w:val="003E7513"/>
    <w:rsid w:val="003F17C1"/>
    <w:rsid w:val="003F2C4E"/>
    <w:rsid w:val="003F50DC"/>
    <w:rsid w:val="0040013D"/>
    <w:rsid w:val="00403817"/>
    <w:rsid w:val="0040422F"/>
    <w:rsid w:val="00404A24"/>
    <w:rsid w:val="00406C91"/>
    <w:rsid w:val="00406F44"/>
    <w:rsid w:val="00407A70"/>
    <w:rsid w:val="00407D24"/>
    <w:rsid w:val="00411E91"/>
    <w:rsid w:val="004132F2"/>
    <w:rsid w:val="00413591"/>
    <w:rsid w:val="00413F88"/>
    <w:rsid w:val="0041471B"/>
    <w:rsid w:val="0041513D"/>
    <w:rsid w:val="004154C4"/>
    <w:rsid w:val="004159D8"/>
    <w:rsid w:val="00415E9D"/>
    <w:rsid w:val="00416A20"/>
    <w:rsid w:val="0041731B"/>
    <w:rsid w:val="00421801"/>
    <w:rsid w:val="004222B1"/>
    <w:rsid w:val="004242A6"/>
    <w:rsid w:val="00424532"/>
    <w:rsid w:val="004258EC"/>
    <w:rsid w:val="00425E12"/>
    <w:rsid w:val="00426210"/>
    <w:rsid w:val="0042715C"/>
    <w:rsid w:val="0042728C"/>
    <w:rsid w:val="00430635"/>
    <w:rsid w:val="004312A6"/>
    <w:rsid w:val="0043348E"/>
    <w:rsid w:val="00433A95"/>
    <w:rsid w:val="00433C1E"/>
    <w:rsid w:val="00434F2C"/>
    <w:rsid w:val="00440C24"/>
    <w:rsid w:val="0044286E"/>
    <w:rsid w:val="00444F77"/>
    <w:rsid w:val="00444F98"/>
    <w:rsid w:val="0044575F"/>
    <w:rsid w:val="0044592A"/>
    <w:rsid w:val="00445DFA"/>
    <w:rsid w:val="00445EE2"/>
    <w:rsid w:val="0044697C"/>
    <w:rsid w:val="00447C8E"/>
    <w:rsid w:val="00451A77"/>
    <w:rsid w:val="00451C2D"/>
    <w:rsid w:val="00451DF2"/>
    <w:rsid w:val="00452F02"/>
    <w:rsid w:val="00453F16"/>
    <w:rsid w:val="00455C59"/>
    <w:rsid w:val="0045661A"/>
    <w:rsid w:val="004574E1"/>
    <w:rsid w:val="0045783C"/>
    <w:rsid w:val="0046028B"/>
    <w:rsid w:val="00462547"/>
    <w:rsid w:val="004625D7"/>
    <w:rsid w:val="00462805"/>
    <w:rsid w:val="004631CF"/>
    <w:rsid w:val="00466DAE"/>
    <w:rsid w:val="00467150"/>
    <w:rsid w:val="004707AD"/>
    <w:rsid w:val="004716FD"/>
    <w:rsid w:val="004750A9"/>
    <w:rsid w:val="00476431"/>
    <w:rsid w:val="004766FC"/>
    <w:rsid w:val="00476849"/>
    <w:rsid w:val="00476C52"/>
    <w:rsid w:val="00476F1F"/>
    <w:rsid w:val="00482155"/>
    <w:rsid w:val="00482232"/>
    <w:rsid w:val="00483315"/>
    <w:rsid w:val="00483D62"/>
    <w:rsid w:val="0048449E"/>
    <w:rsid w:val="00484C21"/>
    <w:rsid w:val="004875E6"/>
    <w:rsid w:val="00487DDF"/>
    <w:rsid w:val="00487F79"/>
    <w:rsid w:val="00490C5F"/>
    <w:rsid w:val="004910C9"/>
    <w:rsid w:val="00491F00"/>
    <w:rsid w:val="00495702"/>
    <w:rsid w:val="004959B8"/>
    <w:rsid w:val="00497C31"/>
    <w:rsid w:val="004A3034"/>
    <w:rsid w:val="004A37AB"/>
    <w:rsid w:val="004A726E"/>
    <w:rsid w:val="004B1794"/>
    <w:rsid w:val="004B22C4"/>
    <w:rsid w:val="004B2999"/>
    <w:rsid w:val="004B3823"/>
    <w:rsid w:val="004B419F"/>
    <w:rsid w:val="004B6D44"/>
    <w:rsid w:val="004C094F"/>
    <w:rsid w:val="004C178F"/>
    <w:rsid w:val="004C2041"/>
    <w:rsid w:val="004C48E8"/>
    <w:rsid w:val="004C54DC"/>
    <w:rsid w:val="004C582C"/>
    <w:rsid w:val="004C6A9B"/>
    <w:rsid w:val="004C7F4F"/>
    <w:rsid w:val="004D0A01"/>
    <w:rsid w:val="004D3E7D"/>
    <w:rsid w:val="004D3EF7"/>
    <w:rsid w:val="004D51E2"/>
    <w:rsid w:val="004D5DB4"/>
    <w:rsid w:val="004D6AB4"/>
    <w:rsid w:val="004E04E5"/>
    <w:rsid w:val="004E0E64"/>
    <w:rsid w:val="004E42F1"/>
    <w:rsid w:val="004E668A"/>
    <w:rsid w:val="004F0BCF"/>
    <w:rsid w:val="004F1D0D"/>
    <w:rsid w:val="004F2646"/>
    <w:rsid w:val="004F51CC"/>
    <w:rsid w:val="004F5ACD"/>
    <w:rsid w:val="005009F7"/>
    <w:rsid w:val="00502700"/>
    <w:rsid w:val="00502A58"/>
    <w:rsid w:val="00503F45"/>
    <w:rsid w:val="005060D6"/>
    <w:rsid w:val="00507582"/>
    <w:rsid w:val="00511FCB"/>
    <w:rsid w:val="00512D01"/>
    <w:rsid w:val="00516213"/>
    <w:rsid w:val="00517B0D"/>
    <w:rsid w:val="00517BF6"/>
    <w:rsid w:val="00522C45"/>
    <w:rsid w:val="005243C3"/>
    <w:rsid w:val="00524A77"/>
    <w:rsid w:val="0052796B"/>
    <w:rsid w:val="00530373"/>
    <w:rsid w:val="00534DE3"/>
    <w:rsid w:val="00536CC0"/>
    <w:rsid w:val="00537B29"/>
    <w:rsid w:val="00537E17"/>
    <w:rsid w:val="00542D65"/>
    <w:rsid w:val="00544573"/>
    <w:rsid w:val="005471AF"/>
    <w:rsid w:val="00550AD5"/>
    <w:rsid w:val="00550E23"/>
    <w:rsid w:val="0055227F"/>
    <w:rsid w:val="00552510"/>
    <w:rsid w:val="00552C78"/>
    <w:rsid w:val="00553631"/>
    <w:rsid w:val="005543A0"/>
    <w:rsid w:val="00555CE1"/>
    <w:rsid w:val="0055606F"/>
    <w:rsid w:val="005561F7"/>
    <w:rsid w:val="005571AC"/>
    <w:rsid w:val="00562750"/>
    <w:rsid w:val="005635C2"/>
    <w:rsid w:val="0056636D"/>
    <w:rsid w:val="00567A1E"/>
    <w:rsid w:val="00570985"/>
    <w:rsid w:val="0057100C"/>
    <w:rsid w:val="00572027"/>
    <w:rsid w:val="00572457"/>
    <w:rsid w:val="0057259B"/>
    <w:rsid w:val="00573CEE"/>
    <w:rsid w:val="00574550"/>
    <w:rsid w:val="0057478A"/>
    <w:rsid w:val="00575CF8"/>
    <w:rsid w:val="00580FFD"/>
    <w:rsid w:val="0058357C"/>
    <w:rsid w:val="0058710D"/>
    <w:rsid w:val="0059570E"/>
    <w:rsid w:val="00596C8F"/>
    <w:rsid w:val="0059717A"/>
    <w:rsid w:val="005975E2"/>
    <w:rsid w:val="005A02B3"/>
    <w:rsid w:val="005A0CE4"/>
    <w:rsid w:val="005A3E75"/>
    <w:rsid w:val="005A4A3F"/>
    <w:rsid w:val="005A52A0"/>
    <w:rsid w:val="005A62B1"/>
    <w:rsid w:val="005A7D40"/>
    <w:rsid w:val="005A7E81"/>
    <w:rsid w:val="005B1B01"/>
    <w:rsid w:val="005B5007"/>
    <w:rsid w:val="005B5097"/>
    <w:rsid w:val="005B567E"/>
    <w:rsid w:val="005C3F3B"/>
    <w:rsid w:val="005C7178"/>
    <w:rsid w:val="005D2452"/>
    <w:rsid w:val="005D3166"/>
    <w:rsid w:val="005D4E01"/>
    <w:rsid w:val="005D7A1D"/>
    <w:rsid w:val="005E0682"/>
    <w:rsid w:val="005E10C7"/>
    <w:rsid w:val="005E23BD"/>
    <w:rsid w:val="005E3CFB"/>
    <w:rsid w:val="005F037B"/>
    <w:rsid w:val="005F0B2F"/>
    <w:rsid w:val="005F184F"/>
    <w:rsid w:val="005F1D0A"/>
    <w:rsid w:val="005F1E62"/>
    <w:rsid w:val="005F2BB3"/>
    <w:rsid w:val="005F3F7E"/>
    <w:rsid w:val="005F5C36"/>
    <w:rsid w:val="005F652E"/>
    <w:rsid w:val="005F6E36"/>
    <w:rsid w:val="005F7218"/>
    <w:rsid w:val="005F79B7"/>
    <w:rsid w:val="0060126B"/>
    <w:rsid w:val="0060225D"/>
    <w:rsid w:val="00602ABD"/>
    <w:rsid w:val="006033AE"/>
    <w:rsid w:val="006044EE"/>
    <w:rsid w:val="00607CE2"/>
    <w:rsid w:val="006104CD"/>
    <w:rsid w:val="00611896"/>
    <w:rsid w:val="00611F97"/>
    <w:rsid w:val="006122C5"/>
    <w:rsid w:val="00614185"/>
    <w:rsid w:val="00614C0D"/>
    <w:rsid w:val="00614F9D"/>
    <w:rsid w:val="00617636"/>
    <w:rsid w:val="00620514"/>
    <w:rsid w:val="00620A63"/>
    <w:rsid w:val="00620E42"/>
    <w:rsid w:val="00621301"/>
    <w:rsid w:val="0062184A"/>
    <w:rsid w:val="006228E0"/>
    <w:rsid w:val="00622C2B"/>
    <w:rsid w:val="006237FA"/>
    <w:rsid w:val="00623FCD"/>
    <w:rsid w:val="006244E5"/>
    <w:rsid w:val="00625252"/>
    <w:rsid w:val="0062593A"/>
    <w:rsid w:val="006320C3"/>
    <w:rsid w:val="00633047"/>
    <w:rsid w:val="0063436F"/>
    <w:rsid w:val="006347C1"/>
    <w:rsid w:val="0063624E"/>
    <w:rsid w:val="0063706E"/>
    <w:rsid w:val="006375C7"/>
    <w:rsid w:val="00640626"/>
    <w:rsid w:val="00640976"/>
    <w:rsid w:val="00641154"/>
    <w:rsid w:val="00641173"/>
    <w:rsid w:val="00643B6A"/>
    <w:rsid w:val="00644008"/>
    <w:rsid w:val="0064480A"/>
    <w:rsid w:val="0064588D"/>
    <w:rsid w:val="00650903"/>
    <w:rsid w:val="006522F0"/>
    <w:rsid w:val="0065358D"/>
    <w:rsid w:val="00653B97"/>
    <w:rsid w:val="00653DF3"/>
    <w:rsid w:val="006542F1"/>
    <w:rsid w:val="00654404"/>
    <w:rsid w:val="00654B2D"/>
    <w:rsid w:val="00660A82"/>
    <w:rsid w:val="00661D63"/>
    <w:rsid w:val="006621D0"/>
    <w:rsid w:val="00663663"/>
    <w:rsid w:val="00664475"/>
    <w:rsid w:val="00665E53"/>
    <w:rsid w:val="006666AD"/>
    <w:rsid w:val="00667577"/>
    <w:rsid w:val="00670D98"/>
    <w:rsid w:val="00671FAD"/>
    <w:rsid w:val="00673BD4"/>
    <w:rsid w:val="006742A2"/>
    <w:rsid w:val="006760AC"/>
    <w:rsid w:val="00677930"/>
    <w:rsid w:val="00682493"/>
    <w:rsid w:val="006836A0"/>
    <w:rsid w:val="00683FFA"/>
    <w:rsid w:val="0068523A"/>
    <w:rsid w:val="0068632E"/>
    <w:rsid w:val="00686381"/>
    <w:rsid w:val="006925AA"/>
    <w:rsid w:val="00694DC4"/>
    <w:rsid w:val="006A00AF"/>
    <w:rsid w:val="006A08DA"/>
    <w:rsid w:val="006A0DB4"/>
    <w:rsid w:val="006A1E65"/>
    <w:rsid w:val="006A4874"/>
    <w:rsid w:val="006A4E2D"/>
    <w:rsid w:val="006A5098"/>
    <w:rsid w:val="006A758F"/>
    <w:rsid w:val="006B0237"/>
    <w:rsid w:val="006B02BB"/>
    <w:rsid w:val="006B120E"/>
    <w:rsid w:val="006B247C"/>
    <w:rsid w:val="006B3341"/>
    <w:rsid w:val="006B37FA"/>
    <w:rsid w:val="006B3DC9"/>
    <w:rsid w:val="006B68DE"/>
    <w:rsid w:val="006B6E83"/>
    <w:rsid w:val="006B71DA"/>
    <w:rsid w:val="006B77D0"/>
    <w:rsid w:val="006C2B0C"/>
    <w:rsid w:val="006C55EC"/>
    <w:rsid w:val="006C5D6A"/>
    <w:rsid w:val="006C78FF"/>
    <w:rsid w:val="006D067A"/>
    <w:rsid w:val="006D0EC1"/>
    <w:rsid w:val="006D0F82"/>
    <w:rsid w:val="006D1919"/>
    <w:rsid w:val="006D3318"/>
    <w:rsid w:val="006D5C38"/>
    <w:rsid w:val="006D721C"/>
    <w:rsid w:val="006D7D65"/>
    <w:rsid w:val="006E345B"/>
    <w:rsid w:val="006E43F9"/>
    <w:rsid w:val="006E4D7C"/>
    <w:rsid w:val="006E7535"/>
    <w:rsid w:val="006F3441"/>
    <w:rsid w:val="006F3916"/>
    <w:rsid w:val="006F4AAA"/>
    <w:rsid w:val="006F4BDC"/>
    <w:rsid w:val="006F58A7"/>
    <w:rsid w:val="006F737B"/>
    <w:rsid w:val="006F7A3B"/>
    <w:rsid w:val="006F7FD7"/>
    <w:rsid w:val="00701000"/>
    <w:rsid w:val="00702F11"/>
    <w:rsid w:val="00703C91"/>
    <w:rsid w:val="007042AE"/>
    <w:rsid w:val="00705FE2"/>
    <w:rsid w:val="00706A38"/>
    <w:rsid w:val="00710910"/>
    <w:rsid w:val="00711E5A"/>
    <w:rsid w:val="00712059"/>
    <w:rsid w:val="00712BA2"/>
    <w:rsid w:val="0071337B"/>
    <w:rsid w:val="007147BE"/>
    <w:rsid w:val="00716EDD"/>
    <w:rsid w:val="00720A82"/>
    <w:rsid w:val="00721043"/>
    <w:rsid w:val="007228A6"/>
    <w:rsid w:val="00723CD4"/>
    <w:rsid w:val="0072402B"/>
    <w:rsid w:val="00724F1E"/>
    <w:rsid w:val="00726596"/>
    <w:rsid w:val="00726965"/>
    <w:rsid w:val="007303E9"/>
    <w:rsid w:val="00731BCA"/>
    <w:rsid w:val="00733556"/>
    <w:rsid w:val="007338ED"/>
    <w:rsid w:val="00733E7D"/>
    <w:rsid w:val="0073470C"/>
    <w:rsid w:val="00735641"/>
    <w:rsid w:val="007359A0"/>
    <w:rsid w:val="007366D5"/>
    <w:rsid w:val="00737187"/>
    <w:rsid w:val="00740AB9"/>
    <w:rsid w:val="00741CAB"/>
    <w:rsid w:val="00741CBD"/>
    <w:rsid w:val="00742BF7"/>
    <w:rsid w:val="00743B78"/>
    <w:rsid w:val="00743DC3"/>
    <w:rsid w:val="007456CD"/>
    <w:rsid w:val="00746F67"/>
    <w:rsid w:val="00747BAE"/>
    <w:rsid w:val="007525CB"/>
    <w:rsid w:val="00754D54"/>
    <w:rsid w:val="00755528"/>
    <w:rsid w:val="007572A1"/>
    <w:rsid w:val="00760BB4"/>
    <w:rsid w:val="00760CB5"/>
    <w:rsid w:val="00761716"/>
    <w:rsid w:val="007641F5"/>
    <w:rsid w:val="00764649"/>
    <w:rsid w:val="00764993"/>
    <w:rsid w:val="007651D8"/>
    <w:rsid w:val="00765502"/>
    <w:rsid w:val="007657AC"/>
    <w:rsid w:val="007678A3"/>
    <w:rsid w:val="00767CC0"/>
    <w:rsid w:val="00771712"/>
    <w:rsid w:val="00771D47"/>
    <w:rsid w:val="00772CCE"/>
    <w:rsid w:val="0077439A"/>
    <w:rsid w:val="0077630F"/>
    <w:rsid w:val="00780FD3"/>
    <w:rsid w:val="0078180A"/>
    <w:rsid w:val="00783296"/>
    <w:rsid w:val="007848D6"/>
    <w:rsid w:val="007856B4"/>
    <w:rsid w:val="00792D54"/>
    <w:rsid w:val="00796312"/>
    <w:rsid w:val="0079667D"/>
    <w:rsid w:val="007A02C9"/>
    <w:rsid w:val="007A1B9C"/>
    <w:rsid w:val="007A2266"/>
    <w:rsid w:val="007A3E58"/>
    <w:rsid w:val="007A54C9"/>
    <w:rsid w:val="007A6C5F"/>
    <w:rsid w:val="007B137E"/>
    <w:rsid w:val="007B23D8"/>
    <w:rsid w:val="007B4193"/>
    <w:rsid w:val="007B4632"/>
    <w:rsid w:val="007B4F80"/>
    <w:rsid w:val="007B50A2"/>
    <w:rsid w:val="007B76F0"/>
    <w:rsid w:val="007B7D12"/>
    <w:rsid w:val="007C0BB4"/>
    <w:rsid w:val="007C1309"/>
    <w:rsid w:val="007C1C22"/>
    <w:rsid w:val="007C211D"/>
    <w:rsid w:val="007C33D9"/>
    <w:rsid w:val="007C36B5"/>
    <w:rsid w:val="007C37E6"/>
    <w:rsid w:val="007C413A"/>
    <w:rsid w:val="007C4E6A"/>
    <w:rsid w:val="007C6F52"/>
    <w:rsid w:val="007C7297"/>
    <w:rsid w:val="007D0395"/>
    <w:rsid w:val="007D0838"/>
    <w:rsid w:val="007D348B"/>
    <w:rsid w:val="007D3ED7"/>
    <w:rsid w:val="007D3F65"/>
    <w:rsid w:val="007D4BBD"/>
    <w:rsid w:val="007D60DF"/>
    <w:rsid w:val="007E1F14"/>
    <w:rsid w:val="007E230F"/>
    <w:rsid w:val="007E3962"/>
    <w:rsid w:val="007E3C65"/>
    <w:rsid w:val="007E4653"/>
    <w:rsid w:val="007E75A4"/>
    <w:rsid w:val="007E7744"/>
    <w:rsid w:val="007E7957"/>
    <w:rsid w:val="007F37F1"/>
    <w:rsid w:val="007F3EE0"/>
    <w:rsid w:val="007F5077"/>
    <w:rsid w:val="007F772E"/>
    <w:rsid w:val="00800AF0"/>
    <w:rsid w:val="008011AB"/>
    <w:rsid w:val="00801ABA"/>
    <w:rsid w:val="00802EFF"/>
    <w:rsid w:val="00804677"/>
    <w:rsid w:val="00806CF6"/>
    <w:rsid w:val="00807964"/>
    <w:rsid w:val="008109EB"/>
    <w:rsid w:val="00811481"/>
    <w:rsid w:val="00811AF1"/>
    <w:rsid w:val="00812847"/>
    <w:rsid w:val="00815280"/>
    <w:rsid w:val="00815371"/>
    <w:rsid w:val="00815580"/>
    <w:rsid w:val="0081589B"/>
    <w:rsid w:val="008165C5"/>
    <w:rsid w:val="008165C8"/>
    <w:rsid w:val="00817035"/>
    <w:rsid w:val="00817311"/>
    <w:rsid w:val="00820897"/>
    <w:rsid w:val="008209B6"/>
    <w:rsid w:val="008230D6"/>
    <w:rsid w:val="00823C4F"/>
    <w:rsid w:val="00825494"/>
    <w:rsid w:val="0082603F"/>
    <w:rsid w:val="008260CE"/>
    <w:rsid w:val="0082621F"/>
    <w:rsid w:val="008279D5"/>
    <w:rsid w:val="00827FA5"/>
    <w:rsid w:val="0083082E"/>
    <w:rsid w:val="00831625"/>
    <w:rsid w:val="00833854"/>
    <w:rsid w:val="00833C5F"/>
    <w:rsid w:val="00833EF0"/>
    <w:rsid w:val="008346BD"/>
    <w:rsid w:val="008351F1"/>
    <w:rsid w:val="008367A1"/>
    <w:rsid w:val="008370B5"/>
    <w:rsid w:val="00840392"/>
    <w:rsid w:val="00841524"/>
    <w:rsid w:val="00843375"/>
    <w:rsid w:val="0084362D"/>
    <w:rsid w:val="00843E7C"/>
    <w:rsid w:val="00845F8C"/>
    <w:rsid w:val="00846BF3"/>
    <w:rsid w:val="00846C09"/>
    <w:rsid w:val="008504F8"/>
    <w:rsid w:val="008508BA"/>
    <w:rsid w:val="00850F64"/>
    <w:rsid w:val="00851F66"/>
    <w:rsid w:val="00851FAA"/>
    <w:rsid w:val="008547C1"/>
    <w:rsid w:val="0085482A"/>
    <w:rsid w:val="00855159"/>
    <w:rsid w:val="008556F5"/>
    <w:rsid w:val="00855F2C"/>
    <w:rsid w:val="0085613D"/>
    <w:rsid w:val="008564F2"/>
    <w:rsid w:val="0085793C"/>
    <w:rsid w:val="00857A03"/>
    <w:rsid w:val="00861BF5"/>
    <w:rsid w:val="00862F10"/>
    <w:rsid w:val="00865014"/>
    <w:rsid w:val="00865086"/>
    <w:rsid w:val="008653F5"/>
    <w:rsid w:val="008660C4"/>
    <w:rsid w:val="00866F9F"/>
    <w:rsid w:val="00867530"/>
    <w:rsid w:val="008707A3"/>
    <w:rsid w:val="00872516"/>
    <w:rsid w:val="00873EA5"/>
    <w:rsid w:val="0087440D"/>
    <w:rsid w:val="00875153"/>
    <w:rsid w:val="008756F6"/>
    <w:rsid w:val="008760FB"/>
    <w:rsid w:val="00876182"/>
    <w:rsid w:val="0088053D"/>
    <w:rsid w:val="00881644"/>
    <w:rsid w:val="008816D8"/>
    <w:rsid w:val="00886EF3"/>
    <w:rsid w:val="008911A1"/>
    <w:rsid w:val="00895173"/>
    <w:rsid w:val="00895314"/>
    <w:rsid w:val="00895C4D"/>
    <w:rsid w:val="00895F84"/>
    <w:rsid w:val="0089680C"/>
    <w:rsid w:val="00896A66"/>
    <w:rsid w:val="008A0054"/>
    <w:rsid w:val="008A09C9"/>
    <w:rsid w:val="008A238A"/>
    <w:rsid w:val="008A3A1F"/>
    <w:rsid w:val="008A3A8F"/>
    <w:rsid w:val="008A42B0"/>
    <w:rsid w:val="008A44AB"/>
    <w:rsid w:val="008A471C"/>
    <w:rsid w:val="008A5495"/>
    <w:rsid w:val="008A5C3F"/>
    <w:rsid w:val="008A764C"/>
    <w:rsid w:val="008B196D"/>
    <w:rsid w:val="008B1ABF"/>
    <w:rsid w:val="008B2FA8"/>
    <w:rsid w:val="008B5687"/>
    <w:rsid w:val="008B6405"/>
    <w:rsid w:val="008B64C1"/>
    <w:rsid w:val="008B75E1"/>
    <w:rsid w:val="008B77C8"/>
    <w:rsid w:val="008C3478"/>
    <w:rsid w:val="008C5D17"/>
    <w:rsid w:val="008C6B81"/>
    <w:rsid w:val="008C7811"/>
    <w:rsid w:val="008D11CE"/>
    <w:rsid w:val="008D24A7"/>
    <w:rsid w:val="008D24DB"/>
    <w:rsid w:val="008D38F7"/>
    <w:rsid w:val="008D73EA"/>
    <w:rsid w:val="008D76C5"/>
    <w:rsid w:val="008E06D3"/>
    <w:rsid w:val="008E0880"/>
    <w:rsid w:val="008E1838"/>
    <w:rsid w:val="008E204B"/>
    <w:rsid w:val="008E210C"/>
    <w:rsid w:val="008E231F"/>
    <w:rsid w:val="008E23ED"/>
    <w:rsid w:val="008E3552"/>
    <w:rsid w:val="008E41C7"/>
    <w:rsid w:val="008E6180"/>
    <w:rsid w:val="008F0D20"/>
    <w:rsid w:val="008F12BB"/>
    <w:rsid w:val="008F1503"/>
    <w:rsid w:val="008F2051"/>
    <w:rsid w:val="008F214A"/>
    <w:rsid w:val="008F30CE"/>
    <w:rsid w:val="008F40D3"/>
    <w:rsid w:val="008F4156"/>
    <w:rsid w:val="008F4179"/>
    <w:rsid w:val="008F4412"/>
    <w:rsid w:val="008F4DE7"/>
    <w:rsid w:val="008F54D5"/>
    <w:rsid w:val="008F6CB9"/>
    <w:rsid w:val="008F7F01"/>
    <w:rsid w:val="00900046"/>
    <w:rsid w:val="00900B57"/>
    <w:rsid w:val="00900B62"/>
    <w:rsid w:val="00902098"/>
    <w:rsid w:val="0090213D"/>
    <w:rsid w:val="00904E9D"/>
    <w:rsid w:val="00905848"/>
    <w:rsid w:val="00905C13"/>
    <w:rsid w:val="00906D72"/>
    <w:rsid w:val="009104E8"/>
    <w:rsid w:val="00913316"/>
    <w:rsid w:val="00913ACE"/>
    <w:rsid w:val="009140C0"/>
    <w:rsid w:val="00914ADC"/>
    <w:rsid w:val="009151F8"/>
    <w:rsid w:val="00915FFA"/>
    <w:rsid w:val="009162E2"/>
    <w:rsid w:val="00917A53"/>
    <w:rsid w:val="00920807"/>
    <w:rsid w:val="00922332"/>
    <w:rsid w:val="00925781"/>
    <w:rsid w:val="009264C5"/>
    <w:rsid w:val="00926C65"/>
    <w:rsid w:val="00927548"/>
    <w:rsid w:val="009317E5"/>
    <w:rsid w:val="00934EA8"/>
    <w:rsid w:val="00935651"/>
    <w:rsid w:val="00937016"/>
    <w:rsid w:val="009419A4"/>
    <w:rsid w:val="00942198"/>
    <w:rsid w:val="00942A28"/>
    <w:rsid w:val="00942BB1"/>
    <w:rsid w:val="00943801"/>
    <w:rsid w:val="00944B65"/>
    <w:rsid w:val="00945FB3"/>
    <w:rsid w:val="00946E1E"/>
    <w:rsid w:val="0095073E"/>
    <w:rsid w:val="00950742"/>
    <w:rsid w:val="009524B9"/>
    <w:rsid w:val="00952C82"/>
    <w:rsid w:val="009541EB"/>
    <w:rsid w:val="00954EDB"/>
    <w:rsid w:val="009567AC"/>
    <w:rsid w:val="009570B7"/>
    <w:rsid w:val="00957A80"/>
    <w:rsid w:val="00957FF9"/>
    <w:rsid w:val="009619DA"/>
    <w:rsid w:val="00962F67"/>
    <w:rsid w:val="0096660F"/>
    <w:rsid w:val="00966B24"/>
    <w:rsid w:val="00966BDF"/>
    <w:rsid w:val="00970AF6"/>
    <w:rsid w:val="00972651"/>
    <w:rsid w:val="00972FE7"/>
    <w:rsid w:val="009735C3"/>
    <w:rsid w:val="00973C56"/>
    <w:rsid w:val="00974390"/>
    <w:rsid w:val="00974D3C"/>
    <w:rsid w:val="009766FA"/>
    <w:rsid w:val="00976BC1"/>
    <w:rsid w:val="0097716D"/>
    <w:rsid w:val="009773E5"/>
    <w:rsid w:val="00977AF7"/>
    <w:rsid w:val="00981580"/>
    <w:rsid w:val="00982DC3"/>
    <w:rsid w:val="00983E04"/>
    <w:rsid w:val="00985566"/>
    <w:rsid w:val="00987803"/>
    <w:rsid w:val="0099447D"/>
    <w:rsid w:val="00994506"/>
    <w:rsid w:val="0099481A"/>
    <w:rsid w:val="009A0183"/>
    <w:rsid w:val="009A0CA7"/>
    <w:rsid w:val="009A1F09"/>
    <w:rsid w:val="009A24D8"/>
    <w:rsid w:val="009A4796"/>
    <w:rsid w:val="009A5D6B"/>
    <w:rsid w:val="009A716E"/>
    <w:rsid w:val="009A7F5B"/>
    <w:rsid w:val="009B21BE"/>
    <w:rsid w:val="009B2308"/>
    <w:rsid w:val="009B2972"/>
    <w:rsid w:val="009B4DA9"/>
    <w:rsid w:val="009B5662"/>
    <w:rsid w:val="009B567C"/>
    <w:rsid w:val="009B70D4"/>
    <w:rsid w:val="009B74C4"/>
    <w:rsid w:val="009B74E2"/>
    <w:rsid w:val="009C0CF7"/>
    <w:rsid w:val="009C4E6D"/>
    <w:rsid w:val="009C5CF7"/>
    <w:rsid w:val="009C75CB"/>
    <w:rsid w:val="009D09C9"/>
    <w:rsid w:val="009D1225"/>
    <w:rsid w:val="009D1254"/>
    <w:rsid w:val="009D14ED"/>
    <w:rsid w:val="009D3D77"/>
    <w:rsid w:val="009D58DC"/>
    <w:rsid w:val="009D6607"/>
    <w:rsid w:val="009D66E2"/>
    <w:rsid w:val="009D68AE"/>
    <w:rsid w:val="009D78FD"/>
    <w:rsid w:val="009E09EB"/>
    <w:rsid w:val="009E0B8A"/>
    <w:rsid w:val="009E0F95"/>
    <w:rsid w:val="009E121A"/>
    <w:rsid w:val="009E1DD0"/>
    <w:rsid w:val="009E2F46"/>
    <w:rsid w:val="009E3EB5"/>
    <w:rsid w:val="009E4C6E"/>
    <w:rsid w:val="009E4CB8"/>
    <w:rsid w:val="009E6BD8"/>
    <w:rsid w:val="009F0C5E"/>
    <w:rsid w:val="009F0EEB"/>
    <w:rsid w:val="009F116B"/>
    <w:rsid w:val="009F157D"/>
    <w:rsid w:val="009F3668"/>
    <w:rsid w:val="009F44F6"/>
    <w:rsid w:val="009F4D71"/>
    <w:rsid w:val="009F4DC0"/>
    <w:rsid w:val="009F583E"/>
    <w:rsid w:val="009F5956"/>
    <w:rsid w:val="009F59B5"/>
    <w:rsid w:val="009F6037"/>
    <w:rsid w:val="009F6625"/>
    <w:rsid w:val="009F7162"/>
    <w:rsid w:val="00A023E7"/>
    <w:rsid w:val="00A05614"/>
    <w:rsid w:val="00A058FE"/>
    <w:rsid w:val="00A06472"/>
    <w:rsid w:val="00A0687E"/>
    <w:rsid w:val="00A06F14"/>
    <w:rsid w:val="00A102D9"/>
    <w:rsid w:val="00A11627"/>
    <w:rsid w:val="00A1327D"/>
    <w:rsid w:val="00A14FBB"/>
    <w:rsid w:val="00A20507"/>
    <w:rsid w:val="00A2068F"/>
    <w:rsid w:val="00A20CCB"/>
    <w:rsid w:val="00A22910"/>
    <w:rsid w:val="00A246CD"/>
    <w:rsid w:val="00A27FC9"/>
    <w:rsid w:val="00A314A5"/>
    <w:rsid w:val="00A34C56"/>
    <w:rsid w:val="00A34D06"/>
    <w:rsid w:val="00A34F18"/>
    <w:rsid w:val="00A40892"/>
    <w:rsid w:val="00A41621"/>
    <w:rsid w:val="00A41DA8"/>
    <w:rsid w:val="00A4299A"/>
    <w:rsid w:val="00A43A8B"/>
    <w:rsid w:val="00A43F4F"/>
    <w:rsid w:val="00A47D03"/>
    <w:rsid w:val="00A53B0B"/>
    <w:rsid w:val="00A53FA7"/>
    <w:rsid w:val="00A566A7"/>
    <w:rsid w:val="00A57C9B"/>
    <w:rsid w:val="00A604CF"/>
    <w:rsid w:val="00A627F5"/>
    <w:rsid w:val="00A62A65"/>
    <w:rsid w:val="00A63FFC"/>
    <w:rsid w:val="00A6421A"/>
    <w:rsid w:val="00A657B9"/>
    <w:rsid w:val="00A657F6"/>
    <w:rsid w:val="00A663C9"/>
    <w:rsid w:val="00A670B4"/>
    <w:rsid w:val="00A70753"/>
    <w:rsid w:val="00A70DCE"/>
    <w:rsid w:val="00A7223A"/>
    <w:rsid w:val="00A73473"/>
    <w:rsid w:val="00A81E56"/>
    <w:rsid w:val="00A8222A"/>
    <w:rsid w:val="00A83349"/>
    <w:rsid w:val="00A87853"/>
    <w:rsid w:val="00A913CA"/>
    <w:rsid w:val="00A9255E"/>
    <w:rsid w:val="00A92FF2"/>
    <w:rsid w:val="00A9479B"/>
    <w:rsid w:val="00AA0B99"/>
    <w:rsid w:val="00AA1FCC"/>
    <w:rsid w:val="00AA2C22"/>
    <w:rsid w:val="00AA4D73"/>
    <w:rsid w:val="00AA4F87"/>
    <w:rsid w:val="00AA57CE"/>
    <w:rsid w:val="00AA5D71"/>
    <w:rsid w:val="00AA782D"/>
    <w:rsid w:val="00AA7A7B"/>
    <w:rsid w:val="00AA7B4C"/>
    <w:rsid w:val="00AB2508"/>
    <w:rsid w:val="00AB2925"/>
    <w:rsid w:val="00AB2E11"/>
    <w:rsid w:val="00AB4370"/>
    <w:rsid w:val="00AB43BF"/>
    <w:rsid w:val="00AB6717"/>
    <w:rsid w:val="00AB6827"/>
    <w:rsid w:val="00AB77BC"/>
    <w:rsid w:val="00AC27BA"/>
    <w:rsid w:val="00AC4DC5"/>
    <w:rsid w:val="00AC5DCA"/>
    <w:rsid w:val="00AC6E79"/>
    <w:rsid w:val="00AC769B"/>
    <w:rsid w:val="00AC7CAB"/>
    <w:rsid w:val="00AD4218"/>
    <w:rsid w:val="00AD42FF"/>
    <w:rsid w:val="00AD4EBA"/>
    <w:rsid w:val="00AD5C24"/>
    <w:rsid w:val="00AD6210"/>
    <w:rsid w:val="00AD6A53"/>
    <w:rsid w:val="00AD7E22"/>
    <w:rsid w:val="00AE0289"/>
    <w:rsid w:val="00AE26A0"/>
    <w:rsid w:val="00AE39CB"/>
    <w:rsid w:val="00AE52DF"/>
    <w:rsid w:val="00AE539C"/>
    <w:rsid w:val="00AE5874"/>
    <w:rsid w:val="00AE7A50"/>
    <w:rsid w:val="00AF0A7C"/>
    <w:rsid w:val="00AF0FA6"/>
    <w:rsid w:val="00AF1BBB"/>
    <w:rsid w:val="00AF1D3F"/>
    <w:rsid w:val="00AF1E20"/>
    <w:rsid w:val="00AF2BE3"/>
    <w:rsid w:val="00AF6D8F"/>
    <w:rsid w:val="00AF781C"/>
    <w:rsid w:val="00AF7CFE"/>
    <w:rsid w:val="00B0058F"/>
    <w:rsid w:val="00B00AAA"/>
    <w:rsid w:val="00B02D8D"/>
    <w:rsid w:val="00B04340"/>
    <w:rsid w:val="00B05635"/>
    <w:rsid w:val="00B06315"/>
    <w:rsid w:val="00B12392"/>
    <w:rsid w:val="00B12AB0"/>
    <w:rsid w:val="00B145A8"/>
    <w:rsid w:val="00B15CFF"/>
    <w:rsid w:val="00B17391"/>
    <w:rsid w:val="00B17E56"/>
    <w:rsid w:val="00B20FF7"/>
    <w:rsid w:val="00B23667"/>
    <w:rsid w:val="00B249CD"/>
    <w:rsid w:val="00B24A19"/>
    <w:rsid w:val="00B24A21"/>
    <w:rsid w:val="00B255C8"/>
    <w:rsid w:val="00B27011"/>
    <w:rsid w:val="00B27EFF"/>
    <w:rsid w:val="00B3052C"/>
    <w:rsid w:val="00B31BDC"/>
    <w:rsid w:val="00B32166"/>
    <w:rsid w:val="00B36C35"/>
    <w:rsid w:val="00B37F87"/>
    <w:rsid w:val="00B40F65"/>
    <w:rsid w:val="00B45531"/>
    <w:rsid w:val="00B51B48"/>
    <w:rsid w:val="00B51E7E"/>
    <w:rsid w:val="00B52F93"/>
    <w:rsid w:val="00B53285"/>
    <w:rsid w:val="00B55AF8"/>
    <w:rsid w:val="00B57769"/>
    <w:rsid w:val="00B57E6D"/>
    <w:rsid w:val="00B61DC2"/>
    <w:rsid w:val="00B628B4"/>
    <w:rsid w:val="00B63830"/>
    <w:rsid w:val="00B63CEB"/>
    <w:rsid w:val="00B64A5A"/>
    <w:rsid w:val="00B6605B"/>
    <w:rsid w:val="00B70205"/>
    <w:rsid w:val="00B73E25"/>
    <w:rsid w:val="00B74980"/>
    <w:rsid w:val="00B75F81"/>
    <w:rsid w:val="00B771D9"/>
    <w:rsid w:val="00B80B81"/>
    <w:rsid w:val="00B80FAC"/>
    <w:rsid w:val="00B81E62"/>
    <w:rsid w:val="00B8379D"/>
    <w:rsid w:val="00B840D0"/>
    <w:rsid w:val="00B85903"/>
    <w:rsid w:val="00B85B4F"/>
    <w:rsid w:val="00B85C43"/>
    <w:rsid w:val="00B905D4"/>
    <w:rsid w:val="00B91386"/>
    <w:rsid w:val="00B92A06"/>
    <w:rsid w:val="00B968BF"/>
    <w:rsid w:val="00B96DAE"/>
    <w:rsid w:val="00B97ECA"/>
    <w:rsid w:val="00BA1832"/>
    <w:rsid w:val="00BA1F62"/>
    <w:rsid w:val="00BA25E8"/>
    <w:rsid w:val="00BA3660"/>
    <w:rsid w:val="00BA5621"/>
    <w:rsid w:val="00BA7DD5"/>
    <w:rsid w:val="00BB06F5"/>
    <w:rsid w:val="00BB0ECD"/>
    <w:rsid w:val="00BB14B2"/>
    <w:rsid w:val="00BB27E9"/>
    <w:rsid w:val="00BB2880"/>
    <w:rsid w:val="00BB376D"/>
    <w:rsid w:val="00BB4021"/>
    <w:rsid w:val="00BB571C"/>
    <w:rsid w:val="00BB64BD"/>
    <w:rsid w:val="00BC0623"/>
    <w:rsid w:val="00BC18F6"/>
    <w:rsid w:val="00BC523D"/>
    <w:rsid w:val="00BD0596"/>
    <w:rsid w:val="00BD0F82"/>
    <w:rsid w:val="00BD34A9"/>
    <w:rsid w:val="00BD3A90"/>
    <w:rsid w:val="00BD6570"/>
    <w:rsid w:val="00BD72D2"/>
    <w:rsid w:val="00BD74FE"/>
    <w:rsid w:val="00BE05A6"/>
    <w:rsid w:val="00BE0E87"/>
    <w:rsid w:val="00BE265F"/>
    <w:rsid w:val="00BE33E6"/>
    <w:rsid w:val="00BE47F5"/>
    <w:rsid w:val="00BE7A4E"/>
    <w:rsid w:val="00BF0F10"/>
    <w:rsid w:val="00BF36ED"/>
    <w:rsid w:val="00BF4514"/>
    <w:rsid w:val="00BF4843"/>
    <w:rsid w:val="00BF4C14"/>
    <w:rsid w:val="00BF4E82"/>
    <w:rsid w:val="00BF549E"/>
    <w:rsid w:val="00BF57E3"/>
    <w:rsid w:val="00BF5CC9"/>
    <w:rsid w:val="00BF6740"/>
    <w:rsid w:val="00C04CCE"/>
    <w:rsid w:val="00C04FC5"/>
    <w:rsid w:val="00C10484"/>
    <w:rsid w:val="00C12EDD"/>
    <w:rsid w:val="00C134F6"/>
    <w:rsid w:val="00C13D1E"/>
    <w:rsid w:val="00C142A9"/>
    <w:rsid w:val="00C15BD7"/>
    <w:rsid w:val="00C167E0"/>
    <w:rsid w:val="00C16DDC"/>
    <w:rsid w:val="00C176D8"/>
    <w:rsid w:val="00C22FC7"/>
    <w:rsid w:val="00C24960"/>
    <w:rsid w:val="00C254BA"/>
    <w:rsid w:val="00C25DC4"/>
    <w:rsid w:val="00C273E6"/>
    <w:rsid w:val="00C31268"/>
    <w:rsid w:val="00C33D3A"/>
    <w:rsid w:val="00C350EA"/>
    <w:rsid w:val="00C35A3D"/>
    <w:rsid w:val="00C360CF"/>
    <w:rsid w:val="00C404B6"/>
    <w:rsid w:val="00C40553"/>
    <w:rsid w:val="00C40971"/>
    <w:rsid w:val="00C40B3B"/>
    <w:rsid w:val="00C419DB"/>
    <w:rsid w:val="00C42532"/>
    <w:rsid w:val="00C4354B"/>
    <w:rsid w:val="00C438F9"/>
    <w:rsid w:val="00C43B29"/>
    <w:rsid w:val="00C461BE"/>
    <w:rsid w:val="00C4658A"/>
    <w:rsid w:val="00C4690C"/>
    <w:rsid w:val="00C46DF9"/>
    <w:rsid w:val="00C478BB"/>
    <w:rsid w:val="00C50073"/>
    <w:rsid w:val="00C509E9"/>
    <w:rsid w:val="00C511F4"/>
    <w:rsid w:val="00C52292"/>
    <w:rsid w:val="00C532D6"/>
    <w:rsid w:val="00C54836"/>
    <w:rsid w:val="00C55E39"/>
    <w:rsid w:val="00C563AB"/>
    <w:rsid w:val="00C572DD"/>
    <w:rsid w:val="00C57E97"/>
    <w:rsid w:val="00C601C5"/>
    <w:rsid w:val="00C607E1"/>
    <w:rsid w:val="00C633C6"/>
    <w:rsid w:val="00C636FF"/>
    <w:rsid w:val="00C70BD2"/>
    <w:rsid w:val="00C723F2"/>
    <w:rsid w:val="00C72A7C"/>
    <w:rsid w:val="00C7410E"/>
    <w:rsid w:val="00C777FB"/>
    <w:rsid w:val="00C80313"/>
    <w:rsid w:val="00C80472"/>
    <w:rsid w:val="00C8177D"/>
    <w:rsid w:val="00C850E6"/>
    <w:rsid w:val="00C87C0B"/>
    <w:rsid w:val="00C922C6"/>
    <w:rsid w:val="00C93C4A"/>
    <w:rsid w:val="00C96BC9"/>
    <w:rsid w:val="00C97069"/>
    <w:rsid w:val="00CA00BF"/>
    <w:rsid w:val="00CA05D6"/>
    <w:rsid w:val="00CA1FE2"/>
    <w:rsid w:val="00CA29F3"/>
    <w:rsid w:val="00CA30B5"/>
    <w:rsid w:val="00CA6000"/>
    <w:rsid w:val="00CB1CA9"/>
    <w:rsid w:val="00CB24D1"/>
    <w:rsid w:val="00CB2D6C"/>
    <w:rsid w:val="00CB2F29"/>
    <w:rsid w:val="00CC0FB1"/>
    <w:rsid w:val="00CC1042"/>
    <w:rsid w:val="00CC1411"/>
    <w:rsid w:val="00CC2B68"/>
    <w:rsid w:val="00CC34DD"/>
    <w:rsid w:val="00CC3ABD"/>
    <w:rsid w:val="00CD05A4"/>
    <w:rsid w:val="00CD1472"/>
    <w:rsid w:val="00CD158E"/>
    <w:rsid w:val="00CD2C02"/>
    <w:rsid w:val="00CD5D4A"/>
    <w:rsid w:val="00CD6B78"/>
    <w:rsid w:val="00CD710C"/>
    <w:rsid w:val="00CE01F1"/>
    <w:rsid w:val="00CE2F9F"/>
    <w:rsid w:val="00CE4505"/>
    <w:rsid w:val="00CE4E2D"/>
    <w:rsid w:val="00CE5CD1"/>
    <w:rsid w:val="00CE5DD5"/>
    <w:rsid w:val="00CF2F11"/>
    <w:rsid w:val="00CF414A"/>
    <w:rsid w:val="00CF6597"/>
    <w:rsid w:val="00D03008"/>
    <w:rsid w:val="00D04636"/>
    <w:rsid w:val="00D07071"/>
    <w:rsid w:val="00D1018C"/>
    <w:rsid w:val="00D121AC"/>
    <w:rsid w:val="00D12C36"/>
    <w:rsid w:val="00D12CF1"/>
    <w:rsid w:val="00D13915"/>
    <w:rsid w:val="00D13A2C"/>
    <w:rsid w:val="00D14A5E"/>
    <w:rsid w:val="00D16B85"/>
    <w:rsid w:val="00D16E85"/>
    <w:rsid w:val="00D2016E"/>
    <w:rsid w:val="00D20E5B"/>
    <w:rsid w:val="00D2104E"/>
    <w:rsid w:val="00D22D4C"/>
    <w:rsid w:val="00D236B9"/>
    <w:rsid w:val="00D23BBD"/>
    <w:rsid w:val="00D24636"/>
    <w:rsid w:val="00D24A3B"/>
    <w:rsid w:val="00D24B8D"/>
    <w:rsid w:val="00D269E1"/>
    <w:rsid w:val="00D26CF9"/>
    <w:rsid w:val="00D275B6"/>
    <w:rsid w:val="00D304A6"/>
    <w:rsid w:val="00D30689"/>
    <w:rsid w:val="00D3298C"/>
    <w:rsid w:val="00D32AF1"/>
    <w:rsid w:val="00D33350"/>
    <w:rsid w:val="00D3478C"/>
    <w:rsid w:val="00D351C2"/>
    <w:rsid w:val="00D42618"/>
    <w:rsid w:val="00D42847"/>
    <w:rsid w:val="00D44FCB"/>
    <w:rsid w:val="00D4623C"/>
    <w:rsid w:val="00D4785E"/>
    <w:rsid w:val="00D51253"/>
    <w:rsid w:val="00D51FFA"/>
    <w:rsid w:val="00D52836"/>
    <w:rsid w:val="00D53CC1"/>
    <w:rsid w:val="00D551A4"/>
    <w:rsid w:val="00D57DC8"/>
    <w:rsid w:val="00D57FB4"/>
    <w:rsid w:val="00D60300"/>
    <w:rsid w:val="00D613F0"/>
    <w:rsid w:val="00D61978"/>
    <w:rsid w:val="00D61A4E"/>
    <w:rsid w:val="00D61C0B"/>
    <w:rsid w:val="00D62DDF"/>
    <w:rsid w:val="00D64C05"/>
    <w:rsid w:val="00D70B3A"/>
    <w:rsid w:val="00D70BA2"/>
    <w:rsid w:val="00D70E6C"/>
    <w:rsid w:val="00D71727"/>
    <w:rsid w:val="00D74465"/>
    <w:rsid w:val="00D75793"/>
    <w:rsid w:val="00D772B3"/>
    <w:rsid w:val="00D779DF"/>
    <w:rsid w:val="00D77D49"/>
    <w:rsid w:val="00D8089C"/>
    <w:rsid w:val="00D8204B"/>
    <w:rsid w:val="00D8428B"/>
    <w:rsid w:val="00D84EDA"/>
    <w:rsid w:val="00D8543D"/>
    <w:rsid w:val="00D86367"/>
    <w:rsid w:val="00D903BA"/>
    <w:rsid w:val="00D91705"/>
    <w:rsid w:val="00D94FF4"/>
    <w:rsid w:val="00D95FC1"/>
    <w:rsid w:val="00D96601"/>
    <w:rsid w:val="00D96B00"/>
    <w:rsid w:val="00D97223"/>
    <w:rsid w:val="00D97981"/>
    <w:rsid w:val="00DA0439"/>
    <w:rsid w:val="00DA0657"/>
    <w:rsid w:val="00DA1B6F"/>
    <w:rsid w:val="00DA1E72"/>
    <w:rsid w:val="00DA4544"/>
    <w:rsid w:val="00DA6D5C"/>
    <w:rsid w:val="00DB1144"/>
    <w:rsid w:val="00DB15C9"/>
    <w:rsid w:val="00DB1A5B"/>
    <w:rsid w:val="00DB1A87"/>
    <w:rsid w:val="00DB2164"/>
    <w:rsid w:val="00DB3C54"/>
    <w:rsid w:val="00DB5536"/>
    <w:rsid w:val="00DB598E"/>
    <w:rsid w:val="00DB637C"/>
    <w:rsid w:val="00DB63FA"/>
    <w:rsid w:val="00DC2F8D"/>
    <w:rsid w:val="00DC4DA8"/>
    <w:rsid w:val="00DC58D2"/>
    <w:rsid w:val="00DC58EB"/>
    <w:rsid w:val="00DC7189"/>
    <w:rsid w:val="00DD09C1"/>
    <w:rsid w:val="00DD0AF4"/>
    <w:rsid w:val="00DD0DC7"/>
    <w:rsid w:val="00DD163F"/>
    <w:rsid w:val="00DD26F6"/>
    <w:rsid w:val="00DD768F"/>
    <w:rsid w:val="00DE07AC"/>
    <w:rsid w:val="00DE2EC0"/>
    <w:rsid w:val="00DE3D17"/>
    <w:rsid w:val="00DE4B73"/>
    <w:rsid w:val="00DE5AE7"/>
    <w:rsid w:val="00DF052B"/>
    <w:rsid w:val="00DF100E"/>
    <w:rsid w:val="00DF1255"/>
    <w:rsid w:val="00DF1B5A"/>
    <w:rsid w:val="00DF2A85"/>
    <w:rsid w:val="00DF59CD"/>
    <w:rsid w:val="00E00E6E"/>
    <w:rsid w:val="00E01F6F"/>
    <w:rsid w:val="00E035E6"/>
    <w:rsid w:val="00E03F0E"/>
    <w:rsid w:val="00E06094"/>
    <w:rsid w:val="00E06AD5"/>
    <w:rsid w:val="00E105AC"/>
    <w:rsid w:val="00E112D7"/>
    <w:rsid w:val="00E11528"/>
    <w:rsid w:val="00E13667"/>
    <w:rsid w:val="00E146E0"/>
    <w:rsid w:val="00E17059"/>
    <w:rsid w:val="00E20882"/>
    <w:rsid w:val="00E21591"/>
    <w:rsid w:val="00E25066"/>
    <w:rsid w:val="00E2612D"/>
    <w:rsid w:val="00E27640"/>
    <w:rsid w:val="00E27AA4"/>
    <w:rsid w:val="00E27BB4"/>
    <w:rsid w:val="00E31096"/>
    <w:rsid w:val="00E31A6D"/>
    <w:rsid w:val="00E31FDE"/>
    <w:rsid w:val="00E335D2"/>
    <w:rsid w:val="00E33A9D"/>
    <w:rsid w:val="00E33F1E"/>
    <w:rsid w:val="00E349C6"/>
    <w:rsid w:val="00E35F9A"/>
    <w:rsid w:val="00E37457"/>
    <w:rsid w:val="00E37735"/>
    <w:rsid w:val="00E37EE2"/>
    <w:rsid w:val="00E434EE"/>
    <w:rsid w:val="00E43553"/>
    <w:rsid w:val="00E43A1F"/>
    <w:rsid w:val="00E44B22"/>
    <w:rsid w:val="00E52736"/>
    <w:rsid w:val="00E53DF8"/>
    <w:rsid w:val="00E54857"/>
    <w:rsid w:val="00E55F99"/>
    <w:rsid w:val="00E5626D"/>
    <w:rsid w:val="00E604E0"/>
    <w:rsid w:val="00E610DF"/>
    <w:rsid w:val="00E6165F"/>
    <w:rsid w:val="00E636ED"/>
    <w:rsid w:val="00E63ECB"/>
    <w:rsid w:val="00E66D26"/>
    <w:rsid w:val="00E6731D"/>
    <w:rsid w:val="00E708CD"/>
    <w:rsid w:val="00E72C80"/>
    <w:rsid w:val="00E735C1"/>
    <w:rsid w:val="00E74084"/>
    <w:rsid w:val="00E7753A"/>
    <w:rsid w:val="00E77A27"/>
    <w:rsid w:val="00E80A14"/>
    <w:rsid w:val="00E80CFC"/>
    <w:rsid w:val="00E82606"/>
    <w:rsid w:val="00E8404F"/>
    <w:rsid w:val="00E84610"/>
    <w:rsid w:val="00E85354"/>
    <w:rsid w:val="00E86286"/>
    <w:rsid w:val="00E871A4"/>
    <w:rsid w:val="00E97666"/>
    <w:rsid w:val="00EA0E57"/>
    <w:rsid w:val="00EA14AB"/>
    <w:rsid w:val="00EA1A34"/>
    <w:rsid w:val="00EA1AEA"/>
    <w:rsid w:val="00EA1E51"/>
    <w:rsid w:val="00EA1F45"/>
    <w:rsid w:val="00EA2019"/>
    <w:rsid w:val="00EA22C9"/>
    <w:rsid w:val="00EA2740"/>
    <w:rsid w:val="00EA34C5"/>
    <w:rsid w:val="00EA39A6"/>
    <w:rsid w:val="00EA3EB3"/>
    <w:rsid w:val="00EA516A"/>
    <w:rsid w:val="00EA53A2"/>
    <w:rsid w:val="00EA58D3"/>
    <w:rsid w:val="00EA673D"/>
    <w:rsid w:val="00EA6D01"/>
    <w:rsid w:val="00EA7297"/>
    <w:rsid w:val="00EA7622"/>
    <w:rsid w:val="00EB0DFB"/>
    <w:rsid w:val="00EB23C7"/>
    <w:rsid w:val="00EB264F"/>
    <w:rsid w:val="00EB3B85"/>
    <w:rsid w:val="00EB4598"/>
    <w:rsid w:val="00EB4A4A"/>
    <w:rsid w:val="00EB5A91"/>
    <w:rsid w:val="00EC0115"/>
    <w:rsid w:val="00EC09D0"/>
    <w:rsid w:val="00EC179B"/>
    <w:rsid w:val="00EC2A7D"/>
    <w:rsid w:val="00EC2EF9"/>
    <w:rsid w:val="00EC494D"/>
    <w:rsid w:val="00EC5A35"/>
    <w:rsid w:val="00ED28A8"/>
    <w:rsid w:val="00ED3C8E"/>
    <w:rsid w:val="00ED458E"/>
    <w:rsid w:val="00ED5873"/>
    <w:rsid w:val="00ED7702"/>
    <w:rsid w:val="00ED79F6"/>
    <w:rsid w:val="00EE393D"/>
    <w:rsid w:val="00EE4B26"/>
    <w:rsid w:val="00EE615A"/>
    <w:rsid w:val="00EE759F"/>
    <w:rsid w:val="00EE7B27"/>
    <w:rsid w:val="00EF0351"/>
    <w:rsid w:val="00EF20A4"/>
    <w:rsid w:val="00EF40CB"/>
    <w:rsid w:val="00EF5E85"/>
    <w:rsid w:val="00EF75AB"/>
    <w:rsid w:val="00EF783C"/>
    <w:rsid w:val="00F019C6"/>
    <w:rsid w:val="00F01F6B"/>
    <w:rsid w:val="00F033A7"/>
    <w:rsid w:val="00F06E77"/>
    <w:rsid w:val="00F0776D"/>
    <w:rsid w:val="00F11C45"/>
    <w:rsid w:val="00F13124"/>
    <w:rsid w:val="00F1399B"/>
    <w:rsid w:val="00F141DE"/>
    <w:rsid w:val="00F149E9"/>
    <w:rsid w:val="00F14EFE"/>
    <w:rsid w:val="00F15D97"/>
    <w:rsid w:val="00F168AD"/>
    <w:rsid w:val="00F1719B"/>
    <w:rsid w:val="00F17F84"/>
    <w:rsid w:val="00F2080C"/>
    <w:rsid w:val="00F21FB4"/>
    <w:rsid w:val="00F23748"/>
    <w:rsid w:val="00F23BF2"/>
    <w:rsid w:val="00F26B2A"/>
    <w:rsid w:val="00F27266"/>
    <w:rsid w:val="00F279F9"/>
    <w:rsid w:val="00F306AE"/>
    <w:rsid w:val="00F32137"/>
    <w:rsid w:val="00F3524A"/>
    <w:rsid w:val="00F356FC"/>
    <w:rsid w:val="00F35A47"/>
    <w:rsid w:val="00F360E0"/>
    <w:rsid w:val="00F36459"/>
    <w:rsid w:val="00F365C9"/>
    <w:rsid w:val="00F37C91"/>
    <w:rsid w:val="00F41DA1"/>
    <w:rsid w:val="00F4296D"/>
    <w:rsid w:val="00F439EC"/>
    <w:rsid w:val="00F43A29"/>
    <w:rsid w:val="00F43C99"/>
    <w:rsid w:val="00F44F8F"/>
    <w:rsid w:val="00F52688"/>
    <w:rsid w:val="00F52D10"/>
    <w:rsid w:val="00F5315D"/>
    <w:rsid w:val="00F57A65"/>
    <w:rsid w:val="00F61C24"/>
    <w:rsid w:val="00F61FA3"/>
    <w:rsid w:val="00F61FA9"/>
    <w:rsid w:val="00F62A37"/>
    <w:rsid w:val="00F71199"/>
    <w:rsid w:val="00F72803"/>
    <w:rsid w:val="00F73434"/>
    <w:rsid w:val="00F74477"/>
    <w:rsid w:val="00F74EB6"/>
    <w:rsid w:val="00F767DE"/>
    <w:rsid w:val="00F76EB6"/>
    <w:rsid w:val="00F7705A"/>
    <w:rsid w:val="00F82001"/>
    <w:rsid w:val="00F82E16"/>
    <w:rsid w:val="00F83B14"/>
    <w:rsid w:val="00F84D40"/>
    <w:rsid w:val="00F90604"/>
    <w:rsid w:val="00F92500"/>
    <w:rsid w:val="00F95383"/>
    <w:rsid w:val="00FA1327"/>
    <w:rsid w:val="00FA2B82"/>
    <w:rsid w:val="00FA2EAE"/>
    <w:rsid w:val="00FA3671"/>
    <w:rsid w:val="00FA36F8"/>
    <w:rsid w:val="00FA3882"/>
    <w:rsid w:val="00FA47E8"/>
    <w:rsid w:val="00FA670D"/>
    <w:rsid w:val="00FA6FC9"/>
    <w:rsid w:val="00FB0A44"/>
    <w:rsid w:val="00FB1087"/>
    <w:rsid w:val="00FB16EE"/>
    <w:rsid w:val="00FB2052"/>
    <w:rsid w:val="00FB57E1"/>
    <w:rsid w:val="00FB73CF"/>
    <w:rsid w:val="00FC0DF7"/>
    <w:rsid w:val="00FC18AE"/>
    <w:rsid w:val="00FC38B5"/>
    <w:rsid w:val="00FC574C"/>
    <w:rsid w:val="00FC60E8"/>
    <w:rsid w:val="00FC663C"/>
    <w:rsid w:val="00FC6AAE"/>
    <w:rsid w:val="00FC6C3A"/>
    <w:rsid w:val="00FC76C0"/>
    <w:rsid w:val="00FD158C"/>
    <w:rsid w:val="00FD2368"/>
    <w:rsid w:val="00FD4968"/>
    <w:rsid w:val="00FD5C98"/>
    <w:rsid w:val="00FD760F"/>
    <w:rsid w:val="00FD79C6"/>
    <w:rsid w:val="00FE1A13"/>
    <w:rsid w:val="00FE2A6D"/>
    <w:rsid w:val="00FE3ED9"/>
    <w:rsid w:val="00FE4F85"/>
    <w:rsid w:val="00FE566F"/>
    <w:rsid w:val="00FE715D"/>
    <w:rsid w:val="00FF0727"/>
    <w:rsid w:val="00FF10B2"/>
    <w:rsid w:val="00FF2F14"/>
    <w:rsid w:val="00FF2FBE"/>
    <w:rsid w:val="00FF68EF"/>
    <w:rsid w:val="00FF700E"/>
    <w:rsid w:val="00FF73E9"/>
    <w:rsid w:val="01291656"/>
    <w:rsid w:val="01691BDB"/>
    <w:rsid w:val="017442FA"/>
    <w:rsid w:val="01841385"/>
    <w:rsid w:val="01AD5116"/>
    <w:rsid w:val="01C012ED"/>
    <w:rsid w:val="01DB1EFD"/>
    <w:rsid w:val="01DD18F5"/>
    <w:rsid w:val="01DE3D8C"/>
    <w:rsid w:val="01FB17A8"/>
    <w:rsid w:val="020A1C2F"/>
    <w:rsid w:val="022802FC"/>
    <w:rsid w:val="023D0B8F"/>
    <w:rsid w:val="025D4EE9"/>
    <w:rsid w:val="0298735F"/>
    <w:rsid w:val="02A8425B"/>
    <w:rsid w:val="02AF17B3"/>
    <w:rsid w:val="02CF4893"/>
    <w:rsid w:val="02D22FAD"/>
    <w:rsid w:val="02D56D52"/>
    <w:rsid w:val="02D7691F"/>
    <w:rsid w:val="031715DE"/>
    <w:rsid w:val="032C32BF"/>
    <w:rsid w:val="032F2BCB"/>
    <w:rsid w:val="033B547E"/>
    <w:rsid w:val="036730F9"/>
    <w:rsid w:val="036E062E"/>
    <w:rsid w:val="037330E2"/>
    <w:rsid w:val="038B458E"/>
    <w:rsid w:val="03A271EB"/>
    <w:rsid w:val="03D70A78"/>
    <w:rsid w:val="03F7342A"/>
    <w:rsid w:val="03F76BEF"/>
    <w:rsid w:val="03F80AD8"/>
    <w:rsid w:val="040A1BF0"/>
    <w:rsid w:val="04275653"/>
    <w:rsid w:val="043175DB"/>
    <w:rsid w:val="0433794E"/>
    <w:rsid w:val="04452D51"/>
    <w:rsid w:val="0462668B"/>
    <w:rsid w:val="046643CE"/>
    <w:rsid w:val="046800AF"/>
    <w:rsid w:val="04706C50"/>
    <w:rsid w:val="047F6997"/>
    <w:rsid w:val="04936AD7"/>
    <w:rsid w:val="049B18BB"/>
    <w:rsid w:val="049B5681"/>
    <w:rsid w:val="049F2D71"/>
    <w:rsid w:val="04A96825"/>
    <w:rsid w:val="04B064ED"/>
    <w:rsid w:val="04B52C5F"/>
    <w:rsid w:val="04BE1080"/>
    <w:rsid w:val="04E54C25"/>
    <w:rsid w:val="05084C9E"/>
    <w:rsid w:val="051B58A3"/>
    <w:rsid w:val="05271B7A"/>
    <w:rsid w:val="052D0A47"/>
    <w:rsid w:val="05304180"/>
    <w:rsid w:val="0531747D"/>
    <w:rsid w:val="056D695A"/>
    <w:rsid w:val="05A532F8"/>
    <w:rsid w:val="05A62B73"/>
    <w:rsid w:val="05B36CA0"/>
    <w:rsid w:val="05DC1929"/>
    <w:rsid w:val="06287461"/>
    <w:rsid w:val="06315E46"/>
    <w:rsid w:val="063949DE"/>
    <w:rsid w:val="064571B4"/>
    <w:rsid w:val="06460D83"/>
    <w:rsid w:val="064E112E"/>
    <w:rsid w:val="06620BC5"/>
    <w:rsid w:val="0667356B"/>
    <w:rsid w:val="066C559F"/>
    <w:rsid w:val="066F10E5"/>
    <w:rsid w:val="06950257"/>
    <w:rsid w:val="06A55E4A"/>
    <w:rsid w:val="06A72A7B"/>
    <w:rsid w:val="06B54D24"/>
    <w:rsid w:val="06CE448B"/>
    <w:rsid w:val="06D931EF"/>
    <w:rsid w:val="06DF0467"/>
    <w:rsid w:val="06F105E8"/>
    <w:rsid w:val="06F16BC5"/>
    <w:rsid w:val="06F62319"/>
    <w:rsid w:val="07101FF5"/>
    <w:rsid w:val="072041C1"/>
    <w:rsid w:val="075514AC"/>
    <w:rsid w:val="075521B6"/>
    <w:rsid w:val="0758306F"/>
    <w:rsid w:val="07677852"/>
    <w:rsid w:val="076F17EB"/>
    <w:rsid w:val="07856539"/>
    <w:rsid w:val="0787503B"/>
    <w:rsid w:val="079052BE"/>
    <w:rsid w:val="07B0512D"/>
    <w:rsid w:val="07B45450"/>
    <w:rsid w:val="07B74F40"/>
    <w:rsid w:val="07B76CEE"/>
    <w:rsid w:val="07BD1B99"/>
    <w:rsid w:val="08206641"/>
    <w:rsid w:val="08294E5C"/>
    <w:rsid w:val="083A1C14"/>
    <w:rsid w:val="08494851"/>
    <w:rsid w:val="086329D2"/>
    <w:rsid w:val="08AB7AD0"/>
    <w:rsid w:val="08B1661A"/>
    <w:rsid w:val="08E16808"/>
    <w:rsid w:val="08E65545"/>
    <w:rsid w:val="08ED6E6B"/>
    <w:rsid w:val="08FD4A01"/>
    <w:rsid w:val="09012917"/>
    <w:rsid w:val="091B5142"/>
    <w:rsid w:val="093544CF"/>
    <w:rsid w:val="095F23E5"/>
    <w:rsid w:val="09A44896"/>
    <w:rsid w:val="09AB3780"/>
    <w:rsid w:val="0A0F621E"/>
    <w:rsid w:val="0A312D88"/>
    <w:rsid w:val="0A5E3332"/>
    <w:rsid w:val="0A72188B"/>
    <w:rsid w:val="0A8807C9"/>
    <w:rsid w:val="0AA10AF7"/>
    <w:rsid w:val="0AA7304A"/>
    <w:rsid w:val="0AB73B60"/>
    <w:rsid w:val="0AD95339"/>
    <w:rsid w:val="0AF6184C"/>
    <w:rsid w:val="0AFF19D4"/>
    <w:rsid w:val="0B061448"/>
    <w:rsid w:val="0B1B7477"/>
    <w:rsid w:val="0B3F668F"/>
    <w:rsid w:val="0B431E52"/>
    <w:rsid w:val="0B55293E"/>
    <w:rsid w:val="0B795DD7"/>
    <w:rsid w:val="0B7E571C"/>
    <w:rsid w:val="0BDE0664"/>
    <w:rsid w:val="0BF86013"/>
    <w:rsid w:val="0C350DB3"/>
    <w:rsid w:val="0C450D6C"/>
    <w:rsid w:val="0C5B62AF"/>
    <w:rsid w:val="0C88252C"/>
    <w:rsid w:val="0CA644AE"/>
    <w:rsid w:val="0CB24163"/>
    <w:rsid w:val="0CC92F67"/>
    <w:rsid w:val="0CE16E82"/>
    <w:rsid w:val="0CF064DB"/>
    <w:rsid w:val="0CFB58CF"/>
    <w:rsid w:val="0D264F39"/>
    <w:rsid w:val="0D340160"/>
    <w:rsid w:val="0D3D1A44"/>
    <w:rsid w:val="0D4163B5"/>
    <w:rsid w:val="0D460B9B"/>
    <w:rsid w:val="0D4662C3"/>
    <w:rsid w:val="0D467EED"/>
    <w:rsid w:val="0D50686F"/>
    <w:rsid w:val="0D58062B"/>
    <w:rsid w:val="0D5A43A4"/>
    <w:rsid w:val="0D5B5E4B"/>
    <w:rsid w:val="0D6150F6"/>
    <w:rsid w:val="0D6A702C"/>
    <w:rsid w:val="0D780CCE"/>
    <w:rsid w:val="0D91242B"/>
    <w:rsid w:val="0DA52965"/>
    <w:rsid w:val="0DAD3DE6"/>
    <w:rsid w:val="0DB9208D"/>
    <w:rsid w:val="0DC14423"/>
    <w:rsid w:val="0DD12881"/>
    <w:rsid w:val="0DDC300B"/>
    <w:rsid w:val="0DF3037A"/>
    <w:rsid w:val="0DFC2E2B"/>
    <w:rsid w:val="0E3735EB"/>
    <w:rsid w:val="0E4E528A"/>
    <w:rsid w:val="0E606A6F"/>
    <w:rsid w:val="0E713C39"/>
    <w:rsid w:val="0E7D1722"/>
    <w:rsid w:val="0E883192"/>
    <w:rsid w:val="0E9E1435"/>
    <w:rsid w:val="0EAC5BB3"/>
    <w:rsid w:val="0EB6110F"/>
    <w:rsid w:val="0ED10695"/>
    <w:rsid w:val="0EE53EE8"/>
    <w:rsid w:val="0EE87CF8"/>
    <w:rsid w:val="0EEF4FBF"/>
    <w:rsid w:val="0EFA6929"/>
    <w:rsid w:val="0F0839C7"/>
    <w:rsid w:val="0F084926"/>
    <w:rsid w:val="0F266268"/>
    <w:rsid w:val="0F494AB0"/>
    <w:rsid w:val="0F631930"/>
    <w:rsid w:val="0F8577F2"/>
    <w:rsid w:val="0F882908"/>
    <w:rsid w:val="0F983313"/>
    <w:rsid w:val="0F997970"/>
    <w:rsid w:val="0F9D1470"/>
    <w:rsid w:val="0FA579EC"/>
    <w:rsid w:val="0FA77648"/>
    <w:rsid w:val="0FA83B68"/>
    <w:rsid w:val="0FB91724"/>
    <w:rsid w:val="0FCA3251"/>
    <w:rsid w:val="100E7476"/>
    <w:rsid w:val="101A42BE"/>
    <w:rsid w:val="10223012"/>
    <w:rsid w:val="102821F5"/>
    <w:rsid w:val="10290649"/>
    <w:rsid w:val="105D2272"/>
    <w:rsid w:val="106D2640"/>
    <w:rsid w:val="109B2747"/>
    <w:rsid w:val="109B5C5C"/>
    <w:rsid w:val="10A47F84"/>
    <w:rsid w:val="10EA24FF"/>
    <w:rsid w:val="10F1261D"/>
    <w:rsid w:val="11292A0B"/>
    <w:rsid w:val="11AB78C4"/>
    <w:rsid w:val="11E20E0C"/>
    <w:rsid w:val="11F052D6"/>
    <w:rsid w:val="121F796A"/>
    <w:rsid w:val="122D0F2F"/>
    <w:rsid w:val="122D70FD"/>
    <w:rsid w:val="123C0E02"/>
    <w:rsid w:val="124617F8"/>
    <w:rsid w:val="1247044F"/>
    <w:rsid w:val="124F5DD4"/>
    <w:rsid w:val="125B66FF"/>
    <w:rsid w:val="12692C28"/>
    <w:rsid w:val="126B250C"/>
    <w:rsid w:val="1285445B"/>
    <w:rsid w:val="12B606FD"/>
    <w:rsid w:val="12CA13B6"/>
    <w:rsid w:val="12D13C56"/>
    <w:rsid w:val="12EF3034"/>
    <w:rsid w:val="1303728B"/>
    <w:rsid w:val="131F4B6D"/>
    <w:rsid w:val="13394A5B"/>
    <w:rsid w:val="13624BF9"/>
    <w:rsid w:val="136E7560"/>
    <w:rsid w:val="138C7281"/>
    <w:rsid w:val="138E124B"/>
    <w:rsid w:val="13A10D90"/>
    <w:rsid w:val="13A91BE1"/>
    <w:rsid w:val="13D53012"/>
    <w:rsid w:val="14210D4B"/>
    <w:rsid w:val="14215C1B"/>
    <w:rsid w:val="144F06C0"/>
    <w:rsid w:val="146855F8"/>
    <w:rsid w:val="148E0DD7"/>
    <w:rsid w:val="14DC5F32"/>
    <w:rsid w:val="14F74FD7"/>
    <w:rsid w:val="14FD244F"/>
    <w:rsid w:val="152E5BC5"/>
    <w:rsid w:val="154A41E4"/>
    <w:rsid w:val="154E4FB6"/>
    <w:rsid w:val="156705E2"/>
    <w:rsid w:val="15731FDD"/>
    <w:rsid w:val="15782278"/>
    <w:rsid w:val="1589660A"/>
    <w:rsid w:val="15951CB5"/>
    <w:rsid w:val="159A4C54"/>
    <w:rsid w:val="15A20FDE"/>
    <w:rsid w:val="15CE1DD3"/>
    <w:rsid w:val="15E213DA"/>
    <w:rsid w:val="15F23AB6"/>
    <w:rsid w:val="15FE01CC"/>
    <w:rsid w:val="16041350"/>
    <w:rsid w:val="162E6259"/>
    <w:rsid w:val="16350634"/>
    <w:rsid w:val="167B4492"/>
    <w:rsid w:val="169D388D"/>
    <w:rsid w:val="16F73B33"/>
    <w:rsid w:val="16FC64C6"/>
    <w:rsid w:val="17031CD1"/>
    <w:rsid w:val="171D637C"/>
    <w:rsid w:val="171F1650"/>
    <w:rsid w:val="176302F9"/>
    <w:rsid w:val="177B0ACA"/>
    <w:rsid w:val="178A6A1C"/>
    <w:rsid w:val="179315FB"/>
    <w:rsid w:val="179764FD"/>
    <w:rsid w:val="17A915FE"/>
    <w:rsid w:val="17AF3703"/>
    <w:rsid w:val="17BA598C"/>
    <w:rsid w:val="17CC40F0"/>
    <w:rsid w:val="17DE3B24"/>
    <w:rsid w:val="17F36A71"/>
    <w:rsid w:val="180C78C4"/>
    <w:rsid w:val="18243F2C"/>
    <w:rsid w:val="18251A74"/>
    <w:rsid w:val="18514690"/>
    <w:rsid w:val="18596C4A"/>
    <w:rsid w:val="188D3DAC"/>
    <w:rsid w:val="189A5F9C"/>
    <w:rsid w:val="18D74393"/>
    <w:rsid w:val="19116FA1"/>
    <w:rsid w:val="191867A2"/>
    <w:rsid w:val="194E4D67"/>
    <w:rsid w:val="1953666F"/>
    <w:rsid w:val="1958313F"/>
    <w:rsid w:val="197D77DB"/>
    <w:rsid w:val="19830BC5"/>
    <w:rsid w:val="19985C9C"/>
    <w:rsid w:val="199E386A"/>
    <w:rsid w:val="199E6903"/>
    <w:rsid w:val="19B11A90"/>
    <w:rsid w:val="19E81D9A"/>
    <w:rsid w:val="1A002777"/>
    <w:rsid w:val="1A0C3023"/>
    <w:rsid w:val="1A175DE2"/>
    <w:rsid w:val="1A1942B9"/>
    <w:rsid w:val="1A386C13"/>
    <w:rsid w:val="1A691495"/>
    <w:rsid w:val="1A930EF5"/>
    <w:rsid w:val="1AAE3F81"/>
    <w:rsid w:val="1AB2503C"/>
    <w:rsid w:val="1ABB46C6"/>
    <w:rsid w:val="1AC217DA"/>
    <w:rsid w:val="1ACD6A40"/>
    <w:rsid w:val="1AD553C9"/>
    <w:rsid w:val="1AE64880"/>
    <w:rsid w:val="1B000BBA"/>
    <w:rsid w:val="1B0C2ACA"/>
    <w:rsid w:val="1B2B4D71"/>
    <w:rsid w:val="1B583D8E"/>
    <w:rsid w:val="1B6F4CD3"/>
    <w:rsid w:val="1B730D89"/>
    <w:rsid w:val="1B765019"/>
    <w:rsid w:val="1B820934"/>
    <w:rsid w:val="1B8542C4"/>
    <w:rsid w:val="1B9645BA"/>
    <w:rsid w:val="1BA36EAA"/>
    <w:rsid w:val="1BC31A97"/>
    <w:rsid w:val="1BD34144"/>
    <w:rsid w:val="1BDF7572"/>
    <w:rsid w:val="1BE0287A"/>
    <w:rsid w:val="1C082ECE"/>
    <w:rsid w:val="1C1579B0"/>
    <w:rsid w:val="1C1F5136"/>
    <w:rsid w:val="1C47643B"/>
    <w:rsid w:val="1C4E1577"/>
    <w:rsid w:val="1C922D83"/>
    <w:rsid w:val="1C984EE8"/>
    <w:rsid w:val="1CAB69CA"/>
    <w:rsid w:val="1CE27F12"/>
    <w:rsid w:val="1D2952D0"/>
    <w:rsid w:val="1D4173A2"/>
    <w:rsid w:val="1D434F5E"/>
    <w:rsid w:val="1D436AEB"/>
    <w:rsid w:val="1D552DD9"/>
    <w:rsid w:val="1D602818"/>
    <w:rsid w:val="1D677990"/>
    <w:rsid w:val="1D900FF2"/>
    <w:rsid w:val="1DBA3223"/>
    <w:rsid w:val="1DD64B1F"/>
    <w:rsid w:val="1DDD6C20"/>
    <w:rsid w:val="1DFE3759"/>
    <w:rsid w:val="1E1C3180"/>
    <w:rsid w:val="1E2356AE"/>
    <w:rsid w:val="1E3D0E98"/>
    <w:rsid w:val="1E432670"/>
    <w:rsid w:val="1E4644BB"/>
    <w:rsid w:val="1E696092"/>
    <w:rsid w:val="1E735A21"/>
    <w:rsid w:val="1E74359B"/>
    <w:rsid w:val="1E756312"/>
    <w:rsid w:val="1E7A6524"/>
    <w:rsid w:val="1E9136F8"/>
    <w:rsid w:val="1E9A1A93"/>
    <w:rsid w:val="1ED02243"/>
    <w:rsid w:val="1F1963BA"/>
    <w:rsid w:val="1F3A5DE3"/>
    <w:rsid w:val="1F490097"/>
    <w:rsid w:val="1F510DA5"/>
    <w:rsid w:val="1F78690B"/>
    <w:rsid w:val="1F7D1BB1"/>
    <w:rsid w:val="1FC102B2"/>
    <w:rsid w:val="1FC4572B"/>
    <w:rsid w:val="1FE44790"/>
    <w:rsid w:val="20175069"/>
    <w:rsid w:val="206C136C"/>
    <w:rsid w:val="207D1EB6"/>
    <w:rsid w:val="20CF6B56"/>
    <w:rsid w:val="210B4229"/>
    <w:rsid w:val="21173128"/>
    <w:rsid w:val="214D0379"/>
    <w:rsid w:val="21526338"/>
    <w:rsid w:val="21531782"/>
    <w:rsid w:val="2154593F"/>
    <w:rsid w:val="21627A7F"/>
    <w:rsid w:val="2164183D"/>
    <w:rsid w:val="21731DFE"/>
    <w:rsid w:val="21A63948"/>
    <w:rsid w:val="21F83888"/>
    <w:rsid w:val="21FE759C"/>
    <w:rsid w:val="220A23E4"/>
    <w:rsid w:val="221128F1"/>
    <w:rsid w:val="222039B6"/>
    <w:rsid w:val="224029DA"/>
    <w:rsid w:val="22430DFD"/>
    <w:rsid w:val="22573150"/>
    <w:rsid w:val="22653EED"/>
    <w:rsid w:val="226E2494"/>
    <w:rsid w:val="227F301E"/>
    <w:rsid w:val="22CA56D0"/>
    <w:rsid w:val="22CF0F38"/>
    <w:rsid w:val="22DB0E5E"/>
    <w:rsid w:val="22F128E5"/>
    <w:rsid w:val="22F408A2"/>
    <w:rsid w:val="22F822B9"/>
    <w:rsid w:val="230B54CD"/>
    <w:rsid w:val="231B23CF"/>
    <w:rsid w:val="23250AF9"/>
    <w:rsid w:val="233A5155"/>
    <w:rsid w:val="233D54F5"/>
    <w:rsid w:val="23482978"/>
    <w:rsid w:val="236723EA"/>
    <w:rsid w:val="23761ADE"/>
    <w:rsid w:val="237E2DED"/>
    <w:rsid w:val="239850D9"/>
    <w:rsid w:val="23B15197"/>
    <w:rsid w:val="23CE0345"/>
    <w:rsid w:val="23E37966"/>
    <w:rsid w:val="23E7405F"/>
    <w:rsid w:val="23F21242"/>
    <w:rsid w:val="24056C0C"/>
    <w:rsid w:val="240A2062"/>
    <w:rsid w:val="24174945"/>
    <w:rsid w:val="24415E66"/>
    <w:rsid w:val="244C6FA1"/>
    <w:rsid w:val="2453076C"/>
    <w:rsid w:val="24761396"/>
    <w:rsid w:val="24885842"/>
    <w:rsid w:val="249E7C1F"/>
    <w:rsid w:val="24A25B25"/>
    <w:rsid w:val="24E5431B"/>
    <w:rsid w:val="24E756F7"/>
    <w:rsid w:val="24F84776"/>
    <w:rsid w:val="24FA6B00"/>
    <w:rsid w:val="250E2E4F"/>
    <w:rsid w:val="25104070"/>
    <w:rsid w:val="253A39EF"/>
    <w:rsid w:val="253F1357"/>
    <w:rsid w:val="254764EA"/>
    <w:rsid w:val="256528B6"/>
    <w:rsid w:val="25746D8F"/>
    <w:rsid w:val="25AD6F5A"/>
    <w:rsid w:val="25AE7C7E"/>
    <w:rsid w:val="25AF7C37"/>
    <w:rsid w:val="25BA2131"/>
    <w:rsid w:val="25D11EBF"/>
    <w:rsid w:val="25FB4E78"/>
    <w:rsid w:val="263B7E57"/>
    <w:rsid w:val="26624DDF"/>
    <w:rsid w:val="266B7360"/>
    <w:rsid w:val="26976211"/>
    <w:rsid w:val="26C44ACD"/>
    <w:rsid w:val="26F5521B"/>
    <w:rsid w:val="26F669DB"/>
    <w:rsid w:val="26F91529"/>
    <w:rsid w:val="26FD14F9"/>
    <w:rsid w:val="271E7135"/>
    <w:rsid w:val="27846718"/>
    <w:rsid w:val="27981701"/>
    <w:rsid w:val="27996931"/>
    <w:rsid w:val="27A233AD"/>
    <w:rsid w:val="27B70919"/>
    <w:rsid w:val="27B77907"/>
    <w:rsid w:val="27C87316"/>
    <w:rsid w:val="27D65E07"/>
    <w:rsid w:val="27E4627F"/>
    <w:rsid w:val="27E72FE3"/>
    <w:rsid w:val="27F154AD"/>
    <w:rsid w:val="27F754CA"/>
    <w:rsid w:val="28065AFB"/>
    <w:rsid w:val="2814612D"/>
    <w:rsid w:val="28591E4C"/>
    <w:rsid w:val="286427D1"/>
    <w:rsid w:val="286640ED"/>
    <w:rsid w:val="288A1B89"/>
    <w:rsid w:val="28A04005"/>
    <w:rsid w:val="28AF74A9"/>
    <w:rsid w:val="28EB2BDE"/>
    <w:rsid w:val="28F45400"/>
    <w:rsid w:val="28F72937"/>
    <w:rsid w:val="28F96D0F"/>
    <w:rsid w:val="290A53C7"/>
    <w:rsid w:val="293E0CDF"/>
    <w:rsid w:val="29581C87"/>
    <w:rsid w:val="295A6264"/>
    <w:rsid w:val="29650277"/>
    <w:rsid w:val="297D5EA4"/>
    <w:rsid w:val="2980599E"/>
    <w:rsid w:val="298E7AED"/>
    <w:rsid w:val="29A76DE1"/>
    <w:rsid w:val="29A80F84"/>
    <w:rsid w:val="29D93688"/>
    <w:rsid w:val="29E4176D"/>
    <w:rsid w:val="2A194347"/>
    <w:rsid w:val="2A1D7359"/>
    <w:rsid w:val="2A3C1B75"/>
    <w:rsid w:val="2A4B0058"/>
    <w:rsid w:val="2A5801C4"/>
    <w:rsid w:val="2A5A3FE6"/>
    <w:rsid w:val="2A845E7D"/>
    <w:rsid w:val="2A9038C1"/>
    <w:rsid w:val="2A950198"/>
    <w:rsid w:val="2AB43436"/>
    <w:rsid w:val="2AC14B65"/>
    <w:rsid w:val="2AC3613C"/>
    <w:rsid w:val="2AD22DC8"/>
    <w:rsid w:val="2ADF4D56"/>
    <w:rsid w:val="2AE94B19"/>
    <w:rsid w:val="2AF163C6"/>
    <w:rsid w:val="2B094877"/>
    <w:rsid w:val="2B1F5FA8"/>
    <w:rsid w:val="2B207AD9"/>
    <w:rsid w:val="2B2709D1"/>
    <w:rsid w:val="2B295921"/>
    <w:rsid w:val="2B2A6AF5"/>
    <w:rsid w:val="2B386066"/>
    <w:rsid w:val="2B533853"/>
    <w:rsid w:val="2B5770EC"/>
    <w:rsid w:val="2B5D5C51"/>
    <w:rsid w:val="2B763B4B"/>
    <w:rsid w:val="2B7C2816"/>
    <w:rsid w:val="2BEE2D0F"/>
    <w:rsid w:val="2BFF463C"/>
    <w:rsid w:val="2C026297"/>
    <w:rsid w:val="2C052212"/>
    <w:rsid w:val="2C0E2397"/>
    <w:rsid w:val="2C0E435F"/>
    <w:rsid w:val="2C3167C0"/>
    <w:rsid w:val="2C360D90"/>
    <w:rsid w:val="2C40389F"/>
    <w:rsid w:val="2C5C534A"/>
    <w:rsid w:val="2C8258CA"/>
    <w:rsid w:val="2C8F7203"/>
    <w:rsid w:val="2C9034E6"/>
    <w:rsid w:val="2C9C4985"/>
    <w:rsid w:val="2CBA43B5"/>
    <w:rsid w:val="2CBE4665"/>
    <w:rsid w:val="2CEF46B1"/>
    <w:rsid w:val="2CF67C9B"/>
    <w:rsid w:val="2CFE4390"/>
    <w:rsid w:val="2D051FDE"/>
    <w:rsid w:val="2D4B1BF3"/>
    <w:rsid w:val="2D684CDE"/>
    <w:rsid w:val="2D6A0F01"/>
    <w:rsid w:val="2D7B7CF2"/>
    <w:rsid w:val="2D7F46D6"/>
    <w:rsid w:val="2D9B0933"/>
    <w:rsid w:val="2DA2292A"/>
    <w:rsid w:val="2DAC5BF8"/>
    <w:rsid w:val="2DB90B82"/>
    <w:rsid w:val="2DF633BB"/>
    <w:rsid w:val="2DF65BB0"/>
    <w:rsid w:val="2DFD4BAB"/>
    <w:rsid w:val="2E0C6253"/>
    <w:rsid w:val="2E292111"/>
    <w:rsid w:val="2E2C6BA8"/>
    <w:rsid w:val="2E553988"/>
    <w:rsid w:val="2E603777"/>
    <w:rsid w:val="2E624629"/>
    <w:rsid w:val="2E641A7D"/>
    <w:rsid w:val="2E9335DF"/>
    <w:rsid w:val="2E9A13BF"/>
    <w:rsid w:val="2EA15273"/>
    <w:rsid w:val="2EC6631F"/>
    <w:rsid w:val="2ED0766D"/>
    <w:rsid w:val="2EE50BFF"/>
    <w:rsid w:val="2EE6386C"/>
    <w:rsid w:val="2F0A0AAF"/>
    <w:rsid w:val="2F1A550D"/>
    <w:rsid w:val="2F373F2F"/>
    <w:rsid w:val="2F403519"/>
    <w:rsid w:val="2F4E2CF9"/>
    <w:rsid w:val="2F5A149A"/>
    <w:rsid w:val="2F725D55"/>
    <w:rsid w:val="2F911A4F"/>
    <w:rsid w:val="2F966089"/>
    <w:rsid w:val="2FB41CFE"/>
    <w:rsid w:val="2FD408F8"/>
    <w:rsid w:val="2FD8112C"/>
    <w:rsid w:val="2FEB066E"/>
    <w:rsid w:val="2FEB7B4D"/>
    <w:rsid w:val="2FF975F4"/>
    <w:rsid w:val="301629CD"/>
    <w:rsid w:val="305F138B"/>
    <w:rsid w:val="30640F12"/>
    <w:rsid w:val="306A22A0"/>
    <w:rsid w:val="309107A3"/>
    <w:rsid w:val="309D35CC"/>
    <w:rsid w:val="30B644F5"/>
    <w:rsid w:val="30BA2526"/>
    <w:rsid w:val="30BC047F"/>
    <w:rsid w:val="30C90256"/>
    <w:rsid w:val="30E34C69"/>
    <w:rsid w:val="31071897"/>
    <w:rsid w:val="311E56E3"/>
    <w:rsid w:val="31213A03"/>
    <w:rsid w:val="313553FA"/>
    <w:rsid w:val="314D7BF8"/>
    <w:rsid w:val="316D2048"/>
    <w:rsid w:val="316F26C1"/>
    <w:rsid w:val="317029BE"/>
    <w:rsid w:val="318B7D2A"/>
    <w:rsid w:val="31AB5148"/>
    <w:rsid w:val="31BB7257"/>
    <w:rsid w:val="31DB38CC"/>
    <w:rsid w:val="32266A2C"/>
    <w:rsid w:val="32412F68"/>
    <w:rsid w:val="324616E0"/>
    <w:rsid w:val="3253689B"/>
    <w:rsid w:val="3260395B"/>
    <w:rsid w:val="32656BA1"/>
    <w:rsid w:val="32750728"/>
    <w:rsid w:val="32951856"/>
    <w:rsid w:val="32963A97"/>
    <w:rsid w:val="32A85C69"/>
    <w:rsid w:val="32B82649"/>
    <w:rsid w:val="32C94540"/>
    <w:rsid w:val="32EE328D"/>
    <w:rsid w:val="33124664"/>
    <w:rsid w:val="33365F14"/>
    <w:rsid w:val="33386686"/>
    <w:rsid w:val="333D0283"/>
    <w:rsid w:val="33590AD6"/>
    <w:rsid w:val="335F00B6"/>
    <w:rsid w:val="33997628"/>
    <w:rsid w:val="33A11CEF"/>
    <w:rsid w:val="33BA6B1A"/>
    <w:rsid w:val="33DA2D02"/>
    <w:rsid w:val="33DE31C6"/>
    <w:rsid w:val="33FF26D2"/>
    <w:rsid w:val="34272842"/>
    <w:rsid w:val="342D713A"/>
    <w:rsid w:val="345C11AD"/>
    <w:rsid w:val="346E362F"/>
    <w:rsid w:val="34842D44"/>
    <w:rsid w:val="3489694E"/>
    <w:rsid w:val="34BA7736"/>
    <w:rsid w:val="34ED30CB"/>
    <w:rsid w:val="3509393A"/>
    <w:rsid w:val="350F26F1"/>
    <w:rsid w:val="35131158"/>
    <w:rsid w:val="352A75CF"/>
    <w:rsid w:val="35396A06"/>
    <w:rsid w:val="353B434C"/>
    <w:rsid w:val="353F5AA9"/>
    <w:rsid w:val="354163CF"/>
    <w:rsid w:val="35456AF1"/>
    <w:rsid w:val="355570C0"/>
    <w:rsid w:val="35867B7C"/>
    <w:rsid w:val="35C4227A"/>
    <w:rsid w:val="35C42453"/>
    <w:rsid w:val="35CE33B6"/>
    <w:rsid w:val="35EE03C3"/>
    <w:rsid w:val="35FE5964"/>
    <w:rsid w:val="360F17EB"/>
    <w:rsid w:val="36245292"/>
    <w:rsid w:val="362C50C6"/>
    <w:rsid w:val="36405F1E"/>
    <w:rsid w:val="36502DF4"/>
    <w:rsid w:val="365F32F3"/>
    <w:rsid w:val="3669002F"/>
    <w:rsid w:val="366C6C5C"/>
    <w:rsid w:val="36A84F7B"/>
    <w:rsid w:val="36AC3AB1"/>
    <w:rsid w:val="36F325FE"/>
    <w:rsid w:val="37127DB1"/>
    <w:rsid w:val="372907BF"/>
    <w:rsid w:val="372A5EB9"/>
    <w:rsid w:val="372F23F3"/>
    <w:rsid w:val="372F6D27"/>
    <w:rsid w:val="374B0464"/>
    <w:rsid w:val="374D6E8A"/>
    <w:rsid w:val="3777527A"/>
    <w:rsid w:val="377B00E7"/>
    <w:rsid w:val="379D785B"/>
    <w:rsid w:val="37A71B1A"/>
    <w:rsid w:val="37B2260A"/>
    <w:rsid w:val="37C1142E"/>
    <w:rsid w:val="37C62713"/>
    <w:rsid w:val="37F16A23"/>
    <w:rsid w:val="380F20AB"/>
    <w:rsid w:val="386F747D"/>
    <w:rsid w:val="387E4B3B"/>
    <w:rsid w:val="38932778"/>
    <w:rsid w:val="38BB46CE"/>
    <w:rsid w:val="38CD0D2B"/>
    <w:rsid w:val="38DF4E8F"/>
    <w:rsid w:val="38FD0699"/>
    <w:rsid w:val="38FD3784"/>
    <w:rsid w:val="38FF4DD1"/>
    <w:rsid w:val="39353A54"/>
    <w:rsid w:val="393F0971"/>
    <w:rsid w:val="39572319"/>
    <w:rsid w:val="395E2772"/>
    <w:rsid w:val="39736CE6"/>
    <w:rsid w:val="39813303"/>
    <w:rsid w:val="39BC1DBE"/>
    <w:rsid w:val="39C46DCB"/>
    <w:rsid w:val="39FE1237"/>
    <w:rsid w:val="3A06128C"/>
    <w:rsid w:val="3A0D1B0F"/>
    <w:rsid w:val="3A4248BC"/>
    <w:rsid w:val="3A465D61"/>
    <w:rsid w:val="3AA44FE1"/>
    <w:rsid w:val="3AB331C1"/>
    <w:rsid w:val="3AB74334"/>
    <w:rsid w:val="3AC871EE"/>
    <w:rsid w:val="3ADB3802"/>
    <w:rsid w:val="3AEA6A92"/>
    <w:rsid w:val="3B0E2A77"/>
    <w:rsid w:val="3B281408"/>
    <w:rsid w:val="3B2C4B53"/>
    <w:rsid w:val="3B3140E6"/>
    <w:rsid w:val="3B47175C"/>
    <w:rsid w:val="3B52630A"/>
    <w:rsid w:val="3B8C763D"/>
    <w:rsid w:val="3BB30F9F"/>
    <w:rsid w:val="3BC53255"/>
    <w:rsid w:val="3BD93B72"/>
    <w:rsid w:val="3BF501FD"/>
    <w:rsid w:val="3C092149"/>
    <w:rsid w:val="3C18508C"/>
    <w:rsid w:val="3C7F6F11"/>
    <w:rsid w:val="3C905633"/>
    <w:rsid w:val="3CC245B9"/>
    <w:rsid w:val="3CD054FB"/>
    <w:rsid w:val="3D053C17"/>
    <w:rsid w:val="3D44766B"/>
    <w:rsid w:val="3D631F35"/>
    <w:rsid w:val="3D6562C9"/>
    <w:rsid w:val="3D6D7CBA"/>
    <w:rsid w:val="3D6E1360"/>
    <w:rsid w:val="3D86300B"/>
    <w:rsid w:val="3DA34479"/>
    <w:rsid w:val="3DA567C2"/>
    <w:rsid w:val="3DD11BB1"/>
    <w:rsid w:val="3DE13170"/>
    <w:rsid w:val="3E15394A"/>
    <w:rsid w:val="3E264AF2"/>
    <w:rsid w:val="3E2D1D1E"/>
    <w:rsid w:val="3E43185E"/>
    <w:rsid w:val="3E681972"/>
    <w:rsid w:val="3E824356"/>
    <w:rsid w:val="3E981F6D"/>
    <w:rsid w:val="3EBD5752"/>
    <w:rsid w:val="3EC80EC6"/>
    <w:rsid w:val="3EDF2D98"/>
    <w:rsid w:val="3EED2A1A"/>
    <w:rsid w:val="3F32593D"/>
    <w:rsid w:val="3F5C12A3"/>
    <w:rsid w:val="3F6221C7"/>
    <w:rsid w:val="3F767786"/>
    <w:rsid w:val="3F9A4950"/>
    <w:rsid w:val="3FA63B5D"/>
    <w:rsid w:val="3FAC01DF"/>
    <w:rsid w:val="3FAE7F8C"/>
    <w:rsid w:val="3FD9040F"/>
    <w:rsid w:val="3FF96810"/>
    <w:rsid w:val="40041DC9"/>
    <w:rsid w:val="40063D93"/>
    <w:rsid w:val="40247A79"/>
    <w:rsid w:val="40381A73"/>
    <w:rsid w:val="404C3770"/>
    <w:rsid w:val="4052541B"/>
    <w:rsid w:val="408113ED"/>
    <w:rsid w:val="408769E3"/>
    <w:rsid w:val="40A10C6B"/>
    <w:rsid w:val="40B00A76"/>
    <w:rsid w:val="40B54496"/>
    <w:rsid w:val="40B60FC7"/>
    <w:rsid w:val="40B70C98"/>
    <w:rsid w:val="40BA2CCA"/>
    <w:rsid w:val="41055114"/>
    <w:rsid w:val="41356DBA"/>
    <w:rsid w:val="4137363C"/>
    <w:rsid w:val="418565E0"/>
    <w:rsid w:val="41993FCC"/>
    <w:rsid w:val="41B5047C"/>
    <w:rsid w:val="41B617E9"/>
    <w:rsid w:val="41EC69D4"/>
    <w:rsid w:val="420A5A6F"/>
    <w:rsid w:val="422966DA"/>
    <w:rsid w:val="424C047B"/>
    <w:rsid w:val="424E37D0"/>
    <w:rsid w:val="424E6AAA"/>
    <w:rsid w:val="426A3716"/>
    <w:rsid w:val="427E0AF0"/>
    <w:rsid w:val="428B2CBA"/>
    <w:rsid w:val="429513FF"/>
    <w:rsid w:val="429B5EF6"/>
    <w:rsid w:val="42DA459A"/>
    <w:rsid w:val="42E02E70"/>
    <w:rsid w:val="43010842"/>
    <w:rsid w:val="430D64AD"/>
    <w:rsid w:val="431251DE"/>
    <w:rsid w:val="43166FCC"/>
    <w:rsid w:val="43183CEF"/>
    <w:rsid w:val="432C1F92"/>
    <w:rsid w:val="432C227C"/>
    <w:rsid w:val="43462A0F"/>
    <w:rsid w:val="43E96A97"/>
    <w:rsid w:val="43FB6400"/>
    <w:rsid w:val="44054B9E"/>
    <w:rsid w:val="440C4258"/>
    <w:rsid w:val="440D0AAE"/>
    <w:rsid w:val="441445A5"/>
    <w:rsid w:val="442534DB"/>
    <w:rsid w:val="443B6BCD"/>
    <w:rsid w:val="44503AA0"/>
    <w:rsid w:val="446C2B0B"/>
    <w:rsid w:val="447D6881"/>
    <w:rsid w:val="448A2308"/>
    <w:rsid w:val="448F63E5"/>
    <w:rsid w:val="449D0319"/>
    <w:rsid w:val="44A41DCD"/>
    <w:rsid w:val="44AE0556"/>
    <w:rsid w:val="44B8512D"/>
    <w:rsid w:val="44C262BF"/>
    <w:rsid w:val="44E421C9"/>
    <w:rsid w:val="44F528E4"/>
    <w:rsid w:val="44FC39B7"/>
    <w:rsid w:val="4513485D"/>
    <w:rsid w:val="4545354D"/>
    <w:rsid w:val="458248DC"/>
    <w:rsid w:val="45842042"/>
    <w:rsid w:val="45B63B66"/>
    <w:rsid w:val="45C96EBD"/>
    <w:rsid w:val="45F607B4"/>
    <w:rsid w:val="45F70784"/>
    <w:rsid w:val="46064B1F"/>
    <w:rsid w:val="462D4CD5"/>
    <w:rsid w:val="46445F7E"/>
    <w:rsid w:val="465931D8"/>
    <w:rsid w:val="46596740"/>
    <w:rsid w:val="466A06F7"/>
    <w:rsid w:val="4676409F"/>
    <w:rsid w:val="468C2B19"/>
    <w:rsid w:val="469C5200"/>
    <w:rsid w:val="46C57402"/>
    <w:rsid w:val="46C71EE0"/>
    <w:rsid w:val="4705784A"/>
    <w:rsid w:val="47157C82"/>
    <w:rsid w:val="471B73A3"/>
    <w:rsid w:val="47233C17"/>
    <w:rsid w:val="472F6522"/>
    <w:rsid w:val="476B6BD2"/>
    <w:rsid w:val="47752D74"/>
    <w:rsid w:val="477912EF"/>
    <w:rsid w:val="47891198"/>
    <w:rsid w:val="478A341D"/>
    <w:rsid w:val="47921D1D"/>
    <w:rsid w:val="47992A50"/>
    <w:rsid w:val="479F0B82"/>
    <w:rsid w:val="47EB01EC"/>
    <w:rsid w:val="48027536"/>
    <w:rsid w:val="48096BCD"/>
    <w:rsid w:val="481D686D"/>
    <w:rsid w:val="481F62FD"/>
    <w:rsid w:val="48284AC3"/>
    <w:rsid w:val="483355F2"/>
    <w:rsid w:val="48506438"/>
    <w:rsid w:val="48575E35"/>
    <w:rsid w:val="486155B9"/>
    <w:rsid w:val="486D0453"/>
    <w:rsid w:val="48887A00"/>
    <w:rsid w:val="488E3339"/>
    <w:rsid w:val="48923933"/>
    <w:rsid w:val="489B1BEB"/>
    <w:rsid w:val="489E5B9C"/>
    <w:rsid w:val="48A71E8C"/>
    <w:rsid w:val="48FC1F24"/>
    <w:rsid w:val="49035396"/>
    <w:rsid w:val="49121E75"/>
    <w:rsid w:val="49297DB4"/>
    <w:rsid w:val="494B6CBB"/>
    <w:rsid w:val="49553696"/>
    <w:rsid w:val="495D433B"/>
    <w:rsid w:val="496C5FE9"/>
    <w:rsid w:val="49AC3041"/>
    <w:rsid w:val="49BE0964"/>
    <w:rsid w:val="49CE647D"/>
    <w:rsid w:val="49EE207F"/>
    <w:rsid w:val="49F569A9"/>
    <w:rsid w:val="49FD1BF4"/>
    <w:rsid w:val="4A02381D"/>
    <w:rsid w:val="4A142D75"/>
    <w:rsid w:val="4A2D0A73"/>
    <w:rsid w:val="4A37263C"/>
    <w:rsid w:val="4A4A53BB"/>
    <w:rsid w:val="4A640C72"/>
    <w:rsid w:val="4AB621AF"/>
    <w:rsid w:val="4ABE44F6"/>
    <w:rsid w:val="4AC46D25"/>
    <w:rsid w:val="4AD6218B"/>
    <w:rsid w:val="4AD81B8C"/>
    <w:rsid w:val="4AE52770"/>
    <w:rsid w:val="4AED125B"/>
    <w:rsid w:val="4AEF5393"/>
    <w:rsid w:val="4AF46FBD"/>
    <w:rsid w:val="4AF546A5"/>
    <w:rsid w:val="4B1650A7"/>
    <w:rsid w:val="4B296806"/>
    <w:rsid w:val="4B5509CF"/>
    <w:rsid w:val="4B6418E3"/>
    <w:rsid w:val="4B75264A"/>
    <w:rsid w:val="4B771102"/>
    <w:rsid w:val="4B8600DF"/>
    <w:rsid w:val="4B935D79"/>
    <w:rsid w:val="4B9529B9"/>
    <w:rsid w:val="4B9C7C39"/>
    <w:rsid w:val="4BFA205D"/>
    <w:rsid w:val="4C0A0767"/>
    <w:rsid w:val="4C0C5BFB"/>
    <w:rsid w:val="4C184B28"/>
    <w:rsid w:val="4C243D45"/>
    <w:rsid w:val="4C42415C"/>
    <w:rsid w:val="4C51283A"/>
    <w:rsid w:val="4C6D5B21"/>
    <w:rsid w:val="4C7A3B96"/>
    <w:rsid w:val="4CC01E3B"/>
    <w:rsid w:val="4D0746F9"/>
    <w:rsid w:val="4D0D704C"/>
    <w:rsid w:val="4D3857A8"/>
    <w:rsid w:val="4D3D7E96"/>
    <w:rsid w:val="4D3F1F98"/>
    <w:rsid w:val="4D673998"/>
    <w:rsid w:val="4D7459BA"/>
    <w:rsid w:val="4D806341"/>
    <w:rsid w:val="4D924B60"/>
    <w:rsid w:val="4D9C0513"/>
    <w:rsid w:val="4DB30ECD"/>
    <w:rsid w:val="4DDD3C5A"/>
    <w:rsid w:val="4DDF3E76"/>
    <w:rsid w:val="4DF844BD"/>
    <w:rsid w:val="4DF9504A"/>
    <w:rsid w:val="4E0B19C0"/>
    <w:rsid w:val="4E2E080A"/>
    <w:rsid w:val="4E332CE0"/>
    <w:rsid w:val="4E4F113A"/>
    <w:rsid w:val="4E74636C"/>
    <w:rsid w:val="4E785CB3"/>
    <w:rsid w:val="4E910ED0"/>
    <w:rsid w:val="4EA3344E"/>
    <w:rsid w:val="4EA840E1"/>
    <w:rsid w:val="4EAA45B7"/>
    <w:rsid w:val="4ED676B8"/>
    <w:rsid w:val="4F101103"/>
    <w:rsid w:val="4F264677"/>
    <w:rsid w:val="4F4420B0"/>
    <w:rsid w:val="4F55619D"/>
    <w:rsid w:val="4F7279E0"/>
    <w:rsid w:val="4F734C70"/>
    <w:rsid w:val="4F842729"/>
    <w:rsid w:val="4F8F1792"/>
    <w:rsid w:val="4F955947"/>
    <w:rsid w:val="4FC4328E"/>
    <w:rsid w:val="4FCF29EC"/>
    <w:rsid w:val="4FE155E6"/>
    <w:rsid w:val="4FEE03A0"/>
    <w:rsid w:val="4FFB0720"/>
    <w:rsid w:val="50011E81"/>
    <w:rsid w:val="50024FBE"/>
    <w:rsid w:val="500C6D08"/>
    <w:rsid w:val="500D24DB"/>
    <w:rsid w:val="50274E49"/>
    <w:rsid w:val="502F25B7"/>
    <w:rsid w:val="50665C75"/>
    <w:rsid w:val="508B7505"/>
    <w:rsid w:val="508F1B83"/>
    <w:rsid w:val="509E234E"/>
    <w:rsid w:val="50BD33C3"/>
    <w:rsid w:val="50DB7A7A"/>
    <w:rsid w:val="50F96FFC"/>
    <w:rsid w:val="515D70BA"/>
    <w:rsid w:val="5172503A"/>
    <w:rsid w:val="517B58C5"/>
    <w:rsid w:val="51CD0D7A"/>
    <w:rsid w:val="51E77ECD"/>
    <w:rsid w:val="51FF4AE6"/>
    <w:rsid w:val="521A1886"/>
    <w:rsid w:val="522330A5"/>
    <w:rsid w:val="522530D5"/>
    <w:rsid w:val="52263263"/>
    <w:rsid w:val="525620E2"/>
    <w:rsid w:val="525C5A95"/>
    <w:rsid w:val="528046CF"/>
    <w:rsid w:val="52887083"/>
    <w:rsid w:val="52991EC0"/>
    <w:rsid w:val="52CB547B"/>
    <w:rsid w:val="52D76EED"/>
    <w:rsid w:val="52E861A2"/>
    <w:rsid w:val="52EB38F7"/>
    <w:rsid w:val="534A0626"/>
    <w:rsid w:val="539B01A9"/>
    <w:rsid w:val="53AA6E6F"/>
    <w:rsid w:val="53D224B3"/>
    <w:rsid w:val="53D33B35"/>
    <w:rsid w:val="53E70841"/>
    <w:rsid w:val="53E82F40"/>
    <w:rsid w:val="53E85D6C"/>
    <w:rsid w:val="54130969"/>
    <w:rsid w:val="54207134"/>
    <w:rsid w:val="5427651C"/>
    <w:rsid w:val="54314672"/>
    <w:rsid w:val="545B7419"/>
    <w:rsid w:val="5463583A"/>
    <w:rsid w:val="546E44B5"/>
    <w:rsid w:val="547662E2"/>
    <w:rsid w:val="5489020C"/>
    <w:rsid w:val="54B3647E"/>
    <w:rsid w:val="54E51D72"/>
    <w:rsid w:val="5523289A"/>
    <w:rsid w:val="55280A13"/>
    <w:rsid w:val="55303C7F"/>
    <w:rsid w:val="554D7917"/>
    <w:rsid w:val="555B0C27"/>
    <w:rsid w:val="556E7899"/>
    <w:rsid w:val="5572737D"/>
    <w:rsid w:val="55924641"/>
    <w:rsid w:val="55A970B7"/>
    <w:rsid w:val="55B1721A"/>
    <w:rsid w:val="55C51FC7"/>
    <w:rsid w:val="55E6629F"/>
    <w:rsid w:val="55ED3CDE"/>
    <w:rsid w:val="560962E0"/>
    <w:rsid w:val="560B616B"/>
    <w:rsid w:val="560C7174"/>
    <w:rsid w:val="56705417"/>
    <w:rsid w:val="568022D3"/>
    <w:rsid w:val="56925F47"/>
    <w:rsid w:val="56962768"/>
    <w:rsid w:val="56AF4592"/>
    <w:rsid w:val="56B861EB"/>
    <w:rsid w:val="56BE7DCD"/>
    <w:rsid w:val="56C137C7"/>
    <w:rsid w:val="56D52094"/>
    <w:rsid w:val="56E60E63"/>
    <w:rsid w:val="56ED315F"/>
    <w:rsid w:val="56F3424D"/>
    <w:rsid w:val="573B211D"/>
    <w:rsid w:val="57481454"/>
    <w:rsid w:val="576C0528"/>
    <w:rsid w:val="577C7EF7"/>
    <w:rsid w:val="57814A98"/>
    <w:rsid w:val="578B711E"/>
    <w:rsid w:val="57A14B99"/>
    <w:rsid w:val="57A30872"/>
    <w:rsid w:val="57A45D68"/>
    <w:rsid w:val="57A53A3A"/>
    <w:rsid w:val="57C72904"/>
    <w:rsid w:val="57EE718F"/>
    <w:rsid w:val="580175A7"/>
    <w:rsid w:val="580641A9"/>
    <w:rsid w:val="58113055"/>
    <w:rsid w:val="58336587"/>
    <w:rsid w:val="5841454B"/>
    <w:rsid w:val="584F5009"/>
    <w:rsid w:val="585C28A3"/>
    <w:rsid w:val="5883419B"/>
    <w:rsid w:val="588D6D42"/>
    <w:rsid w:val="589A6A95"/>
    <w:rsid w:val="58BE1257"/>
    <w:rsid w:val="58C56846"/>
    <w:rsid w:val="58F67029"/>
    <w:rsid w:val="590717D1"/>
    <w:rsid w:val="591006A9"/>
    <w:rsid w:val="591744C4"/>
    <w:rsid w:val="593212FE"/>
    <w:rsid w:val="5939585E"/>
    <w:rsid w:val="59471EF0"/>
    <w:rsid w:val="594E653F"/>
    <w:rsid w:val="594F0F45"/>
    <w:rsid w:val="595217BA"/>
    <w:rsid w:val="59526C22"/>
    <w:rsid w:val="59637251"/>
    <w:rsid w:val="596F44B8"/>
    <w:rsid w:val="598C7282"/>
    <w:rsid w:val="599E5578"/>
    <w:rsid w:val="59A0095D"/>
    <w:rsid w:val="59A84A25"/>
    <w:rsid w:val="59BA3C87"/>
    <w:rsid w:val="59BC4527"/>
    <w:rsid w:val="59BC506B"/>
    <w:rsid w:val="59CB0374"/>
    <w:rsid w:val="59CE20CA"/>
    <w:rsid w:val="59D4110B"/>
    <w:rsid w:val="59DB2536"/>
    <w:rsid w:val="59F72D4A"/>
    <w:rsid w:val="59FD5420"/>
    <w:rsid w:val="5A08387B"/>
    <w:rsid w:val="5A445409"/>
    <w:rsid w:val="5A481E32"/>
    <w:rsid w:val="5A64097A"/>
    <w:rsid w:val="5A6776CD"/>
    <w:rsid w:val="5A683452"/>
    <w:rsid w:val="5A9A5E01"/>
    <w:rsid w:val="5AA24261"/>
    <w:rsid w:val="5AB47E9B"/>
    <w:rsid w:val="5AF97D15"/>
    <w:rsid w:val="5AFA7F12"/>
    <w:rsid w:val="5B205979"/>
    <w:rsid w:val="5B3E5045"/>
    <w:rsid w:val="5B4C7C35"/>
    <w:rsid w:val="5B6776E7"/>
    <w:rsid w:val="5B811D24"/>
    <w:rsid w:val="5BAE3E02"/>
    <w:rsid w:val="5BE82357"/>
    <w:rsid w:val="5BF03D68"/>
    <w:rsid w:val="5BFF729B"/>
    <w:rsid w:val="5C1F78BB"/>
    <w:rsid w:val="5C2C7801"/>
    <w:rsid w:val="5C3D1F8E"/>
    <w:rsid w:val="5C3F2CD1"/>
    <w:rsid w:val="5C580288"/>
    <w:rsid w:val="5C5C6A09"/>
    <w:rsid w:val="5C677510"/>
    <w:rsid w:val="5C687049"/>
    <w:rsid w:val="5C6B5AD0"/>
    <w:rsid w:val="5C855BE8"/>
    <w:rsid w:val="5CAC69BE"/>
    <w:rsid w:val="5CD56B70"/>
    <w:rsid w:val="5CD858CE"/>
    <w:rsid w:val="5CDA23D8"/>
    <w:rsid w:val="5CEC41C9"/>
    <w:rsid w:val="5D232D31"/>
    <w:rsid w:val="5D395C6E"/>
    <w:rsid w:val="5D573A29"/>
    <w:rsid w:val="5D6634FE"/>
    <w:rsid w:val="5D6E3E5A"/>
    <w:rsid w:val="5DC03AEF"/>
    <w:rsid w:val="5DC12D95"/>
    <w:rsid w:val="5DCB342A"/>
    <w:rsid w:val="5DD5494D"/>
    <w:rsid w:val="5DF447F2"/>
    <w:rsid w:val="5DF52328"/>
    <w:rsid w:val="5DF66FD5"/>
    <w:rsid w:val="5DF83A5E"/>
    <w:rsid w:val="5E081F3F"/>
    <w:rsid w:val="5E174C1D"/>
    <w:rsid w:val="5E277616"/>
    <w:rsid w:val="5E321FE3"/>
    <w:rsid w:val="5E3738AD"/>
    <w:rsid w:val="5E670223"/>
    <w:rsid w:val="5E6957C1"/>
    <w:rsid w:val="5E8121AE"/>
    <w:rsid w:val="5E8A155D"/>
    <w:rsid w:val="5EA52305"/>
    <w:rsid w:val="5EB52E65"/>
    <w:rsid w:val="5EC01D37"/>
    <w:rsid w:val="5EC300B3"/>
    <w:rsid w:val="5ECF4902"/>
    <w:rsid w:val="5ED44178"/>
    <w:rsid w:val="5EDB05CF"/>
    <w:rsid w:val="5EE7359F"/>
    <w:rsid w:val="5F02328B"/>
    <w:rsid w:val="5F13572D"/>
    <w:rsid w:val="5F156B2D"/>
    <w:rsid w:val="5F7701D5"/>
    <w:rsid w:val="5FB3574D"/>
    <w:rsid w:val="5FB36999"/>
    <w:rsid w:val="5FEF42F1"/>
    <w:rsid w:val="60310E0D"/>
    <w:rsid w:val="60352092"/>
    <w:rsid w:val="60687CFB"/>
    <w:rsid w:val="606D3738"/>
    <w:rsid w:val="60714E01"/>
    <w:rsid w:val="60766B4D"/>
    <w:rsid w:val="6077304D"/>
    <w:rsid w:val="60811272"/>
    <w:rsid w:val="609F2B02"/>
    <w:rsid w:val="60DE7A23"/>
    <w:rsid w:val="60F9224F"/>
    <w:rsid w:val="610226FC"/>
    <w:rsid w:val="61122998"/>
    <w:rsid w:val="6114025D"/>
    <w:rsid w:val="611D0AE5"/>
    <w:rsid w:val="612714EC"/>
    <w:rsid w:val="613A1697"/>
    <w:rsid w:val="613D270C"/>
    <w:rsid w:val="614272E2"/>
    <w:rsid w:val="61530E8C"/>
    <w:rsid w:val="61981AFE"/>
    <w:rsid w:val="619C2341"/>
    <w:rsid w:val="619D4BBE"/>
    <w:rsid w:val="61B41449"/>
    <w:rsid w:val="61C61E0A"/>
    <w:rsid w:val="61C77C1D"/>
    <w:rsid w:val="61C96A54"/>
    <w:rsid w:val="61CF43CF"/>
    <w:rsid w:val="61F9485F"/>
    <w:rsid w:val="620A4FA5"/>
    <w:rsid w:val="623B5EE8"/>
    <w:rsid w:val="62502EEB"/>
    <w:rsid w:val="6251474A"/>
    <w:rsid w:val="62806D1B"/>
    <w:rsid w:val="62A1050C"/>
    <w:rsid w:val="62B2527F"/>
    <w:rsid w:val="62B30023"/>
    <w:rsid w:val="62CA31D3"/>
    <w:rsid w:val="62D0033C"/>
    <w:rsid w:val="62E427AF"/>
    <w:rsid w:val="62E435AD"/>
    <w:rsid w:val="63077F44"/>
    <w:rsid w:val="630A278A"/>
    <w:rsid w:val="631D37BF"/>
    <w:rsid w:val="63391F3F"/>
    <w:rsid w:val="633B2622"/>
    <w:rsid w:val="63815BB3"/>
    <w:rsid w:val="63AE011A"/>
    <w:rsid w:val="63C01445"/>
    <w:rsid w:val="63C86C9D"/>
    <w:rsid w:val="63C94198"/>
    <w:rsid w:val="63E91153"/>
    <w:rsid w:val="63F633B2"/>
    <w:rsid w:val="641D732B"/>
    <w:rsid w:val="64524C71"/>
    <w:rsid w:val="645776EA"/>
    <w:rsid w:val="646D0914"/>
    <w:rsid w:val="648B3BA9"/>
    <w:rsid w:val="648E4C19"/>
    <w:rsid w:val="64B13D6E"/>
    <w:rsid w:val="64F07602"/>
    <w:rsid w:val="64F600C7"/>
    <w:rsid w:val="64F71AFF"/>
    <w:rsid w:val="64F802EA"/>
    <w:rsid w:val="64FB3E9F"/>
    <w:rsid w:val="65152FAE"/>
    <w:rsid w:val="65230A03"/>
    <w:rsid w:val="65537FE3"/>
    <w:rsid w:val="655559FF"/>
    <w:rsid w:val="655F355B"/>
    <w:rsid w:val="65661CED"/>
    <w:rsid w:val="656E421D"/>
    <w:rsid w:val="657333CA"/>
    <w:rsid w:val="657D4945"/>
    <w:rsid w:val="658735BB"/>
    <w:rsid w:val="65975D1F"/>
    <w:rsid w:val="65A315AE"/>
    <w:rsid w:val="65AC068A"/>
    <w:rsid w:val="65AD28FE"/>
    <w:rsid w:val="65AE4FD3"/>
    <w:rsid w:val="65C07C91"/>
    <w:rsid w:val="65C82CB3"/>
    <w:rsid w:val="65D24ECB"/>
    <w:rsid w:val="65D822D1"/>
    <w:rsid w:val="66173D55"/>
    <w:rsid w:val="66287BC3"/>
    <w:rsid w:val="662D0B27"/>
    <w:rsid w:val="6635067F"/>
    <w:rsid w:val="663B5CF3"/>
    <w:rsid w:val="66652D12"/>
    <w:rsid w:val="66987EE3"/>
    <w:rsid w:val="669D0997"/>
    <w:rsid w:val="66A733F7"/>
    <w:rsid w:val="66BB13B7"/>
    <w:rsid w:val="66C96B78"/>
    <w:rsid w:val="66D00C46"/>
    <w:rsid w:val="66F760B7"/>
    <w:rsid w:val="66FA79C7"/>
    <w:rsid w:val="670460F0"/>
    <w:rsid w:val="67177D85"/>
    <w:rsid w:val="672079CE"/>
    <w:rsid w:val="67410186"/>
    <w:rsid w:val="67627252"/>
    <w:rsid w:val="677113AE"/>
    <w:rsid w:val="67727B56"/>
    <w:rsid w:val="67AF2004"/>
    <w:rsid w:val="67C24944"/>
    <w:rsid w:val="67CA5685"/>
    <w:rsid w:val="67D02DE3"/>
    <w:rsid w:val="67D52BF4"/>
    <w:rsid w:val="67D85766"/>
    <w:rsid w:val="67FB3ECF"/>
    <w:rsid w:val="68014955"/>
    <w:rsid w:val="68396D3E"/>
    <w:rsid w:val="684A77F7"/>
    <w:rsid w:val="6869321B"/>
    <w:rsid w:val="68750541"/>
    <w:rsid w:val="687F7594"/>
    <w:rsid w:val="68996CA3"/>
    <w:rsid w:val="68AA0EB0"/>
    <w:rsid w:val="68C606EB"/>
    <w:rsid w:val="68E55C3C"/>
    <w:rsid w:val="68F0705B"/>
    <w:rsid w:val="68FB5BB0"/>
    <w:rsid w:val="69104A4C"/>
    <w:rsid w:val="6917406C"/>
    <w:rsid w:val="69216BAA"/>
    <w:rsid w:val="693370F8"/>
    <w:rsid w:val="694646A7"/>
    <w:rsid w:val="69763C4C"/>
    <w:rsid w:val="69B30239"/>
    <w:rsid w:val="69CC22D0"/>
    <w:rsid w:val="6A0D08B4"/>
    <w:rsid w:val="6A0E5176"/>
    <w:rsid w:val="6A39302B"/>
    <w:rsid w:val="6A4D243B"/>
    <w:rsid w:val="6A670A44"/>
    <w:rsid w:val="6A687B43"/>
    <w:rsid w:val="6A6921D7"/>
    <w:rsid w:val="6A6E23B2"/>
    <w:rsid w:val="6A9C3C93"/>
    <w:rsid w:val="6AE0593C"/>
    <w:rsid w:val="6AEA1A38"/>
    <w:rsid w:val="6B275BCB"/>
    <w:rsid w:val="6B2904EB"/>
    <w:rsid w:val="6B2E65E9"/>
    <w:rsid w:val="6B5D5C1E"/>
    <w:rsid w:val="6B6D231D"/>
    <w:rsid w:val="6BCD5CBB"/>
    <w:rsid w:val="6BE0108D"/>
    <w:rsid w:val="6BEB618E"/>
    <w:rsid w:val="6BF23B1A"/>
    <w:rsid w:val="6C0B0BB1"/>
    <w:rsid w:val="6C36495B"/>
    <w:rsid w:val="6C3B28A2"/>
    <w:rsid w:val="6C5D1951"/>
    <w:rsid w:val="6C7A6F4C"/>
    <w:rsid w:val="6C843DE4"/>
    <w:rsid w:val="6C9F1936"/>
    <w:rsid w:val="6CAA361C"/>
    <w:rsid w:val="6CC34D2E"/>
    <w:rsid w:val="6CD05E9D"/>
    <w:rsid w:val="6CDA3F74"/>
    <w:rsid w:val="6CFC73C8"/>
    <w:rsid w:val="6D0A2B07"/>
    <w:rsid w:val="6D22586C"/>
    <w:rsid w:val="6D290A41"/>
    <w:rsid w:val="6D2F0B61"/>
    <w:rsid w:val="6D317DF2"/>
    <w:rsid w:val="6D39305B"/>
    <w:rsid w:val="6D5B238A"/>
    <w:rsid w:val="6D9F2EF3"/>
    <w:rsid w:val="6DAB6D43"/>
    <w:rsid w:val="6DB90768"/>
    <w:rsid w:val="6DBE4B05"/>
    <w:rsid w:val="6DC41B7E"/>
    <w:rsid w:val="6DED2465"/>
    <w:rsid w:val="6DF8794A"/>
    <w:rsid w:val="6E0472B5"/>
    <w:rsid w:val="6E070ABA"/>
    <w:rsid w:val="6E1D2124"/>
    <w:rsid w:val="6E37257A"/>
    <w:rsid w:val="6E4C47B8"/>
    <w:rsid w:val="6E53690E"/>
    <w:rsid w:val="6E7905C6"/>
    <w:rsid w:val="6E851A78"/>
    <w:rsid w:val="6E90449D"/>
    <w:rsid w:val="6E9D2C92"/>
    <w:rsid w:val="6ED71E7D"/>
    <w:rsid w:val="6EDF387E"/>
    <w:rsid w:val="6F00046B"/>
    <w:rsid w:val="6F0F23FE"/>
    <w:rsid w:val="6F2861E7"/>
    <w:rsid w:val="6F354B8E"/>
    <w:rsid w:val="6F3D1866"/>
    <w:rsid w:val="6F471A9C"/>
    <w:rsid w:val="6F487CDD"/>
    <w:rsid w:val="6F526108"/>
    <w:rsid w:val="6F712728"/>
    <w:rsid w:val="6F8133B6"/>
    <w:rsid w:val="6F8E5F5F"/>
    <w:rsid w:val="6FB96E91"/>
    <w:rsid w:val="702F3145"/>
    <w:rsid w:val="70411056"/>
    <w:rsid w:val="70441BEA"/>
    <w:rsid w:val="70482301"/>
    <w:rsid w:val="705C49E8"/>
    <w:rsid w:val="707D6EAA"/>
    <w:rsid w:val="70891DE8"/>
    <w:rsid w:val="70900E43"/>
    <w:rsid w:val="70C36134"/>
    <w:rsid w:val="70D56CE6"/>
    <w:rsid w:val="71235CA4"/>
    <w:rsid w:val="71242C6D"/>
    <w:rsid w:val="712D7C5D"/>
    <w:rsid w:val="71895FDC"/>
    <w:rsid w:val="71AF3CF0"/>
    <w:rsid w:val="71D15F71"/>
    <w:rsid w:val="72031631"/>
    <w:rsid w:val="720A7EC3"/>
    <w:rsid w:val="72152D33"/>
    <w:rsid w:val="723E2669"/>
    <w:rsid w:val="724524A3"/>
    <w:rsid w:val="72461F17"/>
    <w:rsid w:val="7249322F"/>
    <w:rsid w:val="72565826"/>
    <w:rsid w:val="725D51E5"/>
    <w:rsid w:val="726B0A7C"/>
    <w:rsid w:val="726E69C7"/>
    <w:rsid w:val="72785ABE"/>
    <w:rsid w:val="72857336"/>
    <w:rsid w:val="72A94CAD"/>
    <w:rsid w:val="72B50CF3"/>
    <w:rsid w:val="72C03E5C"/>
    <w:rsid w:val="72C834C6"/>
    <w:rsid w:val="72D70695"/>
    <w:rsid w:val="73047835"/>
    <w:rsid w:val="733777E5"/>
    <w:rsid w:val="7354206C"/>
    <w:rsid w:val="735812E0"/>
    <w:rsid w:val="73667ADF"/>
    <w:rsid w:val="736D1458"/>
    <w:rsid w:val="73900965"/>
    <w:rsid w:val="7392390B"/>
    <w:rsid w:val="739C5CBB"/>
    <w:rsid w:val="73A549A8"/>
    <w:rsid w:val="73BB5FFC"/>
    <w:rsid w:val="73DC27D7"/>
    <w:rsid w:val="73E8676B"/>
    <w:rsid w:val="73F863E7"/>
    <w:rsid w:val="73FE2876"/>
    <w:rsid w:val="742B629C"/>
    <w:rsid w:val="745E0873"/>
    <w:rsid w:val="74AA06A5"/>
    <w:rsid w:val="74AE12B5"/>
    <w:rsid w:val="74B947C8"/>
    <w:rsid w:val="74C62534"/>
    <w:rsid w:val="74DE41A5"/>
    <w:rsid w:val="74E068A6"/>
    <w:rsid w:val="74EF0830"/>
    <w:rsid w:val="75057F0E"/>
    <w:rsid w:val="75092201"/>
    <w:rsid w:val="75102B6D"/>
    <w:rsid w:val="751C1DAC"/>
    <w:rsid w:val="752E4419"/>
    <w:rsid w:val="75355FA6"/>
    <w:rsid w:val="755F632A"/>
    <w:rsid w:val="75650DBE"/>
    <w:rsid w:val="75926F9B"/>
    <w:rsid w:val="75B871F4"/>
    <w:rsid w:val="75D307FB"/>
    <w:rsid w:val="75DD53C1"/>
    <w:rsid w:val="75E838A5"/>
    <w:rsid w:val="7608190C"/>
    <w:rsid w:val="763D108C"/>
    <w:rsid w:val="763F2271"/>
    <w:rsid w:val="76436116"/>
    <w:rsid w:val="764C63FC"/>
    <w:rsid w:val="768F5FAD"/>
    <w:rsid w:val="769B4432"/>
    <w:rsid w:val="76DA14E7"/>
    <w:rsid w:val="76F82A61"/>
    <w:rsid w:val="772838E9"/>
    <w:rsid w:val="7738190B"/>
    <w:rsid w:val="773F40BA"/>
    <w:rsid w:val="77710203"/>
    <w:rsid w:val="777234E1"/>
    <w:rsid w:val="77775144"/>
    <w:rsid w:val="77960B40"/>
    <w:rsid w:val="77B87C8B"/>
    <w:rsid w:val="77E15873"/>
    <w:rsid w:val="77E93077"/>
    <w:rsid w:val="781A06BE"/>
    <w:rsid w:val="78233866"/>
    <w:rsid w:val="78241069"/>
    <w:rsid w:val="783811BA"/>
    <w:rsid w:val="78427596"/>
    <w:rsid w:val="784A7738"/>
    <w:rsid w:val="78614015"/>
    <w:rsid w:val="787640B9"/>
    <w:rsid w:val="78962C14"/>
    <w:rsid w:val="789A5223"/>
    <w:rsid w:val="78D3651B"/>
    <w:rsid w:val="78D82449"/>
    <w:rsid w:val="79036BAB"/>
    <w:rsid w:val="79086F68"/>
    <w:rsid w:val="791042D0"/>
    <w:rsid w:val="79230202"/>
    <w:rsid w:val="79310C50"/>
    <w:rsid w:val="794B1A7D"/>
    <w:rsid w:val="79720AD7"/>
    <w:rsid w:val="798F6CC9"/>
    <w:rsid w:val="799D1324"/>
    <w:rsid w:val="79A00049"/>
    <w:rsid w:val="79AD0E19"/>
    <w:rsid w:val="79DA65B9"/>
    <w:rsid w:val="79E32A68"/>
    <w:rsid w:val="79E74DBD"/>
    <w:rsid w:val="7A155DB4"/>
    <w:rsid w:val="7A19518C"/>
    <w:rsid w:val="7A1F5FB2"/>
    <w:rsid w:val="7A362145"/>
    <w:rsid w:val="7A685CAA"/>
    <w:rsid w:val="7A6A1622"/>
    <w:rsid w:val="7A8A57A4"/>
    <w:rsid w:val="7AA63EA1"/>
    <w:rsid w:val="7AAC6B88"/>
    <w:rsid w:val="7ABC2356"/>
    <w:rsid w:val="7ACB3C8A"/>
    <w:rsid w:val="7AD8620E"/>
    <w:rsid w:val="7ADD3D26"/>
    <w:rsid w:val="7ADF203F"/>
    <w:rsid w:val="7AF904A7"/>
    <w:rsid w:val="7B023997"/>
    <w:rsid w:val="7B05467C"/>
    <w:rsid w:val="7B0A078E"/>
    <w:rsid w:val="7B163182"/>
    <w:rsid w:val="7B2F3497"/>
    <w:rsid w:val="7B30793B"/>
    <w:rsid w:val="7B3C63B0"/>
    <w:rsid w:val="7B5E5723"/>
    <w:rsid w:val="7B6969A9"/>
    <w:rsid w:val="7B6F2546"/>
    <w:rsid w:val="7B7066F4"/>
    <w:rsid w:val="7B827A6B"/>
    <w:rsid w:val="7BB8142E"/>
    <w:rsid w:val="7BBB4D2B"/>
    <w:rsid w:val="7BC75BA5"/>
    <w:rsid w:val="7BC959E8"/>
    <w:rsid w:val="7C647170"/>
    <w:rsid w:val="7C7E1268"/>
    <w:rsid w:val="7CA66985"/>
    <w:rsid w:val="7CD83B06"/>
    <w:rsid w:val="7CE7095F"/>
    <w:rsid w:val="7CED360A"/>
    <w:rsid w:val="7D0A2558"/>
    <w:rsid w:val="7D163687"/>
    <w:rsid w:val="7D225F12"/>
    <w:rsid w:val="7D6A3375"/>
    <w:rsid w:val="7D8B7F83"/>
    <w:rsid w:val="7D96397E"/>
    <w:rsid w:val="7D983989"/>
    <w:rsid w:val="7DCF18E9"/>
    <w:rsid w:val="7DD847A2"/>
    <w:rsid w:val="7DDE1E87"/>
    <w:rsid w:val="7DE9169E"/>
    <w:rsid w:val="7DF1015F"/>
    <w:rsid w:val="7DF67833"/>
    <w:rsid w:val="7DF975A7"/>
    <w:rsid w:val="7DFD4E25"/>
    <w:rsid w:val="7DFF3858"/>
    <w:rsid w:val="7E1E4084"/>
    <w:rsid w:val="7E204D29"/>
    <w:rsid w:val="7E394D59"/>
    <w:rsid w:val="7E4B5979"/>
    <w:rsid w:val="7E6760EB"/>
    <w:rsid w:val="7E6C1B17"/>
    <w:rsid w:val="7E721BB2"/>
    <w:rsid w:val="7E7270C8"/>
    <w:rsid w:val="7E796AAF"/>
    <w:rsid w:val="7E7C266C"/>
    <w:rsid w:val="7E872BE1"/>
    <w:rsid w:val="7EAE0EDA"/>
    <w:rsid w:val="7EB1452A"/>
    <w:rsid w:val="7EBB2475"/>
    <w:rsid w:val="7EFF158C"/>
    <w:rsid w:val="7F120CA4"/>
    <w:rsid w:val="7F2257ED"/>
    <w:rsid w:val="7F315380"/>
    <w:rsid w:val="7F3379FA"/>
    <w:rsid w:val="7F41310A"/>
    <w:rsid w:val="7FB50B97"/>
    <w:rsid w:val="7FDE4409"/>
    <w:rsid w:val="7FE33EC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qFormat/>
    <w:locked/>
    <w:uiPriority w:val="0"/>
    <w:pPr>
      <w:spacing w:beforeAutospacing="1" w:afterAutospacing="1"/>
      <w:outlineLvl w:val="0"/>
    </w:pPr>
    <w:rPr>
      <w:rFonts w:hint="eastAsia" w:cs="Times New Roman"/>
      <w:b/>
      <w:kern w:val="44"/>
      <w:sz w:val="48"/>
      <w:szCs w:val="48"/>
    </w:rPr>
  </w:style>
  <w:style w:type="paragraph" w:styleId="3">
    <w:name w:val="heading 2"/>
    <w:basedOn w:val="1"/>
    <w:next w:val="4"/>
    <w:qFormat/>
    <w:locked/>
    <w:uiPriority w:val="0"/>
    <w:pPr>
      <w:keepNext/>
      <w:keepLines/>
      <w:spacing w:before="100" w:beforeLines="100" w:after="100" w:afterLines="100" w:line="500" w:lineRule="exact"/>
      <w:jc w:val="center"/>
      <w:outlineLvl w:val="1"/>
    </w:pPr>
    <w:rPr>
      <w:rFonts w:ascii="Arial" w:hAnsi="Arial" w:eastAsia="宋体"/>
      <w:b/>
      <w:sz w:val="28"/>
      <w:szCs w:val="20"/>
    </w:rPr>
  </w:style>
  <w:style w:type="paragraph" w:styleId="5">
    <w:name w:val="heading 4"/>
    <w:basedOn w:val="1"/>
    <w:next w:val="1"/>
    <w:qFormat/>
    <w:locked/>
    <w:uiPriority w:val="0"/>
    <w:pPr>
      <w:keepNext/>
      <w:keepLines/>
      <w:spacing w:line="360" w:lineRule="auto"/>
      <w:outlineLvl w:val="3"/>
    </w:pPr>
    <w:rPr>
      <w:rFonts w:ascii="Arial" w:hAnsi="Arial"/>
      <w:b/>
      <w:bCs/>
      <w:kern w:val="2"/>
      <w:sz w:val="21"/>
      <w:szCs w:val="28"/>
    </w:rPr>
  </w:style>
  <w:style w:type="paragraph" w:styleId="6">
    <w:name w:val="heading 6"/>
    <w:basedOn w:val="1"/>
    <w:next w:val="1"/>
    <w:unhideWhenUsed/>
    <w:qFormat/>
    <w:locked/>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paragraph" w:styleId="7">
    <w:name w:val="heading 9"/>
    <w:basedOn w:val="1"/>
    <w:next w:val="1"/>
    <w:semiHidden/>
    <w:unhideWhenUsed/>
    <w:qFormat/>
    <w:locked/>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firstLineChars="200"/>
    </w:pPr>
    <w:rPr>
      <w:rFonts w:ascii="Times New Roman" w:hAnsi="Times New Roman"/>
    </w:rPr>
  </w:style>
  <w:style w:type="paragraph" w:styleId="8">
    <w:name w:val="toa heading"/>
    <w:basedOn w:val="1"/>
    <w:next w:val="1"/>
    <w:qFormat/>
    <w:uiPriority w:val="0"/>
    <w:pPr>
      <w:spacing w:before="120"/>
    </w:pPr>
    <w:rPr>
      <w:rFonts w:ascii="Arial" w:hAnsi="Arial"/>
    </w:rPr>
  </w:style>
  <w:style w:type="paragraph" w:styleId="9">
    <w:name w:val="Body Text 3"/>
    <w:basedOn w:val="1"/>
    <w:qFormat/>
    <w:uiPriority w:val="0"/>
    <w:pPr>
      <w:keepNext w:val="0"/>
      <w:keepLines w:val="0"/>
      <w:widowControl w:val="0"/>
      <w:suppressLineNumbers w:val="0"/>
      <w:spacing w:before="0" w:beforeAutospacing="0" w:after="120" w:afterAutospacing="0"/>
      <w:ind w:left="0" w:right="0"/>
      <w:jc w:val="both"/>
    </w:pPr>
    <w:rPr>
      <w:rFonts w:hint="default" w:ascii="Times New Roman" w:hAnsi="Times New Roman" w:eastAsia="宋体" w:cs="Times New Roman"/>
      <w:kern w:val="2"/>
      <w:sz w:val="16"/>
      <w:szCs w:val="16"/>
      <w:lang w:val="en-US" w:eastAsia="zh-CN" w:bidi="ar"/>
    </w:rPr>
  </w:style>
  <w:style w:type="paragraph" w:styleId="10">
    <w:name w:val="Body Text"/>
    <w:basedOn w:val="1"/>
    <w:next w:val="11"/>
    <w:link w:val="37"/>
    <w:qFormat/>
    <w:uiPriority w:val="99"/>
    <w:pPr>
      <w:widowControl w:val="0"/>
      <w:spacing w:after="120"/>
      <w:jc w:val="both"/>
    </w:pPr>
    <w:rPr>
      <w:rFonts w:ascii="Calibri" w:hAnsi="Calibri" w:cs="Times New Roman"/>
      <w:kern w:val="2"/>
      <w:sz w:val="21"/>
      <w:szCs w:val="22"/>
    </w:rPr>
  </w:style>
  <w:style w:type="paragraph" w:customStyle="1" w:styleId="11">
    <w:name w:val="Default"/>
    <w:next w:val="12"/>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2">
    <w:name w:val="Intense Quote"/>
    <w:next w:val="1"/>
    <w:qFormat/>
    <w:uiPriority w:val="0"/>
    <w:pPr>
      <w:wordWrap w:val="0"/>
      <w:spacing w:before="360" w:after="360"/>
      <w:ind w:left="950" w:right="950"/>
      <w:jc w:val="center"/>
    </w:pPr>
    <w:rPr>
      <w:rFonts w:ascii="Calibri" w:hAnsi="Calibri" w:eastAsia="宋体" w:cs="Times New Roman"/>
      <w:i/>
      <w:sz w:val="21"/>
      <w:lang w:val="en-US" w:eastAsia="zh-CN" w:bidi="ar-SA"/>
    </w:rPr>
  </w:style>
  <w:style w:type="paragraph" w:styleId="13">
    <w:name w:val="Body Text Indent"/>
    <w:basedOn w:val="1"/>
    <w:next w:val="1"/>
    <w:qFormat/>
    <w:uiPriority w:val="0"/>
    <w:pPr>
      <w:spacing w:after="120"/>
      <w:ind w:left="420" w:leftChars="200"/>
    </w:pPr>
  </w:style>
  <w:style w:type="paragraph" w:styleId="14">
    <w:name w:val="Plain Text"/>
    <w:basedOn w:val="1"/>
    <w:next w:val="1"/>
    <w:link w:val="57"/>
    <w:qFormat/>
    <w:uiPriority w:val="0"/>
    <w:pPr>
      <w:widowControl w:val="0"/>
      <w:adjustRightInd w:val="0"/>
      <w:snapToGrid w:val="0"/>
      <w:spacing w:line="360" w:lineRule="auto"/>
      <w:jc w:val="both"/>
    </w:pPr>
    <w:rPr>
      <w:rFonts w:hAnsi="Courier New" w:cs="Times New Roman"/>
      <w:kern w:val="2"/>
      <w:sz w:val="21"/>
      <w:szCs w:val="20"/>
    </w:rPr>
  </w:style>
  <w:style w:type="paragraph" w:styleId="15">
    <w:name w:val="Date"/>
    <w:basedOn w:val="1"/>
    <w:next w:val="1"/>
    <w:link w:val="38"/>
    <w:qFormat/>
    <w:uiPriority w:val="99"/>
    <w:pPr>
      <w:widowControl w:val="0"/>
      <w:jc w:val="both"/>
    </w:pPr>
    <w:rPr>
      <w:rFonts w:ascii="Copperplate Gothic Bold" w:hAnsi="Copperplate Gothic Bold" w:cs="Times New Roman"/>
      <w:sz w:val="32"/>
      <w:szCs w:val="20"/>
    </w:rPr>
  </w:style>
  <w:style w:type="paragraph" w:styleId="16">
    <w:name w:val="footer"/>
    <w:basedOn w:val="1"/>
    <w:link w:val="39"/>
    <w:qFormat/>
    <w:uiPriority w:val="99"/>
    <w:pPr>
      <w:widowControl w:val="0"/>
      <w:tabs>
        <w:tab w:val="center" w:pos="4153"/>
        <w:tab w:val="right" w:pos="8306"/>
      </w:tabs>
      <w:snapToGrid w:val="0"/>
    </w:pPr>
    <w:rPr>
      <w:rFonts w:ascii="Calibri" w:hAnsi="Calibri" w:cs="Times New Roman"/>
      <w:kern w:val="2"/>
      <w:sz w:val="18"/>
      <w:szCs w:val="18"/>
    </w:rPr>
  </w:style>
  <w:style w:type="paragraph" w:styleId="17">
    <w:name w:val="header"/>
    <w:basedOn w:val="1"/>
    <w:link w:val="40"/>
    <w:qFormat/>
    <w:uiPriority w:val="99"/>
    <w:pPr>
      <w:widowControl w:val="0"/>
      <w:pBdr>
        <w:bottom w:val="single" w:color="auto" w:sz="6" w:space="1"/>
      </w:pBdr>
      <w:tabs>
        <w:tab w:val="center" w:pos="4153"/>
        <w:tab w:val="right" w:pos="8306"/>
      </w:tabs>
      <w:snapToGrid w:val="0"/>
      <w:jc w:val="center"/>
    </w:pPr>
    <w:rPr>
      <w:rFonts w:ascii="Calibri" w:hAnsi="Calibri" w:cs="Times New Roman"/>
      <w:kern w:val="2"/>
      <w:sz w:val="18"/>
      <w:szCs w:val="18"/>
    </w:rPr>
  </w:style>
  <w:style w:type="paragraph" w:styleId="18">
    <w:name w:val="toc 1"/>
    <w:basedOn w:val="1"/>
    <w:next w:val="1"/>
    <w:qFormat/>
    <w:locked/>
    <w:uiPriority w:val="0"/>
    <w:pPr>
      <w:widowControl w:val="0"/>
      <w:adjustRightInd w:val="0"/>
      <w:snapToGrid w:val="0"/>
      <w:spacing w:line="560" w:lineRule="exact"/>
      <w:ind w:firstLine="640" w:firstLineChars="200"/>
      <w:jc w:val="both"/>
    </w:pPr>
    <w:rPr>
      <w:rFonts w:ascii="黑体" w:hAnsi="黑体" w:eastAsia="黑体" w:cs="Times New Roman"/>
      <w:kern w:val="2"/>
      <w:sz w:val="32"/>
      <w:szCs w:val="32"/>
    </w:rPr>
  </w:style>
  <w:style w:type="paragraph" w:styleId="19">
    <w:name w:val="Subtitle"/>
    <w:basedOn w:val="1"/>
    <w:next w:val="1"/>
    <w:qFormat/>
    <w:locked/>
    <w:uiPriority w:val="0"/>
    <w:pPr>
      <w:spacing w:before="240" w:after="60" w:line="312" w:lineRule="auto"/>
      <w:jc w:val="center"/>
      <w:outlineLvl w:val="1"/>
    </w:pPr>
    <w:rPr>
      <w:rFonts w:ascii="Arial" w:hAnsi="Arial" w:eastAsia="宋体" w:cs="Arial"/>
      <w:b/>
      <w:bCs/>
      <w:kern w:val="28"/>
      <w:sz w:val="32"/>
      <w:szCs w:val="32"/>
    </w:rPr>
  </w:style>
  <w:style w:type="paragraph" w:styleId="20">
    <w:name w:val="footnote text"/>
    <w:basedOn w:val="1"/>
    <w:link w:val="48"/>
    <w:qFormat/>
    <w:uiPriority w:val="99"/>
    <w:pPr>
      <w:widowControl w:val="0"/>
      <w:snapToGrid w:val="0"/>
    </w:pPr>
    <w:rPr>
      <w:rFonts w:ascii="Calibri" w:hAnsi="Calibri" w:cs="Times New Roman"/>
      <w:kern w:val="2"/>
      <w:sz w:val="18"/>
      <w:szCs w:val="22"/>
    </w:rPr>
  </w:style>
  <w:style w:type="paragraph" w:styleId="21">
    <w:name w:val="Body Text Indent 3"/>
    <w:basedOn w:val="1"/>
    <w:link w:val="42"/>
    <w:qFormat/>
    <w:uiPriority w:val="99"/>
    <w:pPr>
      <w:widowControl w:val="0"/>
      <w:spacing w:after="120"/>
      <w:ind w:left="420" w:leftChars="200"/>
      <w:jc w:val="both"/>
    </w:pPr>
    <w:rPr>
      <w:rFonts w:ascii="Calibri" w:hAnsi="Calibri" w:cs="Times New Roman"/>
      <w:kern w:val="2"/>
      <w:sz w:val="16"/>
      <w:szCs w:val="16"/>
    </w:rPr>
  </w:style>
  <w:style w:type="paragraph" w:styleId="22">
    <w:name w:val="Body Text 2"/>
    <w:basedOn w:val="1"/>
    <w:link w:val="43"/>
    <w:qFormat/>
    <w:uiPriority w:val="99"/>
    <w:pPr>
      <w:widowControl w:val="0"/>
      <w:jc w:val="center"/>
    </w:pPr>
    <w:rPr>
      <w:rFonts w:ascii="Times New Roman" w:hAnsi="Times New Roman" w:cs="Times New Roman"/>
      <w:b/>
      <w:spacing w:val="-20"/>
      <w:w w:val="130"/>
      <w:sz w:val="48"/>
      <w:szCs w:val="20"/>
    </w:rPr>
  </w:style>
  <w:style w:type="paragraph" w:styleId="23">
    <w:name w:val="Normal (Web)"/>
    <w:basedOn w:val="1"/>
    <w:qFormat/>
    <w:uiPriority w:val="0"/>
    <w:pPr>
      <w:spacing w:before="100" w:beforeAutospacing="1" w:after="100" w:afterAutospacing="1" w:line="360" w:lineRule="auto"/>
    </w:pPr>
    <w:rPr>
      <w:rFonts w:ascii="Arial Unicode MS" w:hAnsi="Arial Unicode MS" w:eastAsia="Arial Unicode MS" w:cs="Arial Unicode MS"/>
    </w:rPr>
  </w:style>
  <w:style w:type="paragraph" w:styleId="24">
    <w:name w:val="Title"/>
    <w:basedOn w:val="1"/>
    <w:next w:val="1"/>
    <w:qFormat/>
    <w:locked/>
    <w:uiPriority w:val="0"/>
    <w:pPr>
      <w:jc w:val="center"/>
      <w:outlineLvl w:val="0"/>
    </w:pPr>
    <w:rPr>
      <w:rFonts w:ascii="Cambria" w:hAnsi="Cambria"/>
      <w:b/>
      <w:bCs/>
      <w:sz w:val="32"/>
      <w:szCs w:val="32"/>
    </w:rPr>
  </w:style>
  <w:style w:type="paragraph" w:styleId="25">
    <w:name w:val="Body Text First Indent"/>
    <w:basedOn w:val="10"/>
    <w:semiHidden/>
    <w:qFormat/>
    <w:uiPriority w:val="99"/>
    <w:pPr>
      <w:ind w:firstLine="420" w:firstLineChars="100"/>
    </w:pPr>
  </w:style>
  <w:style w:type="paragraph" w:styleId="26">
    <w:name w:val="Body Text First Indent 2"/>
    <w:basedOn w:val="13"/>
    <w:next w:val="1"/>
    <w:qFormat/>
    <w:uiPriority w:val="0"/>
    <w:pPr>
      <w:ind w:firstLine="420" w:firstLineChars="200"/>
    </w:pPr>
  </w:style>
  <w:style w:type="table" w:styleId="28">
    <w:name w:val="Table Grid"/>
    <w:basedOn w:val="2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locked/>
    <w:uiPriority w:val="0"/>
    <w:rPr>
      <w:b/>
    </w:rPr>
  </w:style>
  <w:style w:type="character" w:styleId="31">
    <w:name w:val="page number"/>
    <w:basedOn w:val="29"/>
    <w:qFormat/>
    <w:uiPriority w:val="99"/>
    <w:rPr>
      <w:rFonts w:cs="Times New Roman"/>
    </w:rPr>
  </w:style>
  <w:style w:type="character" w:styleId="32">
    <w:name w:val="FollowedHyperlink"/>
    <w:basedOn w:val="29"/>
    <w:qFormat/>
    <w:uiPriority w:val="99"/>
    <w:rPr>
      <w:rFonts w:cs="Times New Roman"/>
      <w:color w:val="800080"/>
      <w:u w:val="single"/>
    </w:rPr>
  </w:style>
  <w:style w:type="character" w:styleId="33">
    <w:name w:val="Hyperlink"/>
    <w:basedOn w:val="29"/>
    <w:qFormat/>
    <w:uiPriority w:val="99"/>
    <w:rPr>
      <w:rFonts w:cs="Times New Roman"/>
      <w:color w:val="0000FF"/>
      <w:u w:val="single"/>
    </w:rPr>
  </w:style>
  <w:style w:type="character" w:styleId="34">
    <w:name w:val="footnote reference"/>
    <w:basedOn w:val="29"/>
    <w:qFormat/>
    <w:uiPriority w:val="99"/>
    <w:rPr>
      <w:rFonts w:cs="Times New Roman"/>
      <w:vertAlign w:val="superscript"/>
    </w:rPr>
  </w:style>
  <w:style w:type="paragraph" w:customStyle="1" w:styleId="35">
    <w:name w:val="首行缩进"/>
    <w:basedOn w:val="1"/>
    <w:qFormat/>
    <w:uiPriority w:val="0"/>
    <w:pPr>
      <w:spacing w:line="360" w:lineRule="auto"/>
      <w:ind w:firstLine="420" w:firstLineChars="200"/>
    </w:pPr>
    <w:rPr>
      <w:sz w:val="21"/>
    </w:rPr>
  </w:style>
  <w:style w:type="paragraph" w:customStyle="1" w:styleId="36">
    <w:name w:val="列出段落1"/>
    <w:basedOn w:val="1"/>
    <w:qFormat/>
    <w:uiPriority w:val="99"/>
    <w:pPr>
      <w:widowControl w:val="0"/>
      <w:ind w:firstLine="420" w:firstLineChars="200"/>
      <w:jc w:val="both"/>
    </w:pPr>
    <w:rPr>
      <w:rFonts w:ascii="Calibri" w:hAnsi="Calibri" w:cs="Times New Roman"/>
      <w:kern w:val="2"/>
      <w:sz w:val="21"/>
    </w:rPr>
  </w:style>
  <w:style w:type="character" w:customStyle="1" w:styleId="37">
    <w:name w:val="正文文本 Char"/>
    <w:basedOn w:val="29"/>
    <w:link w:val="10"/>
    <w:qFormat/>
    <w:locked/>
    <w:uiPriority w:val="99"/>
    <w:rPr>
      <w:rFonts w:ascii="Calibri" w:hAnsi="Calibri" w:eastAsia="宋体" w:cs="Times New Roman"/>
    </w:rPr>
  </w:style>
  <w:style w:type="character" w:customStyle="1" w:styleId="38">
    <w:name w:val="日期 Char1"/>
    <w:basedOn w:val="29"/>
    <w:link w:val="15"/>
    <w:semiHidden/>
    <w:qFormat/>
    <w:locked/>
    <w:uiPriority w:val="99"/>
    <w:rPr>
      <w:rFonts w:cs="Times New Roman"/>
      <w:sz w:val="24"/>
      <w:szCs w:val="24"/>
    </w:rPr>
  </w:style>
  <w:style w:type="character" w:customStyle="1" w:styleId="39">
    <w:name w:val="页脚 Char"/>
    <w:basedOn w:val="29"/>
    <w:link w:val="16"/>
    <w:qFormat/>
    <w:locked/>
    <w:uiPriority w:val="99"/>
    <w:rPr>
      <w:rFonts w:cs="Times New Roman"/>
      <w:sz w:val="18"/>
      <w:szCs w:val="18"/>
    </w:rPr>
  </w:style>
  <w:style w:type="character" w:customStyle="1" w:styleId="40">
    <w:name w:val="页眉 Char"/>
    <w:basedOn w:val="29"/>
    <w:link w:val="17"/>
    <w:semiHidden/>
    <w:qFormat/>
    <w:locked/>
    <w:uiPriority w:val="99"/>
    <w:rPr>
      <w:rFonts w:cs="Times New Roman"/>
      <w:sz w:val="18"/>
      <w:szCs w:val="18"/>
    </w:rPr>
  </w:style>
  <w:style w:type="character" w:customStyle="1" w:styleId="41">
    <w:name w:val="Footnote Text Char"/>
    <w:basedOn w:val="29"/>
    <w:link w:val="20"/>
    <w:semiHidden/>
    <w:qFormat/>
    <w:locked/>
    <w:uiPriority w:val="99"/>
    <w:rPr>
      <w:rFonts w:cs="Times New Roman"/>
      <w:sz w:val="18"/>
      <w:szCs w:val="18"/>
    </w:rPr>
  </w:style>
  <w:style w:type="character" w:customStyle="1" w:styleId="42">
    <w:name w:val="正文文本缩进 3 Char"/>
    <w:basedOn w:val="29"/>
    <w:link w:val="21"/>
    <w:semiHidden/>
    <w:qFormat/>
    <w:locked/>
    <w:uiPriority w:val="99"/>
    <w:rPr>
      <w:rFonts w:cs="Times New Roman"/>
      <w:sz w:val="16"/>
      <w:szCs w:val="16"/>
    </w:rPr>
  </w:style>
  <w:style w:type="character" w:customStyle="1" w:styleId="43">
    <w:name w:val="正文文本 2 Char1"/>
    <w:basedOn w:val="29"/>
    <w:link w:val="22"/>
    <w:semiHidden/>
    <w:qFormat/>
    <w:locked/>
    <w:uiPriority w:val="99"/>
    <w:rPr>
      <w:rFonts w:cs="Times New Roman"/>
      <w:sz w:val="24"/>
      <w:szCs w:val="24"/>
    </w:rPr>
  </w:style>
  <w:style w:type="character" w:customStyle="1" w:styleId="44">
    <w:name w:val="正文文本 2 Char"/>
    <w:qFormat/>
    <w:uiPriority w:val="99"/>
    <w:rPr>
      <w:rFonts w:eastAsia="宋体"/>
      <w:b/>
      <w:spacing w:val="-20"/>
      <w:w w:val="130"/>
      <w:sz w:val="48"/>
    </w:rPr>
  </w:style>
  <w:style w:type="paragraph" w:customStyle="1" w:styleId="45">
    <w:name w:val="正文1"/>
    <w:qFormat/>
    <w:uiPriority w:val="99"/>
    <w:pPr>
      <w:jc w:val="both"/>
    </w:pPr>
    <w:rPr>
      <w:rFonts w:ascii="Calibri" w:hAnsi="Calibri" w:eastAsia="宋体" w:cs="宋体"/>
      <w:kern w:val="2"/>
      <w:sz w:val="21"/>
      <w:szCs w:val="21"/>
      <w:lang w:val="en-US" w:eastAsia="zh-CN" w:bidi="ar-SA"/>
    </w:rPr>
  </w:style>
  <w:style w:type="character" w:customStyle="1" w:styleId="46">
    <w:name w:val="日期 Char"/>
    <w:qFormat/>
    <w:uiPriority w:val="99"/>
    <w:rPr>
      <w:rFonts w:ascii="Copperplate Gothic Bold" w:hAnsi="Copperplate Gothic Bold" w:eastAsia="宋体"/>
      <w:sz w:val="32"/>
    </w:rPr>
  </w:style>
  <w:style w:type="paragraph" w:customStyle="1" w:styleId="47">
    <w:name w:val="WPS Plain"/>
    <w:qFormat/>
    <w:uiPriority w:val="99"/>
    <w:rPr>
      <w:rFonts w:ascii="Calibri" w:hAnsi="Calibri" w:eastAsia="宋体" w:cs="Times New Roman"/>
      <w:sz w:val="21"/>
      <w:szCs w:val="22"/>
      <w:lang w:val="en-US" w:eastAsia="zh-CN" w:bidi="ar-SA"/>
    </w:rPr>
  </w:style>
  <w:style w:type="character" w:customStyle="1" w:styleId="48">
    <w:name w:val="脚注文本 Char"/>
    <w:basedOn w:val="29"/>
    <w:link w:val="20"/>
    <w:qFormat/>
    <w:locked/>
    <w:uiPriority w:val="99"/>
    <w:rPr>
      <w:rFonts w:cs="Times New Roman"/>
      <w:sz w:val="18"/>
    </w:rPr>
  </w:style>
  <w:style w:type="paragraph" w:customStyle="1" w:styleId="49">
    <w:name w:val="msonormalcxspmiddle"/>
    <w:basedOn w:val="1"/>
    <w:qFormat/>
    <w:uiPriority w:val="99"/>
    <w:pPr>
      <w:spacing w:before="100" w:beforeAutospacing="1" w:after="100" w:afterAutospacing="1"/>
    </w:pPr>
  </w:style>
  <w:style w:type="paragraph" w:customStyle="1" w:styleId="50">
    <w:name w:val="xl63"/>
    <w:basedOn w:val="1"/>
    <w:qFormat/>
    <w:uiPriority w:val="99"/>
    <w:pPr>
      <w:spacing w:before="100" w:beforeAutospacing="1" w:after="100" w:afterAutospacing="1"/>
    </w:pPr>
  </w:style>
  <w:style w:type="paragraph" w:customStyle="1" w:styleId="51">
    <w:name w:val="xl6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style>
  <w:style w:type="paragraph" w:customStyle="1" w:styleId="52">
    <w:name w:val="xl65"/>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53">
    <w:name w:val="xl66"/>
    <w:basedOn w:val="1"/>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styleId="54">
    <w:name w:val="List Paragraph"/>
    <w:basedOn w:val="1"/>
    <w:unhideWhenUsed/>
    <w:qFormat/>
    <w:uiPriority w:val="99"/>
    <w:pPr>
      <w:widowControl w:val="0"/>
      <w:ind w:firstLine="420" w:firstLineChars="200"/>
      <w:jc w:val="both"/>
    </w:pPr>
    <w:rPr>
      <w:rFonts w:ascii="Calibri" w:hAnsi="Calibri" w:cs="Times New Roman"/>
      <w:kern w:val="2"/>
      <w:sz w:val="21"/>
    </w:rPr>
  </w:style>
  <w:style w:type="character" w:customStyle="1" w:styleId="55">
    <w:name w:val="不明显强调1"/>
    <w:basedOn w:val="29"/>
    <w:qFormat/>
    <w:uiPriority w:val="19"/>
    <w:rPr>
      <w:i/>
      <w:iCs/>
      <w:color w:val="808080" w:themeColor="text1" w:themeTint="80"/>
      <w14:textFill>
        <w14:solidFill>
          <w14:schemeClr w14:val="tx1">
            <w14:lumMod w14:val="50000"/>
            <w14:lumOff w14:val="50000"/>
          </w14:schemeClr>
        </w14:solidFill>
      </w14:textFill>
    </w:rPr>
  </w:style>
  <w:style w:type="character" w:customStyle="1" w:styleId="56">
    <w:name w:val="纯文本 Char"/>
    <w:basedOn w:val="29"/>
    <w:link w:val="14"/>
    <w:qFormat/>
    <w:uiPriority w:val="0"/>
    <w:rPr>
      <w:rFonts w:ascii="宋体" w:hAnsi="Courier New"/>
      <w:kern w:val="2"/>
      <w:sz w:val="21"/>
    </w:rPr>
  </w:style>
  <w:style w:type="character" w:customStyle="1" w:styleId="57">
    <w:name w:val="纯文本 Char1"/>
    <w:basedOn w:val="29"/>
    <w:link w:val="14"/>
    <w:semiHidden/>
    <w:qFormat/>
    <w:uiPriority w:val="99"/>
    <w:rPr>
      <w:rFonts w:ascii="宋体" w:hAnsi="Courier New" w:cs="Courier New"/>
      <w:kern w:val="2"/>
      <w:sz w:val="21"/>
      <w:szCs w:val="21"/>
    </w:rPr>
  </w:style>
  <w:style w:type="character" w:customStyle="1" w:styleId="58">
    <w:name w:val="font11"/>
    <w:basedOn w:val="29"/>
    <w:qFormat/>
    <w:uiPriority w:val="0"/>
    <w:rPr>
      <w:rFonts w:hint="default" w:ascii="Calibri" w:hAnsi="Calibri" w:cs="Calibri"/>
      <w:color w:val="000000"/>
      <w:sz w:val="22"/>
      <w:szCs w:val="22"/>
      <w:u w:val="none"/>
    </w:rPr>
  </w:style>
  <w:style w:type="character" w:customStyle="1" w:styleId="59">
    <w:name w:val="font21"/>
    <w:basedOn w:val="29"/>
    <w:qFormat/>
    <w:uiPriority w:val="0"/>
    <w:rPr>
      <w:rFonts w:hint="eastAsia" w:ascii="宋体" w:hAnsi="宋体" w:eastAsia="宋体" w:cs="宋体"/>
      <w:color w:val="000000"/>
      <w:sz w:val="22"/>
      <w:szCs w:val="22"/>
      <w:u w:val="none"/>
    </w:rPr>
  </w:style>
  <w:style w:type="character" w:customStyle="1" w:styleId="60">
    <w:name w:val="font01"/>
    <w:basedOn w:val="29"/>
    <w:qFormat/>
    <w:uiPriority w:val="0"/>
    <w:rPr>
      <w:rFonts w:hint="default" w:ascii="Calibri" w:hAnsi="Calibri" w:cs="Calibri"/>
      <w:color w:val="000000"/>
      <w:sz w:val="22"/>
      <w:szCs w:val="22"/>
      <w:u w:val="none"/>
    </w:rPr>
  </w:style>
  <w:style w:type="paragraph" w:customStyle="1" w:styleId="61">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63">
    <w:name w:val="font41"/>
    <w:basedOn w:val="29"/>
    <w:qFormat/>
    <w:uiPriority w:val="0"/>
    <w:rPr>
      <w:rFonts w:hint="eastAsia" w:ascii="宋体" w:hAnsi="宋体" w:eastAsia="宋体" w:cs="宋体"/>
      <w:color w:val="000000"/>
      <w:sz w:val="20"/>
      <w:szCs w:val="20"/>
      <w:u w:val="none"/>
    </w:rPr>
  </w:style>
  <w:style w:type="paragraph" w:customStyle="1" w:styleId="64">
    <w:name w:val="Table Text"/>
    <w:basedOn w:val="1"/>
    <w:semiHidden/>
    <w:qFormat/>
    <w:uiPriority w:val="0"/>
    <w:rPr>
      <w:rFonts w:ascii="宋体" w:hAnsi="宋体" w:eastAsia="宋体" w:cs="宋体"/>
      <w:sz w:val="17"/>
      <w:szCs w:val="17"/>
      <w:lang w:val="en-US" w:eastAsia="en-US"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Table Paragraph"/>
    <w:basedOn w:val="1"/>
    <w:qFormat/>
    <w:uiPriority w:val="1"/>
  </w:style>
  <w:style w:type="paragraph" w:customStyle="1" w:styleId="6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36</Pages>
  <Words>17008</Words>
  <Characters>17826</Characters>
  <Lines>200</Lines>
  <Paragraphs>56</Paragraphs>
  <TotalTime>71</TotalTime>
  <ScaleCrop>false</ScaleCrop>
  <LinksUpToDate>false</LinksUpToDate>
  <CharactersWithSpaces>19281</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2019-06-12T08:23:00Z</dcterms:created>
  <dc:creator>user</dc:creator>
  <cp:lastModifiedBy>十二。</cp:lastModifiedBy>
  <cp:lastPrinted>2025-12-12T01:34:00Z</cp:lastPrinted>
  <dcterms:modified xsi:type="dcterms:W3CDTF">2026-09-23T00:37:29Z</dcterms:modified>
  <cp:revision>422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62F808B2B5B34CB4BA1B8FE434AD9D1E_13</vt:lpwstr>
  </property>
  <property fmtid="{D5CDD505-2E9C-101B-9397-08002B2CF9AE}" pid="4" name="KSOTemplateDocerSaveRecord">
    <vt:lpwstr>eyJoZGlkIjoiNDA4ODJmNzlkZWRhY2NlM2IyOGU4NmM3YTBhZmRhODMiLCJ1c2VySWQiOiIzMTc4NjUxODcifQ==</vt:lpwstr>
  </property>
</Properties>
</file>