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版本号：SXLZ-2026-12220260903003</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档案托管和影像化管理项目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SXLZ-2026-122</w:t>
      </w:r>
      <w:r>
        <w:br/>
      </w:r>
      <w:r>
        <w:br/>
      </w:r>
      <w:r>
        <w:br/>
      </w:r>
    </w:p>
    <w:p>
      <w:pPr>
        <w:pStyle w:val="null3"/>
        <w:jc w:val="center"/>
        <w:outlineLvl w:val="5"/>
      </w:pPr>
      <w:r>
        <w:rPr>
          <w:rFonts w:ascii="仿宋_GB2312" w:hAnsi="仿宋_GB2312" w:cs="仿宋_GB2312" w:eastAsia="仿宋_GB2312"/>
          <w:sz w:val="15"/>
          <w:b/>
        </w:rPr>
        <w:t>西安市雁塔区医疗保障经办服务中心</w:t>
      </w:r>
    </w:p>
    <w:p>
      <w:pPr>
        <w:pStyle w:val="null3"/>
        <w:jc w:val="center"/>
        <w:outlineLvl w:val="5"/>
      </w:pPr>
      <w:r>
        <w:rPr>
          <w:rFonts w:ascii="仿宋_GB2312" w:hAnsi="仿宋_GB2312" w:cs="仿宋_GB2312" w:eastAsia="仿宋_GB2312"/>
          <w:sz w:val="15"/>
          <w:b/>
        </w:rPr>
        <w:t>陕西龙泽项目咨询管理有限公司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西安市雁塔区医疗保障经办服务中心</w:t>
      </w:r>
      <w:r>
        <w:rPr>
          <w:rFonts w:ascii="仿宋_GB2312" w:hAnsi="仿宋_GB2312" w:cs="仿宋_GB2312" w:eastAsia="仿宋_GB2312"/>
        </w:rPr>
        <w:t>委托，拟对</w:t>
      </w:r>
      <w:r>
        <w:rPr>
          <w:rFonts w:ascii="仿宋_GB2312" w:hAnsi="仿宋_GB2312" w:cs="仿宋_GB2312" w:eastAsia="仿宋_GB2312"/>
        </w:rPr>
        <w:t>档案托管和影像化管理项目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SXLZ-2026-122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档案托管和影像化管理项目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雁塔区医疗保障经办服务中心档案管理服务项目包括档案窗口收集、分类整理、扫描数字化、装箱等。按业务类型独立分区保管，由于窗口收集资料具备实时性、即时性原因，并需要延续原有的业务分类原则、整理方式、数据格式、业务编号及档号编制等专业能力。归集后的档案装箱后，结合档案库房需编制入库箱号、架号位置存放区域等并与原有的同类业务箱号具备一定连续性，能够查阅调用。</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采购包1（档案托管和影像化管理项目）：属于专门面向中小企业采购。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1、法定代表人身份证明书或授权委托书：供应商应授权合法的人员参加投标全过程， 其中法定代表人直接参加投标的， 须出具法人身份证， 并与营业执照上信息一致。法定代表人授权代表参加投标的， 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截图：供应商在递交响应文件截止时间前被“信用中国”网站（www.creditchina.gov.cn）列入重大税收违法失信主体名单；被“中国执行信息公开网（http://zxgk.court.gov.cn）”列入失信被执行人；被“中国政府采购网”（www.ccgp.gov.cn）列入政府采购严重违法失信行为信息记录的， 不得参加投标。</w:t>
      </w:r>
    </w:p>
    <w:p>
      <w:pPr>
        <w:pStyle w:val="null3"/>
      </w:pPr>
      <w:r>
        <w:rPr>
          <w:rFonts w:ascii="仿宋_GB2312" w:hAnsi="仿宋_GB2312" w:cs="仿宋_GB2312" w:eastAsia="仿宋_GB2312"/>
        </w:rPr>
        <w:t>3、企业关联关系：单位负责人为同一人或者存在直接控股、管理关系的不同供应商不得参加同一合同项下的政府采购活动；为本项目提供整体设计、规范编制或者项目管理、监理、检测等服务的供应商, 不得再参加采购项目的其他采购活动。供应商需在项目电子化交易系统中按要求填写《投标函》完成承诺并进行电子签章。</w:t>
      </w:r>
    </w:p>
    <w:p>
      <w:pPr>
        <w:pStyle w:val="null3"/>
      </w:pPr>
      <w:r>
        <w:rPr>
          <w:rFonts w:ascii="仿宋_GB2312" w:hAnsi="仿宋_GB2312" w:cs="仿宋_GB2312" w:eastAsia="仿宋_GB2312"/>
        </w:rPr>
        <w:t>4、非联合体投标：本项目不接受联合体投标， 提供非联合体投标声明。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西安市雁塔区医疗保障经办服务中心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雁塔区电子二路32号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钟朵朵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15202965625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喻存芳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15309270789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与采购单位协商，根据成交⾦额，参照国家计委颁发的《招标代理服务收费管理暂⾏办法》(计价格〔2002〕1980号)、国家发展和改⾰委员会办公厅颁发的《关于招标代理服务费收费有关问题的通知》及《调整后的招标代理服务收费标准》(发改价格〔2011〕〕534号)规定计取，代理服务费不⾜5000元按5000元计取。2.采购代理服务费由成交供应商支付，成交供应商领取成交通知书时，须⼀次性向采购代理机构交纳采购代理服务费。3.采购代理服务费账户：公司名称：陕西⻰泽项⽬咨询管理有限公司；账号: 61050111583800000087；开户行：中国建设银⾏股份有限公司西安雁塔南路南段⽀⾏。</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西安市雁塔区医疗保障经办服务中心</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西安市雁塔区医疗保障经办服务中心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2.供应商将在采购项⽬实施过程中采⽤⾃有或者第三⽅知识成果的，使⽤该知识成果后，供应商需提供开发接⼝和开发⼿册等技术资料，并承诺提供⽆限期⽀持，采购⼈享有使⽤权（含采购⼈委托第三⽅在该项⽬后续开发的使⽤权）。3.如采⽤供应商所不拥有的知识产权，则在报价中必须包括合法使⽤该知识产权的相关费⽤。4.构成本采购⽂件的各组成部分，未经采购⼈书⾯同意，供应商不得擅⾃复印或⽤于⾮本采购项⽬所需的其他⽬的。</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按国家有关规定以及采购文件的要求、供应商的响应文件及承诺与本项目合同约定标准进行验收。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联系人：喻存芳</w:t>
      </w:r>
    </w:p>
    <w:p>
      <w:pPr>
        <w:pStyle w:val="null3"/>
      </w:pPr>
      <w:r>
        <w:rPr>
          <w:rFonts w:ascii="仿宋_GB2312" w:hAnsi="仿宋_GB2312" w:cs="仿宋_GB2312" w:eastAsia="仿宋_GB2312"/>
        </w:rPr>
        <w:t>联系电话：15309270789</w:t>
      </w:r>
    </w:p>
    <w:p>
      <w:pPr>
        <w:pStyle w:val="null3"/>
      </w:pPr>
      <w:r>
        <w:rPr>
          <w:rFonts w:ascii="仿宋_GB2312" w:hAnsi="仿宋_GB2312" w:cs="仿宋_GB2312" w:eastAsia="仿宋_GB2312"/>
        </w:rPr>
        <w:t>地址：陕西省西安市国家⺠⽤航天产业基地神⾈五路与东⻓安街交汇处东南⻆航天城中⼼⼴场1号楼708</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雁塔区医疗保障经办服务中心档案管理服务项目包括档案窗口收集、分类整理、扫描数字化、装箱等。按业务类型独立分区保管，由于窗口收集资料具备实时性、即时性原因，并需要延续原有的业务分类原则、整理方式、数据格式、业务编号及档号编制等专业能力。归集后的档案装箱后，结合档案库房需编制入库箱号、架号位置存放区域等并与原有的同类业务箱号具备一定连续性，能够查阅调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档案托管和影像化管理项目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标的名称：档案托管和影像化管理项目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2"/>
            </w:pPr>
            <w:r>
              <w:rPr>
                <w:rFonts w:ascii="仿宋_GB2312" w:hAnsi="仿宋_GB2312" w:cs="仿宋_GB2312" w:eastAsia="仿宋_GB2312"/>
                <w:sz w:val="21"/>
                <w:b/>
              </w:rPr>
              <w:t>一、项目概况</w:t>
            </w:r>
          </w:p>
          <w:p>
            <w:pPr>
              <w:pStyle w:val="null3"/>
              <w:ind w:firstLine="560"/>
            </w:pPr>
            <w:r>
              <w:rPr>
                <w:rFonts w:ascii="仿宋_GB2312" w:hAnsi="仿宋_GB2312" w:cs="仿宋_GB2312" w:eastAsia="仿宋_GB2312"/>
                <w:sz w:val="21"/>
              </w:rPr>
              <w:t>西安市雁塔区医疗保障经办服务中心档案管理服务项目包括档案窗口收集、分类整理、扫描数字化、装箱等。按业务类型独立分区保管，由于窗口收集资料具备实时性、即时性原因，并需要延续原有的业务分类原则、整理方式、数据格式、业务编号及档号编制等专业能力。归集后的档案装箱后，结合档案库房需编制入库箱号、架号位置存放区域等并与原有的同类业务箱号具备一定连续性，能够查阅调用。</w:t>
            </w:r>
          </w:p>
          <w:p>
            <w:pPr>
              <w:pStyle w:val="null3"/>
              <w:ind w:firstLine="640"/>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outlineLvl w:val="2"/>
            </w:pPr>
            <w:r>
              <w:rPr>
                <w:rFonts w:ascii="仿宋_GB2312" w:hAnsi="仿宋_GB2312" w:cs="仿宋_GB2312" w:eastAsia="仿宋_GB2312"/>
                <w:sz w:val="21"/>
                <w:b/>
              </w:rPr>
              <w:t>二、</w:t>
            </w:r>
            <w:r>
              <w:rPr>
                <w:rFonts w:ascii="仿宋_GB2312" w:hAnsi="仿宋_GB2312" w:cs="仿宋_GB2312" w:eastAsia="仿宋_GB2312"/>
                <w:sz w:val="21"/>
                <w:b/>
              </w:rPr>
              <w:t>服务目标</w:t>
            </w:r>
          </w:p>
          <w:p>
            <w:pPr>
              <w:pStyle w:val="null3"/>
              <w:ind w:firstLine="560"/>
            </w:pPr>
            <w:r>
              <w:rPr>
                <w:rFonts w:ascii="仿宋_GB2312" w:hAnsi="仿宋_GB2312" w:cs="仿宋_GB2312" w:eastAsia="仿宋_GB2312"/>
                <w:sz w:val="21"/>
              </w:rPr>
              <w:t>1、完成各类档案规范化整理、组卷归档、目录录入、装订入库，档案整理合格率100%。</w:t>
            </w:r>
          </w:p>
          <w:p>
            <w:pPr>
              <w:pStyle w:val="null3"/>
              <w:ind w:firstLine="560"/>
            </w:pPr>
            <w:r>
              <w:rPr>
                <w:rFonts w:ascii="仿宋_GB2312" w:hAnsi="仿宋_GB2312" w:cs="仿宋_GB2312" w:eastAsia="仿宋_GB2312"/>
                <w:sz w:val="21"/>
              </w:rPr>
              <w:t>2、实现档案数字化加工、影像质检、建成标准化电子档案库，满足线上查询、调阅、移交、归档需求。</w:t>
            </w:r>
          </w:p>
          <w:p>
            <w:pPr>
              <w:pStyle w:val="null3"/>
              <w:ind w:firstLine="560"/>
            </w:pPr>
            <w:r>
              <w:rPr>
                <w:rFonts w:ascii="仿宋_GB2312" w:hAnsi="仿宋_GB2312" w:cs="仿宋_GB2312" w:eastAsia="仿宋_GB2312"/>
                <w:sz w:val="21"/>
              </w:rPr>
              <w:t>3、严守数据及档案保密规定，杜绝档案泄露、丢失、损毁、篡改等安全事故。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outlineLvl w:val="2"/>
            </w:pPr>
            <w:r>
              <w:rPr>
                <w:rFonts w:ascii="仿宋_GB2312" w:hAnsi="仿宋_GB2312" w:cs="仿宋_GB2312" w:eastAsia="仿宋_GB2312"/>
                <w:sz w:val="21"/>
                <w:b/>
              </w:rPr>
              <w:t>三、</w:t>
            </w:r>
            <w:r>
              <w:rPr>
                <w:rFonts w:ascii="仿宋_GB2312" w:hAnsi="仿宋_GB2312" w:cs="仿宋_GB2312" w:eastAsia="仿宋_GB2312"/>
                <w:sz w:val="21"/>
                <w:b/>
              </w:rPr>
              <w:t>服务</w:t>
            </w:r>
            <w:r>
              <w:rPr>
                <w:rFonts w:ascii="仿宋_GB2312" w:hAnsi="仿宋_GB2312" w:cs="仿宋_GB2312" w:eastAsia="仿宋_GB2312"/>
                <w:sz w:val="21"/>
                <w:b/>
              </w:rPr>
              <w:t>内容</w:t>
            </w:r>
          </w:p>
          <w:p>
            <w:pPr>
              <w:pStyle w:val="null3"/>
              <w:ind w:firstLine="560"/>
            </w:pPr>
            <w:r>
              <w:rPr>
                <w:rFonts w:ascii="仿宋_GB2312" w:hAnsi="仿宋_GB2312" w:cs="仿宋_GB2312" w:eastAsia="仿宋_GB2312"/>
                <w:sz w:val="21"/>
              </w:rPr>
              <w:t>1、档案清点交接：对采购人各类档案进行逐份清点、核对登记，建立档案交接台账，明确档案数量、类型、完整情况、缺失信息，做到账物相符、全程可追溯。</w:t>
            </w:r>
          </w:p>
          <w:p>
            <w:pPr>
              <w:pStyle w:val="null3"/>
              <w:ind w:firstLine="560"/>
            </w:pPr>
            <w:r>
              <w:rPr>
                <w:rFonts w:ascii="仿宋_GB2312" w:hAnsi="仿宋_GB2312" w:cs="仿宋_GB2312" w:eastAsia="仿宋_GB2312"/>
                <w:sz w:val="21"/>
              </w:rPr>
              <w:t>2、标准化组卷归档：按照原有的业务分类原则、整理方式、数据格式、业务编号及档号编制等要求，完成档案分类、排序、组件组卷、编页，规范区分档案保管类别。</w:t>
            </w:r>
          </w:p>
          <w:p>
            <w:pPr>
              <w:pStyle w:val="null3"/>
              <w:ind w:firstLine="560"/>
            </w:pPr>
            <w:r>
              <w:rPr>
                <w:rFonts w:ascii="仿宋_GB2312" w:hAnsi="仿宋_GB2312" w:cs="仿宋_GB2312" w:eastAsia="仿宋_GB2312"/>
                <w:sz w:val="21"/>
              </w:rPr>
              <w:t>3、目录编制录入：精准录入档案题名、文号、日期、页数、保管期限、责任人、业务编号等核心信息，编制目录，保证目录信息与实体档案、电子档案完全一致。</w:t>
            </w:r>
          </w:p>
          <w:p>
            <w:pPr>
              <w:pStyle w:val="null3"/>
              <w:ind w:firstLine="560"/>
            </w:pPr>
            <w:r>
              <w:rPr>
                <w:rFonts w:ascii="仿宋_GB2312" w:hAnsi="仿宋_GB2312" w:cs="仿宋_GB2312" w:eastAsia="仿宋_GB2312"/>
                <w:sz w:val="21"/>
              </w:rPr>
              <w:t>4、装订装盒入库：对整理完成的档案进行标准化装订、防尘处理，统一使用合规档案卷壳、档案盒，规范编号、贴标、排序上架，完成档案归档统计、台账更新。</w:t>
            </w:r>
          </w:p>
          <w:p>
            <w:pPr>
              <w:pStyle w:val="null3"/>
              <w:ind w:firstLine="560"/>
            </w:pPr>
            <w:r>
              <w:rPr>
                <w:rFonts w:ascii="仿宋_GB2312" w:hAnsi="仿宋_GB2312" w:cs="仿宋_GB2312" w:eastAsia="仿宋_GB2312"/>
                <w:sz w:val="21"/>
              </w:rPr>
              <w:t>5、高清扫描采集：对所有归档档案进行逐页高清扫描，黑白、彩色、灰度按需适配，杜绝漏扫、重扫、歪斜、模糊、黑边等问题。</w:t>
            </w:r>
          </w:p>
          <w:p>
            <w:pPr>
              <w:pStyle w:val="null3"/>
              <w:ind w:firstLine="560"/>
            </w:pPr>
            <w:r>
              <w:rPr>
                <w:rFonts w:ascii="仿宋_GB2312" w:hAnsi="仿宋_GB2312" w:cs="仿宋_GB2312" w:eastAsia="仿宋_GB2312"/>
                <w:sz w:val="21"/>
              </w:rPr>
              <w:t>6、数据质检校对：实行双人质检机制，核对影像与实体档案一致性、目录数据准确性、档案完整性，不合格数据全部返工整改。</w:t>
            </w:r>
          </w:p>
          <w:p>
            <w:pPr>
              <w:pStyle w:val="null3"/>
              <w:ind w:firstLine="560"/>
            </w:pPr>
            <w:r>
              <w:rPr>
                <w:rFonts w:ascii="仿宋_GB2312" w:hAnsi="仿宋_GB2312" w:cs="仿宋_GB2312" w:eastAsia="仿宋_GB2312"/>
                <w:sz w:val="21"/>
              </w:rPr>
              <w:t>7、电子档案备份：定期完成电子档案本地备份，建立备份台账，保障电子档案长期安全存储、可复用、可移交。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outlineLvl w:val="2"/>
            </w:pPr>
            <w:r>
              <w:rPr>
                <w:rFonts w:ascii="仿宋_GB2312" w:hAnsi="仿宋_GB2312" w:cs="仿宋_GB2312" w:eastAsia="仿宋_GB2312"/>
                <w:sz w:val="21"/>
                <w:b/>
              </w:rPr>
              <w:t>四、</w:t>
            </w:r>
            <w:r>
              <w:rPr>
                <w:rFonts w:ascii="仿宋_GB2312" w:hAnsi="仿宋_GB2312" w:cs="仿宋_GB2312" w:eastAsia="仿宋_GB2312"/>
                <w:sz w:val="21"/>
                <w:b/>
              </w:rPr>
              <w:t>设备耗材要求</w:t>
            </w:r>
          </w:p>
          <w:p>
            <w:pPr>
              <w:pStyle w:val="null3"/>
              <w:ind w:firstLine="560"/>
            </w:pPr>
            <w:r>
              <w:rPr>
                <w:rFonts w:ascii="仿宋_GB2312" w:hAnsi="仿宋_GB2312" w:cs="仿宋_GB2312" w:eastAsia="仿宋_GB2312"/>
                <w:sz w:val="21"/>
              </w:rPr>
              <w:t>1、供应商自行提供项目所需扫描仪、电脑、装订设备等全部办公设备，设备性能满足高清数字化加工需求。</w:t>
            </w:r>
          </w:p>
          <w:p>
            <w:pPr>
              <w:pStyle w:val="null3"/>
              <w:ind w:firstLine="560"/>
            </w:pPr>
            <w:r>
              <w:rPr>
                <w:rFonts w:ascii="仿宋_GB2312" w:hAnsi="仿宋_GB2312" w:cs="仿宋_GB2312" w:eastAsia="仿宋_GB2312"/>
                <w:sz w:val="21"/>
              </w:rPr>
              <w:t>2、所有档案盒、卷皮、标签、装订线、纸张等耗材均采用国家档案标准专用耗材，无酸性、耐腐蚀、可长期保存，样式统一、规范整洁。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outlineLvl w:val="2"/>
            </w:pPr>
            <w:r>
              <w:rPr>
                <w:rFonts w:ascii="仿宋_GB2312" w:hAnsi="仿宋_GB2312" w:cs="仿宋_GB2312" w:eastAsia="仿宋_GB2312"/>
                <w:sz w:val="21"/>
                <w:b/>
              </w:rPr>
              <w:t>五、</w:t>
            </w:r>
            <w:r>
              <w:rPr>
                <w:rFonts w:ascii="仿宋_GB2312" w:hAnsi="仿宋_GB2312" w:cs="仿宋_GB2312" w:eastAsia="仿宋_GB2312"/>
                <w:sz w:val="21"/>
                <w:b/>
              </w:rPr>
              <w:t>质量标准</w:t>
            </w:r>
          </w:p>
          <w:p>
            <w:pPr>
              <w:pStyle w:val="null3"/>
              <w:ind w:firstLine="560"/>
            </w:pPr>
            <w:r>
              <w:rPr>
                <w:rFonts w:ascii="仿宋_GB2312" w:hAnsi="仿宋_GB2312" w:cs="仿宋_GB2312" w:eastAsia="仿宋_GB2312"/>
                <w:sz w:val="21"/>
              </w:rPr>
              <w:t>1、档案整理：分类准确、组卷规范、装订整齐、目录完整、台账清晰，100%符合档案验收标准，无错卷、漏项等情况。</w:t>
            </w:r>
          </w:p>
          <w:p>
            <w:pPr>
              <w:pStyle w:val="null3"/>
              <w:ind w:firstLine="560"/>
            </w:pPr>
            <w:r>
              <w:rPr>
                <w:rFonts w:ascii="仿宋_GB2312" w:hAnsi="仿宋_GB2312" w:cs="仿宋_GB2312" w:eastAsia="仿宋_GB2312"/>
                <w:sz w:val="21"/>
              </w:rPr>
              <w:t>2、</w:t>
            </w:r>
            <w:r>
              <w:rPr>
                <w:rFonts w:ascii="仿宋_GB2312" w:hAnsi="仿宋_GB2312" w:cs="仿宋_GB2312" w:eastAsia="仿宋_GB2312"/>
                <w:sz w:val="21"/>
              </w:rPr>
              <w:t>数字化成果：影像清晰完整、无瑕疵，数据录入准确率100%，电子档案与实体档案一一对应。</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outlineLvl w:val="2"/>
            </w:pPr>
            <w:r>
              <w:rPr>
                <w:rFonts w:ascii="仿宋_GB2312" w:hAnsi="仿宋_GB2312" w:cs="仿宋_GB2312" w:eastAsia="仿宋_GB2312"/>
                <w:sz w:val="21"/>
                <w:b/>
              </w:rPr>
              <w:t>六、</w:t>
            </w:r>
            <w:r>
              <w:rPr>
                <w:rFonts w:ascii="仿宋_GB2312" w:hAnsi="仿宋_GB2312" w:cs="仿宋_GB2312" w:eastAsia="仿宋_GB2312"/>
                <w:sz w:val="21"/>
                <w:b/>
              </w:rPr>
              <w:t>成果交付要求</w:t>
            </w:r>
          </w:p>
          <w:p>
            <w:pPr>
              <w:pStyle w:val="null3"/>
              <w:ind w:firstLine="560"/>
            </w:pPr>
            <w:r>
              <w:rPr>
                <w:rFonts w:ascii="仿宋_GB2312" w:hAnsi="仿宋_GB2312" w:cs="仿宋_GB2312" w:eastAsia="仿宋_GB2312"/>
                <w:sz w:val="21"/>
              </w:rPr>
              <w:t>1、</w:t>
            </w:r>
            <w:r>
              <w:rPr>
                <w:rFonts w:ascii="仿宋_GB2312" w:hAnsi="仿宋_GB2312" w:cs="仿宋_GB2312" w:eastAsia="仿宋_GB2312"/>
                <w:sz w:val="21"/>
              </w:rPr>
              <w:t>实体成果：全部整理规范、装订装盒、排序上架的实体档案；完整的目录、档案统计台账和移交清单</w:t>
            </w:r>
            <w:r>
              <w:rPr>
                <w:rFonts w:ascii="仿宋_GB2312" w:hAnsi="仿宋_GB2312" w:cs="仿宋_GB2312" w:eastAsia="仿宋_GB2312"/>
                <w:sz w:val="21"/>
              </w:rPr>
              <w:t>。</w:t>
            </w:r>
          </w:p>
          <w:p>
            <w:pPr>
              <w:pStyle w:val="null3"/>
              <w:ind w:firstLine="560"/>
            </w:pPr>
            <w:r>
              <w:rPr>
                <w:rFonts w:ascii="仿宋_GB2312" w:hAnsi="仿宋_GB2312" w:cs="仿宋_GB2312" w:eastAsia="仿宋_GB2312"/>
                <w:sz w:val="21"/>
              </w:rPr>
              <w:t>2、</w:t>
            </w:r>
            <w:r>
              <w:rPr>
                <w:rFonts w:ascii="仿宋_GB2312" w:hAnsi="仿宋_GB2312" w:cs="仿宋_GB2312" w:eastAsia="仿宋_GB2312"/>
                <w:sz w:val="21"/>
              </w:rPr>
              <w:t>数字化成果：标准化电子影像文件、完整档案目录数据库、数据备份文件。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满⾜采购⽂件及采购⼈要求。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满⾜采购⽂件及采购⼈要求。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自合同签订后一年，具体以甲方安排工作时间为准，满足甲方要求。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进度款，完成所有服务内容，经验收合格后，达到付款条件起30个工作日内，支付合同总金额的10.0%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 并提交至采购方。2、对整个项目的验收包括是否实现了采购人在响应文件中所要求的服务内容， 是否与成交单位提出的解决方案完全一致。3、本项目的最终验收由采购人、成交单位共同进行。4、验收依据（1）合同文本及合同补充文件（条款）（2）采购文件（3）响应文件。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 中的相关条款执行。 2、未按照合同要求提供服务或服务质量不能满足服务要求和标准，采购人有权终止合同， 并对供方违约行为进行追究， 同时按《中华人民共和国政府采购法》 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件要求及合同约定执⾏；事业单位参与投标时，可不提供社会保障资⾦和税收缴纳证明；依法免税或不需要缴纳社会保障资⾦的供应商，应提供相应证明⽂件，证明其依法免税或不需要缴纳社会保障资⾦；⾃然⼈（仅限中国公⺠）参与投标时，只须提供⾝份证复印件。2.为顺利推进政府采购电⼦化交易平台应⽤⼯作，供应商需要在线提交所有通过电⼦化交易平台实施的政府采购项⽬的响应⽂件，确定成交后，根据采购⼈要求，成交供应商向代理机构提交纸质版响应⽂件⽤于项⽬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事业单位提供事业单位法人证书，自然人应提供身份证）。2、提供可满⾜履⾏合同所需设备和专业技术能⼒的证明材料或承诺。3、提供响应⽂件递交截⽌时间前近⼀年内⾄少⼀个⽉的纳税证明或完税证明，依法免税的单位应提供相关证明材料；时间以税款所属时期为准。4、提供响应⽂件递交截⽌时间前近⼀年内⾄少⼀个⽉的社会保障资⾦缴存单据或社保机构开具的社会保险参保缴费情况证明，依法不需要缴纳社会保障资⾦的单位应提供相关证明材料。5、提供有效的参加政府采购活动前3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提供财务审计单位出具的2025年度财务报告或提交响应⽂件递交截⽌时间前六个月内其基本账户银行出具的资信证明（附基本户证明资料），以上形式的证明资料提供任何一种即可。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供应商应授权合法的人员参加投标全过程， 其中法定代表人直接参加投标的， 须出具法人身份证， 并与营业执照上信息一致。法定代表人授权代表参加投标的， 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在递交响应文件截止时间前被“信用中国”网站（www.creditchina.gov.cn）列入重大税收违法失信主体名单；被“中国执行信息公开网（http://zxgk.court.gov.cn）”列入失信被执行人；被“中国政府采购网”（www.ccgp.gov.cn）列入政府采购严重违法失信行为信息记录的， 不得参加投标。</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参与本项目的供应商均为符合政策要求的中小微企业。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认为供应商投标报价明显低于其他通过符合性审查供应商的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会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应符合“单一来源响应文件格式”要求。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报价唯一，响应报价符合唯一性要求、响应报价表填写符合要求、报价货币符合采购文件要求、报价数量与要求符合并未出现漏项、未超出采购预算。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响应文件内容符合单一来源采购文件要求； 响应文件中项目名称、项目编号与本项目一致；响应文件至少包括：（1）响应函、（2）响应报价表、（3）供应商资格证明、（4）服务应答表、（5）供应商承诺书。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应满足单一来源采购文件中的规定。</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应满足单一来源采购文件中要求的服务期限。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服务方案.pdf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