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4F1125">
      <w:pPr>
        <w:jc w:val="center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分项报价表</w:t>
      </w:r>
    </w:p>
    <w:p w14:paraId="75DE309B">
      <w:pPr>
        <w:jc w:val="center"/>
        <w:rPr>
          <w:rFonts w:hint="eastAsia" w:ascii="仿宋" w:hAnsi="仿宋" w:eastAsia="仿宋" w:cs="仿宋"/>
          <w:color w:val="000000"/>
          <w:sz w:val="24"/>
          <w:highlight w:val="none"/>
        </w:rPr>
      </w:pPr>
    </w:p>
    <w:p w14:paraId="71450DEE">
      <w:pPr>
        <w:kinsoku w:val="0"/>
        <w:spacing w:line="500" w:lineRule="exact"/>
        <w:rPr>
          <w:rFonts w:hint="eastAsia" w:ascii="仿宋" w:hAnsi="仿宋" w:eastAsia="仿宋" w:cs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 xml:space="preserve">项目名称： </w:t>
      </w:r>
    </w:p>
    <w:p w14:paraId="424BE6CD">
      <w:pPr>
        <w:kinsoku w:val="0"/>
        <w:spacing w:line="500" w:lineRule="exac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 xml:space="preserve">项目编号： </w:t>
      </w:r>
      <w:r>
        <w:br w:type="textWrapping"/>
      </w:r>
    </w:p>
    <w:tbl>
      <w:tblPr>
        <w:tblStyle w:val="4"/>
        <w:tblW w:w="96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3"/>
        <w:gridCol w:w="1718"/>
        <w:gridCol w:w="990"/>
        <w:gridCol w:w="1288"/>
        <w:gridCol w:w="1052"/>
        <w:gridCol w:w="1052"/>
        <w:gridCol w:w="1052"/>
        <w:gridCol w:w="931"/>
        <w:gridCol w:w="1078"/>
      </w:tblGrid>
      <w:tr w14:paraId="66302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5" w:hRule="atLeast"/>
          <w:jc w:val="center"/>
        </w:trPr>
        <w:tc>
          <w:tcPr>
            <w:tcW w:w="513" w:type="dxa"/>
            <w:noWrap w:val="0"/>
            <w:vAlign w:val="center"/>
          </w:tcPr>
          <w:p w14:paraId="6C63DEBB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1718" w:type="dxa"/>
            <w:noWrap w:val="0"/>
            <w:vAlign w:val="center"/>
          </w:tcPr>
          <w:p w14:paraId="72DB0AB5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采购内容</w:t>
            </w:r>
          </w:p>
        </w:tc>
        <w:tc>
          <w:tcPr>
            <w:tcW w:w="990" w:type="dxa"/>
            <w:noWrap w:val="0"/>
            <w:vAlign w:val="center"/>
          </w:tcPr>
          <w:p w14:paraId="7D7E38DA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品牌</w:t>
            </w:r>
          </w:p>
        </w:tc>
        <w:tc>
          <w:tcPr>
            <w:tcW w:w="1288" w:type="dxa"/>
            <w:noWrap w:val="0"/>
            <w:vAlign w:val="center"/>
          </w:tcPr>
          <w:p w14:paraId="19A69070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规格型号</w:t>
            </w:r>
          </w:p>
        </w:tc>
        <w:tc>
          <w:tcPr>
            <w:tcW w:w="1052" w:type="dxa"/>
            <w:noWrap w:val="0"/>
            <w:vAlign w:val="center"/>
          </w:tcPr>
          <w:p w14:paraId="5EBE9E1E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产地</w:t>
            </w:r>
          </w:p>
        </w:tc>
        <w:tc>
          <w:tcPr>
            <w:tcW w:w="1052" w:type="dxa"/>
            <w:noWrap w:val="0"/>
            <w:vAlign w:val="center"/>
          </w:tcPr>
          <w:p w14:paraId="17525A0F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单位</w:t>
            </w:r>
          </w:p>
        </w:tc>
        <w:tc>
          <w:tcPr>
            <w:tcW w:w="1052" w:type="dxa"/>
            <w:noWrap w:val="0"/>
            <w:vAlign w:val="center"/>
          </w:tcPr>
          <w:p w14:paraId="6CBD22CE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数量</w:t>
            </w:r>
          </w:p>
        </w:tc>
        <w:tc>
          <w:tcPr>
            <w:tcW w:w="931" w:type="dxa"/>
            <w:noWrap w:val="0"/>
            <w:vAlign w:val="center"/>
          </w:tcPr>
          <w:p w14:paraId="26F34C88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1"/>
                <w:highlight w:val="none"/>
              </w:rPr>
              <w:t>单价</w:t>
            </w:r>
          </w:p>
        </w:tc>
        <w:tc>
          <w:tcPr>
            <w:tcW w:w="1078" w:type="dxa"/>
            <w:noWrap w:val="0"/>
            <w:vAlign w:val="center"/>
          </w:tcPr>
          <w:p w14:paraId="397526EB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合计</w:t>
            </w:r>
          </w:p>
          <w:p w14:paraId="05D219F8">
            <w:pPr>
              <w:pStyle w:val="2"/>
              <w:ind w:firstLine="0" w:firstLine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（元）</w:t>
            </w:r>
          </w:p>
        </w:tc>
      </w:tr>
      <w:tr w14:paraId="1F08D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8" w:hRule="atLeast"/>
          <w:jc w:val="center"/>
        </w:trPr>
        <w:tc>
          <w:tcPr>
            <w:tcW w:w="513" w:type="dxa"/>
            <w:noWrap w:val="0"/>
            <w:vAlign w:val="center"/>
          </w:tcPr>
          <w:p w14:paraId="3B86ED78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</w:t>
            </w:r>
          </w:p>
        </w:tc>
        <w:tc>
          <w:tcPr>
            <w:tcW w:w="1718" w:type="dxa"/>
            <w:shd w:val="clear" w:color="auto" w:fill="auto"/>
            <w:noWrap w:val="0"/>
            <w:vAlign w:val="center"/>
          </w:tcPr>
          <w:p w14:paraId="449200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990" w:type="dxa"/>
            <w:shd w:val="clear" w:color="auto" w:fill="auto"/>
            <w:noWrap w:val="0"/>
            <w:vAlign w:val="center"/>
          </w:tcPr>
          <w:p w14:paraId="22A5AE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88" w:type="dxa"/>
            <w:shd w:val="clear" w:color="auto" w:fill="auto"/>
            <w:noWrap w:val="0"/>
            <w:vAlign w:val="center"/>
          </w:tcPr>
          <w:p w14:paraId="1BDC87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52" w:type="dxa"/>
            <w:shd w:val="clear" w:color="auto" w:fill="auto"/>
            <w:noWrap w:val="0"/>
            <w:vAlign w:val="center"/>
          </w:tcPr>
          <w:p w14:paraId="6BCC1889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52" w:type="dxa"/>
            <w:shd w:val="clear" w:color="auto" w:fill="auto"/>
            <w:noWrap w:val="0"/>
            <w:vAlign w:val="center"/>
          </w:tcPr>
          <w:p w14:paraId="3044885A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52" w:type="dxa"/>
            <w:shd w:val="clear" w:color="auto" w:fill="auto"/>
            <w:noWrap w:val="0"/>
            <w:vAlign w:val="center"/>
          </w:tcPr>
          <w:p w14:paraId="25DFD944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931" w:type="dxa"/>
            <w:shd w:val="clear" w:color="auto" w:fill="auto"/>
            <w:noWrap w:val="0"/>
            <w:vAlign w:val="center"/>
          </w:tcPr>
          <w:p w14:paraId="73A75FBE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78" w:type="dxa"/>
            <w:shd w:val="clear" w:color="auto" w:fill="auto"/>
            <w:noWrap w:val="0"/>
            <w:vAlign w:val="center"/>
          </w:tcPr>
          <w:p w14:paraId="680A9F68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Theme="minorEastAsia" w:hAnsiTheme="minorEastAsia" w:eastAsiaTheme="minorEastAsia" w:cstheme="minorEastAsia"/>
                <w:spacing w:val="-6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7AFEA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8" w:hRule="atLeast"/>
          <w:jc w:val="center"/>
        </w:trPr>
        <w:tc>
          <w:tcPr>
            <w:tcW w:w="513" w:type="dxa"/>
            <w:noWrap w:val="0"/>
            <w:vAlign w:val="center"/>
          </w:tcPr>
          <w:p w14:paraId="16285195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</w:t>
            </w:r>
          </w:p>
        </w:tc>
        <w:tc>
          <w:tcPr>
            <w:tcW w:w="1718" w:type="dxa"/>
            <w:noWrap w:val="0"/>
            <w:vAlign w:val="center"/>
          </w:tcPr>
          <w:p w14:paraId="60409CC4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4937BF46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88" w:type="dxa"/>
            <w:noWrap w:val="0"/>
            <w:vAlign w:val="center"/>
          </w:tcPr>
          <w:p w14:paraId="28C836D1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52" w:type="dxa"/>
            <w:noWrap w:val="0"/>
            <w:vAlign w:val="center"/>
          </w:tcPr>
          <w:p w14:paraId="0473298F">
            <w:pPr>
              <w:pStyle w:val="3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52" w:type="dxa"/>
            <w:noWrap w:val="0"/>
            <w:vAlign w:val="center"/>
          </w:tcPr>
          <w:p w14:paraId="66E6503E">
            <w:pPr>
              <w:pStyle w:val="3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52" w:type="dxa"/>
            <w:noWrap w:val="0"/>
            <w:vAlign w:val="center"/>
          </w:tcPr>
          <w:p w14:paraId="67258395">
            <w:pPr>
              <w:pStyle w:val="3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31" w:type="dxa"/>
            <w:noWrap w:val="0"/>
            <w:vAlign w:val="center"/>
          </w:tcPr>
          <w:p w14:paraId="1D4E23FD">
            <w:pPr>
              <w:pStyle w:val="3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78" w:type="dxa"/>
            <w:noWrap w:val="0"/>
            <w:vAlign w:val="center"/>
          </w:tcPr>
          <w:p w14:paraId="238ABCE6">
            <w:pPr>
              <w:pStyle w:val="3"/>
              <w:rPr>
                <w:rFonts w:hint="eastAsia" w:ascii="仿宋" w:hAnsi="仿宋" w:eastAsia="仿宋" w:cs="仿宋"/>
                <w:spacing w:val="-6"/>
                <w:sz w:val="24"/>
                <w:szCs w:val="24"/>
                <w:highlight w:val="none"/>
              </w:rPr>
            </w:pPr>
          </w:p>
        </w:tc>
      </w:tr>
      <w:tr w14:paraId="7BA25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8" w:hRule="atLeast"/>
          <w:jc w:val="center"/>
        </w:trPr>
        <w:tc>
          <w:tcPr>
            <w:tcW w:w="513" w:type="dxa"/>
            <w:noWrap w:val="0"/>
            <w:vAlign w:val="center"/>
          </w:tcPr>
          <w:p w14:paraId="1A610016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…</w:t>
            </w:r>
          </w:p>
        </w:tc>
        <w:tc>
          <w:tcPr>
            <w:tcW w:w="1718" w:type="dxa"/>
            <w:noWrap w:val="0"/>
            <w:vAlign w:val="center"/>
          </w:tcPr>
          <w:p w14:paraId="3F26D17E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1F2EDEDB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88" w:type="dxa"/>
            <w:noWrap w:val="0"/>
            <w:vAlign w:val="center"/>
          </w:tcPr>
          <w:p w14:paraId="73DB19A5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52" w:type="dxa"/>
            <w:noWrap w:val="0"/>
            <w:vAlign w:val="center"/>
          </w:tcPr>
          <w:p w14:paraId="623548DF">
            <w:pPr>
              <w:pStyle w:val="3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52" w:type="dxa"/>
            <w:noWrap w:val="0"/>
            <w:vAlign w:val="center"/>
          </w:tcPr>
          <w:p w14:paraId="14572473">
            <w:pPr>
              <w:pStyle w:val="3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52" w:type="dxa"/>
            <w:noWrap w:val="0"/>
            <w:vAlign w:val="center"/>
          </w:tcPr>
          <w:p w14:paraId="47C3464E">
            <w:pPr>
              <w:pStyle w:val="3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31" w:type="dxa"/>
            <w:noWrap w:val="0"/>
            <w:vAlign w:val="center"/>
          </w:tcPr>
          <w:p w14:paraId="4086A0BE">
            <w:pPr>
              <w:pStyle w:val="3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78" w:type="dxa"/>
            <w:noWrap w:val="0"/>
            <w:vAlign w:val="center"/>
          </w:tcPr>
          <w:p w14:paraId="0307BA45">
            <w:pPr>
              <w:pStyle w:val="3"/>
              <w:rPr>
                <w:rFonts w:hint="eastAsia" w:ascii="仿宋" w:hAnsi="仿宋" w:eastAsia="仿宋" w:cs="仿宋"/>
                <w:spacing w:val="-6"/>
                <w:sz w:val="24"/>
                <w:szCs w:val="24"/>
                <w:highlight w:val="none"/>
              </w:rPr>
            </w:pPr>
          </w:p>
        </w:tc>
      </w:tr>
      <w:tr w14:paraId="22D9B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8" w:hRule="atLeast"/>
          <w:jc w:val="center"/>
        </w:trPr>
        <w:tc>
          <w:tcPr>
            <w:tcW w:w="513" w:type="dxa"/>
            <w:noWrap w:val="0"/>
            <w:vAlign w:val="center"/>
          </w:tcPr>
          <w:p w14:paraId="5130A7A9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18" w:type="dxa"/>
            <w:noWrap w:val="0"/>
            <w:vAlign w:val="center"/>
          </w:tcPr>
          <w:p w14:paraId="59BA17ED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303AB779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88" w:type="dxa"/>
            <w:noWrap w:val="0"/>
            <w:vAlign w:val="center"/>
          </w:tcPr>
          <w:p w14:paraId="3E0A0B1E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52" w:type="dxa"/>
            <w:noWrap w:val="0"/>
            <w:vAlign w:val="center"/>
          </w:tcPr>
          <w:p w14:paraId="7A1CA48E">
            <w:pPr>
              <w:pStyle w:val="3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52" w:type="dxa"/>
            <w:noWrap w:val="0"/>
            <w:vAlign w:val="center"/>
          </w:tcPr>
          <w:p w14:paraId="68A648A6">
            <w:pPr>
              <w:pStyle w:val="3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52" w:type="dxa"/>
            <w:noWrap w:val="0"/>
            <w:vAlign w:val="center"/>
          </w:tcPr>
          <w:p w14:paraId="336CBB26">
            <w:pPr>
              <w:pStyle w:val="3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31" w:type="dxa"/>
            <w:noWrap w:val="0"/>
            <w:vAlign w:val="center"/>
          </w:tcPr>
          <w:p w14:paraId="01E83A29">
            <w:pPr>
              <w:pStyle w:val="3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78" w:type="dxa"/>
            <w:noWrap w:val="0"/>
            <w:vAlign w:val="center"/>
          </w:tcPr>
          <w:p w14:paraId="439614B9">
            <w:pPr>
              <w:pStyle w:val="3"/>
              <w:rPr>
                <w:rFonts w:hint="eastAsia" w:ascii="仿宋" w:hAnsi="仿宋" w:eastAsia="仿宋" w:cs="仿宋"/>
                <w:spacing w:val="-6"/>
                <w:sz w:val="24"/>
                <w:szCs w:val="24"/>
                <w:highlight w:val="none"/>
              </w:rPr>
            </w:pPr>
          </w:p>
        </w:tc>
      </w:tr>
      <w:tr w14:paraId="4E621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1" w:hRule="atLeast"/>
          <w:jc w:val="center"/>
        </w:trPr>
        <w:tc>
          <w:tcPr>
            <w:tcW w:w="9674" w:type="dxa"/>
            <w:gridSpan w:val="9"/>
            <w:noWrap w:val="0"/>
            <w:vAlign w:val="center"/>
          </w:tcPr>
          <w:p w14:paraId="6462A94D">
            <w:pPr>
              <w:pStyle w:val="3"/>
              <w:rPr>
                <w:rFonts w:hint="eastAsia" w:ascii="仿宋" w:hAnsi="仿宋" w:eastAsia="仿宋" w:cs="仿宋"/>
                <w:spacing w:val="-6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投标总报价</w:t>
            </w:r>
            <w:r>
              <w:rPr>
                <w:rFonts w:hint="eastAsia" w:ascii="仿宋" w:hAnsi="仿宋" w:eastAsia="仿宋" w:cs="仿宋"/>
                <w:spacing w:val="-6"/>
                <w:sz w:val="24"/>
                <w:szCs w:val="24"/>
                <w:highlight w:val="none"/>
              </w:rPr>
              <w:t>（人民币大写）：</w:t>
            </w:r>
          </w:p>
        </w:tc>
      </w:tr>
    </w:tbl>
    <w:p w14:paraId="022969F5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textAlignment w:val="auto"/>
        <w:rPr>
          <w:rFonts w:hint="eastAsia" w:ascii="仿宋" w:hAnsi="仿宋" w:eastAsia="仿宋" w:cs="仿宋"/>
          <w:color w:val="000000"/>
          <w:sz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</w:rPr>
        <w:t>注：1、表内</w:t>
      </w:r>
      <w:r>
        <w:rPr>
          <w:rFonts w:hint="eastAsia" w:ascii="仿宋" w:hAnsi="仿宋" w:eastAsia="仿宋" w:cs="仿宋"/>
          <w:kern w:val="0"/>
          <w:sz w:val="24"/>
          <w:highlight w:val="none"/>
        </w:rPr>
        <w:t>报价</w:t>
      </w:r>
      <w:r>
        <w:rPr>
          <w:rFonts w:hint="eastAsia" w:ascii="仿宋" w:hAnsi="仿宋" w:eastAsia="仿宋" w:cs="仿宋"/>
          <w:color w:val="000000"/>
          <w:sz w:val="24"/>
          <w:highlight w:val="none"/>
        </w:rPr>
        <w:t>内容以元为单位，保留小数点后两位。</w:t>
      </w:r>
    </w:p>
    <w:p w14:paraId="68E2C5C2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textAlignment w:val="auto"/>
        <w:rPr>
          <w:rFonts w:hint="eastAsia" w:ascii="仿宋" w:hAnsi="仿宋" w:eastAsia="仿宋" w:cs="仿宋"/>
          <w:sz w:val="24"/>
          <w:szCs w:val="21"/>
          <w:highlight w:val="none"/>
        </w:rPr>
      </w:pPr>
      <w:r>
        <w:rPr>
          <w:rFonts w:hint="eastAsia" w:ascii="仿宋" w:hAnsi="仿宋" w:eastAsia="仿宋" w:cs="仿宋"/>
          <w:sz w:val="24"/>
          <w:szCs w:val="21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sz w:val="24"/>
          <w:szCs w:val="21"/>
          <w:highlight w:val="none"/>
        </w:rPr>
        <w:t>、</w:t>
      </w:r>
      <w:r>
        <w:rPr>
          <w:rFonts w:hint="eastAsia" w:ascii="仿宋" w:hAnsi="仿宋" w:eastAsia="仿宋" w:cs="仿宋"/>
          <w:sz w:val="24"/>
          <w:szCs w:val="21"/>
          <w:highlight w:val="none"/>
          <w:lang w:val="en-US" w:eastAsia="zh-CN"/>
        </w:rPr>
        <w:t>谈判</w:t>
      </w:r>
      <w:r>
        <w:rPr>
          <w:rFonts w:hint="eastAsia" w:ascii="仿宋" w:hAnsi="仿宋" w:eastAsia="仿宋" w:cs="仿宋"/>
          <w:sz w:val="24"/>
          <w:szCs w:val="21"/>
          <w:highlight w:val="none"/>
        </w:rPr>
        <w:t>总报价（</w:t>
      </w:r>
      <w:r>
        <w:rPr>
          <w:rFonts w:hint="eastAsia" w:ascii="仿宋" w:hAnsi="仿宋" w:eastAsia="仿宋" w:cs="仿宋"/>
          <w:sz w:val="24"/>
          <w:szCs w:val="21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  <w:szCs w:val="21"/>
          <w:highlight w:val="none"/>
        </w:rPr>
        <w:t>总报价=各固定综合单价*数量）不得超过预算金额及最高限价，据实结算。</w:t>
      </w:r>
    </w:p>
    <w:p w14:paraId="1E9C8A26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textAlignment w:val="auto"/>
        <w:rPr>
          <w:rFonts w:hint="eastAsia" w:ascii="仿宋" w:hAnsi="仿宋" w:eastAsia="仿宋" w:cs="仿宋"/>
          <w:color w:val="000000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szCs w:val="21"/>
          <w:highlight w:val="none"/>
          <w:lang w:val="en-US" w:eastAsia="zh-CN"/>
        </w:rPr>
        <w:t>3、</w:t>
      </w:r>
      <w:r>
        <w:rPr>
          <w:rFonts w:hint="eastAsia" w:ascii="仿宋" w:hAnsi="仿宋" w:eastAsia="仿宋" w:cs="仿宋"/>
          <w:bCs/>
          <w:sz w:val="24"/>
          <w:highlight w:val="none"/>
        </w:rPr>
        <w:t>本项目</w:t>
      </w:r>
      <w:r>
        <w:rPr>
          <w:rFonts w:hint="eastAsia" w:ascii="仿宋" w:hAnsi="仿宋" w:eastAsia="仿宋" w:cs="仿宋"/>
          <w:bCs/>
          <w:sz w:val="24"/>
          <w:highlight w:val="none"/>
          <w:lang w:val="en-US" w:eastAsia="zh-CN"/>
        </w:rPr>
        <w:t>谈判</w:t>
      </w:r>
      <w:r>
        <w:rPr>
          <w:rFonts w:hint="eastAsia" w:ascii="仿宋" w:hAnsi="仿宋" w:eastAsia="仿宋" w:cs="仿宋"/>
          <w:bCs/>
          <w:sz w:val="24"/>
          <w:highlight w:val="none"/>
        </w:rPr>
        <w:t>报价为</w:t>
      </w:r>
      <w:r>
        <w:rPr>
          <w:rFonts w:hint="eastAsia" w:ascii="仿宋" w:hAnsi="仿宋" w:eastAsia="仿宋" w:cs="仿宋"/>
          <w:bCs/>
          <w:sz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  <w:highlight w:val="none"/>
        </w:rPr>
        <w:t>完成采购范围内全部工作内容的报价</w:t>
      </w:r>
      <w:r>
        <w:rPr>
          <w:rFonts w:hint="eastAsia" w:ascii="仿宋" w:hAnsi="仿宋" w:eastAsia="仿宋" w:cs="仿宋"/>
          <w:bCs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Cs/>
          <w:sz w:val="24"/>
          <w:highlight w:val="none"/>
          <w:lang w:val="en-US" w:eastAsia="zh-CN"/>
        </w:rPr>
        <w:t>包含运费、税金、培训费等所有费用</w:t>
      </w:r>
      <w:r>
        <w:rPr>
          <w:rFonts w:hint="eastAsia" w:ascii="仿宋" w:hAnsi="仿宋" w:eastAsia="仿宋" w:cs="仿宋"/>
          <w:bCs/>
          <w:sz w:val="24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bCs/>
          <w:sz w:val="24"/>
          <w:highlight w:val="none"/>
        </w:rPr>
        <w:t>，</w:t>
      </w:r>
      <w:r>
        <w:rPr>
          <w:rFonts w:hint="eastAsia" w:ascii="仿宋" w:hAnsi="仿宋" w:eastAsia="仿宋" w:cs="仿宋"/>
          <w:bCs/>
          <w:sz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  <w:highlight w:val="none"/>
        </w:rPr>
        <w:t>漏报或不报，采购人将视为有关费用已包括在投标报价中而不予支付。所有投标均以人民币报价。</w:t>
      </w:r>
    </w:p>
    <w:p w14:paraId="019E4AFC">
      <w:pPr>
        <w:spacing w:after="480" w:line="200" w:lineRule="atLeast"/>
        <w:ind w:firstLine="3840" w:firstLineChars="1600"/>
        <w:jc w:val="left"/>
        <w:rPr>
          <w:rFonts w:hint="eastAsia" w:ascii="仿宋" w:hAnsi="仿宋" w:eastAsia="仿宋" w:cs="仿宋"/>
          <w:color w:val="000000"/>
          <w:sz w:val="24"/>
          <w:highlight w:val="none"/>
        </w:rPr>
      </w:pPr>
      <w:bookmarkStart w:id="0" w:name="_GoBack"/>
      <w:bookmarkEnd w:id="0"/>
    </w:p>
    <w:p w14:paraId="46D56AF1">
      <w:pPr>
        <w:spacing w:after="480" w:line="200" w:lineRule="atLeast"/>
        <w:ind w:left="0" w:leftChars="0" w:firstLine="2520" w:firstLineChars="1050"/>
        <w:jc w:val="left"/>
        <w:rPr>
          <w:rFonts w:hint="eastAsia" w:ascii="仿宋" w:hAnsi="仿宋" w:eastAsia="仿宋" w:cs="仿宋"/>
          <w:color w:val="000000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000000"/>
          <w:sz w:val="24"/>
          <w:highlight w:val="none"/>
        </w:rPr>
        <w:t>名称（公章）：</w:t>
      </w:r>
      <w:r>
        <w:rPr>
          <w:rFonts w:hint="eastAsia" w:ascii="仿宋" w:hAnsi="仿宋" w:eastAsia="仿宋" w:cs="仿宋"/>
          <w:color w:val="000000"/>
          <w:sz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</w:p>
    <w:p w14:paraId="56F028B2">
      <w:pPr>
        <w:spacing w:before="480" w:line="200" w:lineRule="atLeast"/>
        <w:ind w:left="0" w:leftChars="0" w:firstLine="2520" w:firstLineChars="1050"/>
        <w:jc w:val="left"/>
        <w:rPr>
          <w:rFonts w:hint="eastAsia" w:ascii="仿宋" w:hAnsi="仿宋" w:eastAsia="仿宋" w:cs="仿宋"/>
          <w:color w:val="000000"/>
          <w:sz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</w:rPr>
        <w:t>日    期：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highlight w:val="none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highlight w:val="none"/>
        </w:rPr>
        <w:t>年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highlight w:val="none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highlight w:val="none"/>
        </w:rPr>
        <w:t>月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highlight w:val="none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highlight w:val="none"/>
        </w:rPr>
        <w:t>日</w:t>
      </w:r>
    </w:p>
    <w:p w14:paraId="2CB78E4F"/>
    <w:p w14:paraId="73643684"/>
    <w:p w14:paraId="0A68135C">
      <w:pPr>
        <w:pStyle w:val="6"/>
        <w:rPr>
          <w:rFonts w:hint="eastAsia"/>
          <w:lang w:val="en-US" w:eastAsia="zh-CN"/>
        </w:rPr>
      </w:pPr>
    </w:p>
    <w:p w14:paraId="7F9529F7">
      <w:pPr>
        <w:pStyle w:val="6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NlMGYyOTVhYjdlYzM1NTdhMmI1Mjk4NGRmMWI0NzIifQ=="/>
  </w:docVars>
  <w:rsids>
    <w:rsidRoot w:val="00000000"/>
    <w:rsid w:val="21AB60B3"/>
    <w:rsid w:val="2DC50453"/>
    <w:rsid w:val="324A5A52"/>
    <w:rsid w:val="369477E3"/>
    <w:rsid w:val="3DD42DEC"/>
    <w:rsid w:val="4C2A5340"/>
    <w:rsid w:val="4C420244"/>
    <w:rsid w:val="51755B6D"/>
    <w:rsid w:val="5AA23391"/>
    <w:rsid w:val="5B4F56D0"/>
    <w:rsid w:val="61B10F6F"/>
    <w:rsid w:val="6BAB5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 w:firstLineChars="200"/>
    </w:pPr>
  </w:style>
  <w:style w:type="paragraph" w:styleId="3">
    <w:name w:val="Plain Text"/>
    <w:basedOn w:val="1"/>
    <w:next w:val="1"/>
    <w:qFormat/>
    <w:uiPriority w:val="0"/>
    <w:rPr>
      <w:rFonts w:ascii="宋体" w:hAnsi="Courier New"/>
      <w:szCs w:val="20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241</Words>
  <Characters>241</Characters>
  <Lines>0</Lines>
  <Paragraphs>0</Paragraphs>
  <TotalTime>0</TotalTime>
  <ScaleCrop>false</ScaleCrop>
  <LinksUpToDate>false</LinksUpToDate>
  <CharactersWithSpaces>274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2025-06-06T09:51:00Z</dcterms:created>
  <dc:creator>ADMIN</dc:creator>
  <cp:lastModifiedBy>Queen €</cp:lastModifiedBy>
  <dcterms:modified xsi:type="dcterms:W3CDTF">2026-08-10T07:06:11Z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eyJoZGlkIjoiZDNlMGYyOTVhYjdlYzM1NTdhMmI1Mjk4NGRmMWI0NzIiLCJ1c2VySWQiOiI0NzQ4MzU5MjEifQ==</vt:lpwstr>
  </property>
  <property fmtid="{D5CDD505-2E9C-101B-9397-08002B2CF9AE}" pid="4" name="ICV">
    <vt:lpwstr>43ABD2B09D2F4B489E89BFD0DB84EFB5_12</vt:lpwstr>
  </property>
</Properties>
</file>