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6F28EC">
      <w:pPr>
        <w:pStyle w:val="5"/>
        <w:spacing w:line="480" w:lineRule="exact"/>
        <w:jc w:val="center"/>
      </w:pPr>
      <w:r>
        <w:rPr>
          <w:rFonts w:ascii="仿宋_GB2312" w:hAnsi="仿宋_GB2312" w:eastAsia="仿宋_GB2312" w:cs="仿宋_GB2312"/>
          <w:b/>
          <w:sz w:val="36"/>
        </w:rPr>
        <w:t>定边县白泥井郑国洲中学餐厅操作间和配电室改造项目竞争性谈判公告</w:t>
      </w:r>
    </w:p>
    <w:p w14:paraId="3D4E903C">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106AF63E">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餐厅操作间和配电室改造项目采购项目的潜在供应商应在中轩项目管理有限公司 （定边县工业园区科技三路五洲生态酒店西侧二楼）获取采购文件，并于 2026年09月04日 09时30分 （北京时间）前提交响应文件。</w:t>
      </w:r>
    </w:p>
    <w:p w14:paraId="76B22F57">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20E1196">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项目编号：ZXDB-TP-2026-083</w:t>
      </w:r>
    </w:p>
    <w:p w14:paraId="4F762E04">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项目名称：餐厅操作间和配电室改造项目</w:t>
      </w:r>
    </w:p>
    <w:p w14:paraId="2F60897D">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采购方式：竞争性谈判</w:t>
      </w:r>
    </w:p>
    <w:p w14:paraId="38DF4467">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预算金额：660,000.00元</w:t>
      </w:r>
    </w:p>
    <w:p w14:paraId="38A2E6BE">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4C07A38A">
      <w:pPr>
        <w:pStyle w:val="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合同包1(定边县白泥井郑国洲中学餐厅操作间和配电室改造项目):</w:t>
      </w:r>
    </w:p>
    <w:p w14:paraId="36755714">
      <w:pPr>
        <w:pStyle w:val="5"/>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合同包预算金额：660,000.00元</w:t>
      </w:r>
    </w:p>
    <w:p w14:paraId="2A86FA68">
      <w:pPr>
        <w:pStyle w:val="5"/>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合同包最高限价：660,000.00元</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33"/>
        <w:gridCol w:w="1633"/>
        <w:gridCol w:w="1633"/>
        <w:gridCol w:w="1633"/>
        <w:gridCol w:w="1633"/>
        <w:gridCol w:w="1671"/>
      </w:tblGrid>
      <w:tr w14:paraId="703BE4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21" w:hRule="atLeast"/>
        </w:trPr>
        <w:tc>
          <w:tcPr>
            <w:tcW w:w="1633" w:type="dxa"/>
            <w:vAlign w:val="center"/>
          </w:tcPr>
          <w:p w14:paraId="65B09868">
            <w:pPr>
              <w:pStyle w:val="5"/>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633" w:type="dxa"/>
            <w:vAlign w:val="center"/>
          </w:tcPr>
          <w:p w14:paraId="422EB4F6">
            <w:pPr>
              <w:pStyle w:val="5"/>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633" w:type="dxa"/>
            <w:vAlign w:val="center"/>
          </w:tcPr>
          <w:p w14:paraId="52A206DD">
            <w:pPr>
              <w:pStyle w:val="5"/>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633" w:type="dxa"/>
            <w:vAlign w:val="center"/>
          </w:tcPr>
          <w:p w14:paraId="6E07122A">
            <w:pPr>
              <w:pStyle w:val="5"/>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633" w:type="dxa"/>
            <w:vAlign w:val="center"/>
          </w:tcPr>
          <w:p w14:paraId="0F874270">
            <w:pPr>
              <w:pStyle w:val="5"/>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671" w:type="dxa"/>
            <w:vAlign w:val="center"/>
          </w:tcPr>
          <w:p w14:paraId="1CE9438F">
            <w:pPr>
              <w:pStyle w:val="5"/>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050511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31" w:hRule="atLeast"/>
        </w:trPr>
        <w:tc>
          <w:tcPr>
            <w:tcW w:w="1633" w:type="dxa"/>
            <w:vAlign w:val="center"/>
          </w:tcPr>
          <w:p w14:paraId="0EA2AE5D">
            <w:pPr>
              <w:pStyle w:val="5"/>
              <w:jc w:val="center"/>
              <w:rPr>
                <w:rFonts w:hint="eastAsia" w:ascii="宋体" w:hAnsi="宋体" w:eastAsia="宋体" w:cs="宋体"/>
                <w:sz w:val="24"/>
                <w:szCs w:val="24"/>
              </w:rPr>
            </w:pPr>
            <w:r>
              <w:rPr>
                <w:rFonts w:hint="eastAsia" w:ascii="宋体" w:hAnsi="宋体" w:eastAsia="宋体" w:cs="宋体"/>
                <w:sz w:val="24"/>
                <w:szCs w:val="24"/>
              </w:rPr>
              <w:t>1-1</w:t>
            </w:r>
          </w:p>
        </w:tc>
        <w:tc>
          <w:tcPr>
            <w:tcW w:w="1633" w:type="dxa"/>
            <w:vAlign w:val="center"/>
          </w:tcPr>
          <w:p w14:paraId="1A85E3AB">
            <w:pPr>
              <w:pStyle w:val="5"/>
              <w:jc w:val="center"/>
              <w:rPr>
                <w:rFonts w:hint="eastAsia" w:ascii="宋体" w:hAnsi="宋体" w:eastAsia="宋体" w:cs="宋体"/>
                <w:sz w:val="24"/>
                <w:szCs w:val="24"/>
              </w:rPr>
            </w:pPr>
            <w:r>
              <w:rPr>
                <w:rFonts w:hint="eastAsia" w:ascii="宋体" w:hAnsi="宋体" w:eastAsia="宋体" w:cs="宋体"/>
                <w:sz w:val="24"/>
                <w:szCs w:val="24"/>
              </w:rPr>
              <w:t>其他建筑工程</w:t>
            </w:r>
          </w:p>
        </w:tc>
        <w:tc>
          <w:tcPr>
            <w:tcW w:w="1633" w:type="dxa"/>
            <w:vAlign w:val="center"/>
          </w:tcPr>
          <w:p w14:paraId="036F36A0">
            <w:pPr>
              <w:pStyle w:val="5"/>
              <w:jc w:val="center"/>
              <w:rPr>
                <w:rFonts w:hint="eastAsia" w:ascii="宋体" w:hAnsi="宋体" w:eastAsia="宋体" w:cs="宋体"/>
                <w:sz w:val="24"/>
                <w:szCs w:val="24"/>
              </w:rPr>
            </w:pPr>
            <w:r>
              <w:rPr>
                <w:rFonts w:hint="eastAsia" w:ascii="宋体" w:hAnsi="宋体" w:eastAsia="宋体" w:cs="宋体"/>
                <w:sz w:val="24"/>
                <w:szCs w:val="24"/>
              </w:rPr>
              <w:t>关于实施定边县白泥井郑国洲中学餐厅操作间和配电室改造项目</w:t>
            </w:r>
          </w:p>
        </w:tc>
        <w:tc>
          <w:tcPr>
            <w:tcW w:w="1633" w:type="dxa"/>
            <w:vAlign w:val="center"/>
          </w:tcPr>
          <w:p w14:paraId="7D2A7DD1">
            <w:pPr>
              <w:pStyle w:val="5"/>
              <w:jc w:val="center"/>
              <w:rPr>
                <w:rFonts w:hint="eastAsia" w:ascii="宋体" w:hAnsi="宋体" w:eastAsia="宋体" w:cs="宋体"/>
                <w:sz w:val="24"/>
                <w:szCs w:val="24"/>
              </w:rPr>
            </w:pPr>
            <w:r>
              <w:rPr>
                <w:rFonts w:hint="eastAsia" w:ascii="宋体" w:hAnsi="宋体" w:eastAsia="宋体" w:cs="宋体"/>
                <w:sz w:val="24"/>
                <w:szCs w:val="24"/>
              </w:rPr>
              <w:t>1(项)</w:t>
            </w:r>
          </w:p>
        </w:tc>
        <w:tc>
          <w:tcPr>
            <w:tcW w:w="1633" w:type="dxa"/>
            <w:vAlign w:val="center"/>
          </w:tcPr>
          <w:p w14:paraId="034D6151">
            <w:pPr>
              <w:pStyle w:val="5"/>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671" w:type="dxa"/>
            <w:vAlign w:val="center"/>
          </w:tcPr>
          <w:p w14:paraId="11E066AF">
            <w:pPr>
              <w:pStyle w:val="5"/>
              <w:jc w:val="center"/>
              <w:rPr>
                <w:rFonts w:hint="eastAsia" w:ascii="宋体" w:hAnsi="宋体" w:eastAsia="宋体" w:cs="宋体"/>
                <w:sz w:val="24"/>
                <w:szCs w:val="24"/>
              </w:rPr>
            </w:pPr>
            <w:r>
              <w:rPr>
                <w:rFonts w:hint="eastAsia" w:ascii="宋体" w:hAnsi="宋体" w:eastAsia="宋体" w:cs="宋体"/>
                <w:sz w:val="24"/>
                <w:szCs w:val="24"/>
              </w:rPr>
              <w:t>660,000.00</w:t>
            </w:r>
          </w:p>
        </w:tc>
      </w:tr>
    </w:tbl>
    <w:p w14:paraId="043E9B26">
      <w:pPr>
        <w:pStyle w:val="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本合同包不接受联合体投标</w:t>
      </w:r>
    </w:p>
    <w:p w14:paraId="33D69B90">
      <w:pPr>
        <w:pStyle w:val="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合同履行期限：无</w:t>
      </w:r>
    </w:p>
    <w:p w14:paraId="5064211E">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9B073E6">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8296C2F">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5A325D01">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合同包1(定边县白泥井郑国洲中学餐厅操作间和配电室改造项目)落实政府采购政策需满足的资格要求如下:</w:t>
      </w:r>
    </w:p>
    <w:p w14:paraId="680FB75C">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依据《中华人民共和国政府采购法》和《中华人民共和国政府采购法实施条例》的有关规定，落实政府采购政策。</w:t>
      </w:r>
    </w:p>
    <w:p w14:paraId="5C139464">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《政府采购促进中小企业发展管理办法》（财库〔2020〕46号）；</w:t>
      </w:r>
    </w:p>
    <w:p w14:paraId="22EB4E44">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（2）</w:t>
      </w:r>
      <w:r>
        <w:rPr>
          <w:rFonts w:hint="eastAsia" w:ascii="宋体" w:hAnsi="宋体" w:eastAsia="宋体" w:cs="宋体"/>
          <w:sz w:val="24"/>
          <w:szCs w:val="24"/>
        </w:rPr>
        <w:t>《财政部、司法部关于政府采购支持监狱企业发展有关问题的通知》（财库〔2014〕68号）；</w:t>
      </w:r>
    </w:p>
    <w:p w14:paraId="304B1DF7">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（3）《民政部、财政部、中国残疾人联合会关于促进残疾人就业政府采购政策的通知》（财库〔2017〕141号）；</w:t>
      </w:r>
    </w:p>
    <w:p w14:paraId="3C8677EC">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（4）《国务院办公厅关于建立政府强制采购节能产品制度的通知》（国办发〔2007〕51号）；</w:t>
      </w:r>
    </w:p>
    <w:p w14:paraId="3CF49AB0">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（5）《节能产品政府采购实施意见》（财库[2004]185号）；</w:t>
      </w:r>
    </w:p>
    <w:p w14:paraId="23757AB3">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（6）《环境标志产品政府采购实施的意见》（财库[2006]90号）；</w:t>
      </w:r>
    </w:p>
    <w:p w14:paraId="4290B07F">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（7）《财政部发展改革委生态环境部市场监督总局关于调整优化节能产品、环境标志产品政府采购执行机制的通知》（财库[2019]9号）；</w:t>
      </w:r>
    </w:p>
    <w:p w14:paraId="760CD023">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（8）陕西省财政厅关于印发《陕西省中小企业政府采购信用融资办法》（陕财办采〔2018〕23号）相关政策、业务流程、办理平台（http://www.ccgp-shaanxi.gov.cn/zcdservice/zcd/shanxi/）；</w:t>
      </w:r>
    </w:p>
    <w:p w14:paraId="28A7E002">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（9）《财政部农业农村部国家乡村振兴局关于运用政府采购政策支持乡村产业振兴的通知》（财库〔2021〕19号）；</w:t>
      </w:r>
    </w:p>
    <w:p w14:paraId="4058CA56">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（10）《关于在政府采购活动中查询及使用信用记录有关问题的通知》（财库〔2016〕125号）；</w:t>
      </w:r>
    </w:p>
    <w:p w14:paraId="68DDBCEB">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（11）《财政部关于进一步加大政府采购支持中小企业力度的通知》（财库〔2022〕19号）；</w:t>
      </w:r>
    </w:p>
    <w:p w14:paraId="63A84EC4">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（12）《榆林市财政局关于进一步加大政府采购支持中小企业力度的通知》（榆政财采发〔2022〕10号)；</w:t>
      </w:r>
    </w:p>
    <w:p w14:paraId="1B344135">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（13）其他需要落实的政府采购政策（如有最新颁布的政府采购政策，按最新的文件执行）。</w:t>
      </w:r>
    </w:p>
    <w:p w14:paraId="3029EB82">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22314FB9">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合同包1(定边县白泥井郑国洲中学餐厅操作间和配电室改造项目)特定资格要求如下:</w:t>
      </w:r>
    </w:p>
    <w:p w14:paraId="67B51B29">
      <w:pPr>
        <w:pStyle w:val="5"/>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1、基本资格条件：符合《中华人民共和国政府采购法》第二十二条的规定；</w:t>
      </w:r>
      <w:r>
        <w:rPr>
          <w:rFonts w:hint="eastAsia" w:ascii="宋体" w:hAnsi="宋体" w:eastAsia="宋体" w:cs="宋体"/>
          <w:sz w:val="24"/>
          <w:szCs w:val="24"/>
        </w:rPr>
        <w:br w:type="textWrapping"/>
      </w:r>
      <w:r>
        <w:rPr>
          <w:rFonts w:hint="eastAsia" w:ascii="宋体" w:hAnsi="宋体" w:eastAsia="宋体" w:cs="宋体"/>
          <w:sz w:val="24"/>
          <w:szCs w:val="24"/>
        </w:rPr>
        <w:t>2、特定资格条件：（1）供应商须具备独立承担民事责任能力的法人、其他组织或自然人，并出具合法有效的营业执照或事业单位法人证书等国家规定的相关证明，自然人参与的提供其身份证明；（2）财务状况报告：须提供经会计事务所或审计机构出具的2025年度财务审计报告；财务审计报告须有注册会计师签字盖章和公司盖章，并附通过注册会计师行业统一监管平台（http://acc.mof.gov.cn）报备并相应取得全国统一的验证码，财务须状况良好，具有有效履行合同资产能力。不足一年的提供成立以来的财务报表，至少包括资产负债表、利润表、现金流量表及基本账户银行出具的资信证明；（3）税收缴纳证明：提供2026年1月至今至少1个月已缴纳任意时段完税凭证或税务机关开具的完税证明（任一税种）；依法免税的应提供相关文件证明；（4）社会保障资金缴纳证明：提供2026年1月至今至少1个月的已缴纳的社会保障资金缴存单据或社保机构开具的社会保险参保缴费情况证明（任一险种）。依法不需要缴纳社会保障资金的供应商应提供相关文件证明；（5）投标企业须具备建筑工程施工总承包三级（含三级）及以上资质，并具有合格有效的安全生产许可证。（6）拟派项目经理具备建筑工程二级（含二级）及以上建造师注册证、并持有效的安全生产考核合格证书（B证），须出具无在建工程承诺书及在本企业2026年1月至今至少1个月的社会保障资金（任一险种）的缴纳证明；（7）书面声明：参加本次政府采购活动前三年内在经营活动中没有重大违纪的书面声明；（8）提供具有履行合同所必需的设备和专业技术能力的承诺（格式自拟）；（9）保证金采用投标信用承诺书，供应商应在“信用中国（陕西榆林）”网站进行注册、登录，自主上报信用承诺书（保证金）并提供加盖供应商公章（鲜章）网页截图；（10）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11）本项目不接受联合体谈判，单位负责人为同一人或者存在直接控股、管理关系的不同供应商，不得参加同一合同项下的政府采购活动。(12)本项目专门面向中小企业采购。</w:t>
      </w:r>
    </w:p>
    <w:p w14:paraId="496D3D46">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7554EAE1">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2026年09月01日 至 2026年09月03日 ，每天上午 09:00:00 至 11:30:00 ，下午 14:30:00 至 17:00:00 （北京时间）</w:t>
      </w:r>
    </w:p>
    <w:p w14:paraId="7EBBFD04">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途径：中轩项目管理有限公司 （定边县工业园区科技三路五洲生态酒店西侧二楼）</w:t>
      </w:r>
    </w:p>
    <w:p w14:paraId="1E4AB8F9">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0C313FBF">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4AE04CF1">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07935D34">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2026年09月04日 09时30分00秒 （北京时间）</w:t>
      </w:r>
    </w:p>
    <w:p w14:paraId="7294092C">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地点：中轩项目管理有限公司 （定边县工业园区科技三路五洲生态酒店西侧二楼）</w:t>
      </w:r>
    </w:p>
    <w:p w14:paraId="21ABC807">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56C5AD7">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2026年09月04日 09时30分00秒 （北京时间）</w:t>
      </w:r>
    </w:p>
    <w:p w14:paraId="154E339F">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地点：中轩项目管理有限公司 （定边县工业园区科技三路五洲生态酒店西侧二楼）</w:t>
      </w:r>
    </w:p>
    <w:p w14:paraId="74CCE356">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7048C971">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48B5866">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A36C97E">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报名获取采购文件要求：获取采购文件请携带单位介绍信、授权委托书或法定代表人证明、经办人身份证原件及复印件和2026年1月至今至少1个月的在本企业缴纳社会保险缴纳证明材料（五险一金其中一项即可）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w:t>
      </w:r>
    </w:p>
    <w:p w14:paraId="2700E9ED">
      <w:pPr>
        <w:pStyle w:val="5"/>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14F8333A">
      <w:pPr>
        <w:pStyle w:val="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567DDBA4">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名称：定边县白泥井郑国洲中学</w:t>
      </w:r>
    </w:p>
    <w:p w14:paraId="79E0F5E0">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地址：定边县白泥井镇</w:t>
      </w:r>
    </w:p>
    <w:p w14:paraId="7F3A1DD7">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联系方式：17792145111</w:t>
      </w:r>
    </w:p>
    <w:p w14:paraId="63AF2DA4">
      <w:pPr>
        <w:pStyle w:val="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7DF443F1">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名称：中轩项目管理有限公司</w:t>
      </w:r>
    </w:p>
    <w:p w14:paraId="7CED862A">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地址：中轩项目管理有限公司 （定边县工业园区科技三路五洲生态酒店西侧二楼）</w:t>
      </w:r>
    </w:p>
    <w:p w14:paraId="17D3B296">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联系方式：18729827012</w:t>
      </w:r>
    </w:p>
    <w:p w14:paraId="2878723C">
      <w:pPr>
        <w:pStyle w:val="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CE81F7F">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项目联系人：屈工</w:t>
      </w:r>
    </w:p>
    <w:p w14:paraId="4ED0657C">
      <w:pPr>
        <w:pStyle w:val="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电话：18729827012</w:t>
      </w:r>
    </w:p>
    <w:p w14:paraId="1B55AEF3">
      <w:pPr>
        <w:pStyle w:val="2"/>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p>
    <w:p w14:paraId="6675C295">
      <w:pPr>
        <w:pStyle w:val="2"/>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firstLine="6820" w:firstLineChars="3100"/>
        <w:jc w:val="both"/>
        <w:textAlignment w:val="auto"/>
        <w:rPr>
          <w:rFonts w:hint="eastAsia"/>
          <w:lang w:val="en-US" w:eastAsia="zh-Hans"/>
        </w:rPr>
      </w:pPr>
      <w:r>
        <w:rPr>
          <w:rFonts w:hint="eastAsia" w:ascii="宋体" w:hAnsi="宋体" w:eastAsia="宋体" w:cs="宋体"/>
          <w:b w:val="0"/>
          <w:bCs/>
          <w:sz w:val="22"/>
          <w:szCs w:val="22"/>
          <w:lang w:val="en-US" w:eastAsia="zh-CN"/>
        </w:rPr>
        <w:t xml:space="preserve"> </w:t>
      </w:r>
      <w:r>
        <w:rPr>
          <w:rFonts w:hint="eastAsia" w:ascii="宋体" w:hAnsi="宋体" w:cs="宋体"/>
          <w:b w:val="0"/>
          <w:bCs/>
          <w:sz w:val="24"/>
          <w:szCs w:val="24"/>
          <w:lang w:val="en-US" w:eastAsia="zh-CN"/>
        </w:rPr>
        <w:t>中轩项目管理有限公司</w:t>
      </w:r>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6D475B7"/>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kern w:val="0"/>
      <w:sz w:val="24"/>
      <w:szCs w:val="24"/>
    </w:r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2649</Words>
  <Characters>3052</Characters>
  <Lines>0</Lines>
  <Paragraphs>0</Paragraphs>
  <TotalTime>0</TotalTime>
  <ScaleCrop>false</ScaleCrop>
  <LinksUpToDate>false</LinksUpToDate>
  <CharactersWithSpaces>3083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jesica</cp:lastModifiedBy>
  <dcterms:modified xsi:type="dcterms:W3CDTF">2026-08-28T01:56:04Z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eyJoZGlkIjoiOGJmMDA2NGQyMzZlNjM5MzA0YmFjNTc5NjdkZmMxODQiLCJ1c2VySWQiOiIxMDE2NDQ0NTQ1In0=</vt:lpwstr>
  </property>
  <property fmtid="{D5CDD505-2E9C-101B-9397-08002B2CF9AE}" pid="4" name="ICV">
    <vt:lpwstr>FF9B9551798C41269126F3F4E9B70644_12</vt:lpwstr>
  </property>
</Properties>
</file>