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20" w:type="pct"/>
        <w:tblInd w:w="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4"/>
        <w:gridCol w:w="4062"/>
      </w:tblGrid>
      <w:tr w14:paraId="2B753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top"/>
          </w:tcPr>
          <w:p w14:paraId="3F1106E8">
            <w:pPr>
              <w:pStyle w:val="2"/>
              <w:spacing w:line="360" w:lineRule="auto"/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原招标文件参数</w:t>
            </w:r>
          </w:p>
        </w:tc>
        <w:tc>
          <w:tcPr>
            <w:tcW w:w="2421" w:type="pct"/>
            <w:noWrap w:val="0"/>
            <w:vAlign w:val="top"/>
          </w:tcPr>
          <w:p w14:paraId="219A8C5A">
            <w:pPr>
              <w:pStyle w:val="2"/>
              <w:spacing w:line="360" w:lineRule="auto"/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更正后参数</w:t>
            </w:r>
          </w:p>
        </w:tc>
      </w:tr>
      <w:tr w14:paraId="44FE9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noWrap w:val="0"/>
            <w:vAlign w:val="top"/>
          </w:tcPr>
          <w:p w14:paraId="14F5F74A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8"/>
                <w:szCs w:val="28"/>
                <w:highlight w:val="none"/>
              </w:rPr>
              <w:t>五分类血球仪</w:t>
            </w:r>
          </w:p>
        </w:tc>
      </w:tr>
      <w:tr w14:paraId="25FEC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15F60312">
            <w:pPr>
              <w:rPr>
                <w:rFonts w:hint="eastAsia" w:ascii="仿宋" w:hAnsi="仿宋" w:eastAsia="仿宋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10.检测速度：静脉全血CBC+DIFF≥110个样本/小时、CBC+DIFF+CRP≥100个样本/小时、 CBC+DIFF+CRP+SAA≥60个样本/小时。</w:t>
            </w:r>
          </w:p>
        </w:tc>
        <w:tc>
          <w:tcPr>
            <w:tcW w:w="2421" w:type="pct"/>
            <w:noWrap w:val="0"/>
            <w:vAlign w:val="top"/>
          </w:tcPr>
          <w:p w14:paraId="665BF89E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10.检测速度：静脉全血CBC+DIFF≥100个样本/小时、CBC+DIFF+CRP≥100个样本/小时、CBC+DIFF+CRP+SAA≥50个样本/小时。</w:t>
            </w:r>
          </w:p>
        </w:tc>
      </w:tr>
      <w:tr w14:paraId="3BF22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6FCBCBD1">
            <w:pPr>
              <w:rPr>
                <w:rFonts w:hint="eastAsia" w:ascii="仿宋" w:hAnsi="仿宋" w:eastAsia="仿宋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仿宋" w:hAnsi="仿宋" w:eastAsia="仿宋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15.</w:t>
            </w:r>
            <w:r>
              <w:rPr>
                <w:rFonts w:hint="eastAsia" w:ascii="仿宋" w:hAnsi="仿宋" w:eastAsia="仿宋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具备红细胞冷凝集解聚功能。</w:t>
            </w:r>
          </w:p>
        </w:tc>
        <w:tc>
          <w:tcPr>
            <w:tcW w:w="2421" w:type="pct"/>
            <w:noWrap w:val="0"/>
            <w:vAlign w:val="top"/>
          </w:tcPr>
          <w:p w14:paraId="68387AC5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15.具备红细胞冷凝集提示功能。</w:t>
            </w:r>
          </w:p>
        </w:tc>
      </w:tr>
      <w:tr w14:paraId="1B3A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noWrap w:val="0"/>
            <w:vAlign w:val="top"/>
          </w:tcPr>
          <w:p w14:paraId="441354D9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模块化生化免疫分析系统</w:t>
            </w:r>
          </w:p>
        </w:tc>
      </w:tr>
      <w:tr w14:paraId="08C6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1ABA6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2.4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样本位：≥500；</w:t>
            </w:r>
          </w:p>
        </w:tc>
        <w:tc>
          <w:tcPr>
            <w:tcW w:w="2421" w:type="pct"/>
            <w:noWrap w:val="0"/>
            <w:vAlign w:val="top"/>
          </w:tcPr>
          <w:p w14:paraId="32B7C513">
            <w:pPr>
              <w:pStyle w:val="2"/>
              <w:spacing w:line="360" w:lineRule="auto"/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删除</w:t>
            </w:r>
          </w:p>
        </w:tc>
      </w:tr>
      <w:tr w14:paraId="64B5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1B630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▲2.5急诊位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：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600个样本位可以任意切换急诊设置；样本台另配有专用急诊位≥20个；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生化样本盘146个/模块可任意切换急诊设置，急诊专用轨道。</w:t>
            </w:r>
          </w:p>
        </w:tc>
        <w:tc>
          <w:tcPr>
            <w:tcW w:w="2421" w:type="pct"/>
            <w:noWrap w:val="0"/>
            <w:vAlign w:val="top"/>
          </w:tcPr>
          <w:p w14:paraId="24201D18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▲2.4样本位≥400</w:t>
            </w:r>
          </w:p>
          <w:p w14:paraId="3AC3D6B4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急诊位 ≥10个</w:t>
            </w:r>
            <w:bookmarkStart w:id="0" w:name="_GoBack"/>
            <w:bookmarkEnd w:id="0"/>
          </w:p>
        </w:tc>
      </w:tr>
      <w:tr w14:paraId="230FA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78996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3.1最小样本量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最小样本量：≤5μL</w:t>
            </w:r>
          </w:p>
        </w:tc>
        <w:tc>
          <w:tcPr>
            <w:tcW w:w="2421" w:type="pct"/>
            <w:noWrap w:val="0"/>
            <w:vAlign w:val="top"/>
          </w:tcPr>
          <w:p w14:paraId="6753632C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3.1最小样本量：≤10μL</w:t>
            </w:r>
          </w:p>
        </w:tc>
      </w:tr>
      <w:tr w14:paraId="65396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0A68B8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3.3检测项目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：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甲功、性激素、肿瘤标志物、异常凝血酶原、乙肝核心抗体IGN等</w:t>
            </w:r>
          </w:p>
        </w:tc>
        <w:tc>
          <w:tcPr>
            <w:tcW w:w="2421" w:type="pct"/>
            <w:noWrap w:val="0"/>
            <w:vAlign w:val="top"/>
          </w:tcPr>
          <w:p w14:paraId="4E1EBE1E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3.3检测项目：甲功、性激素、肿瘤标志物、传染病等</w:t>
            </w:r>
          </w:p>
        </w:tc>
      </w:tr>
      <w:tr w14:paraId="34449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08380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4.8试剂量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10μL–270μL</w:t>
            </w:r>
          </w:p>
        </w:tc>
        <w:tc>
          <w:tcPr>
            <w:tcW w:w="2421" w:type="pct"/>
            <w:noWrap w:val="0"/>
            <w:vAlign w:val="top"/>
          </w:tcPr>
          <w:p w14:paraId="3333B564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4.8试剂量：≤10μ L</w:t>
            </w:r>
          </w:p>
        </w:tc>
      </w:tr>
      <w:tr w14:paraId="440C2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12F19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4.12反应位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≥430个</w:t>
            </w:r>
          </w:p>
        </w:tc>
        <w:tc>
          <w:tcPr>
            <w:tcW w:w="2421" w:type="pct"/>
            <w:noWrap w:val="0"/>
            <w:vAlign w:val="top"/>
          </w:tcPr>
          <w:p w14:paraId="20C8AFA1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4.12反应位≥415个</w:t>
            </w:r>
          </w:p>
        </w:tc>
      </w:tr>
      <w:tr w14:paraId="421AF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3542C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4.14反应时间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10分钟、23分钟</w:t>
            </w:r>
          </w:p>
        </w:tc>
        <w:tc>
          <w:tcPr>
            <w:tcW w:w="2421" w:type="pct"/>
            <w:noWrap w:val="0"/>
            <w:vAlign w:val="top"/>
          </w:tcPr>
          <w:p w14:paraId="3FE17D47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4.14反应时间：0-23分钟</w:t>
            </w:r>
          </w:p>
        </w:tc>
      </w:tr>
      <w:tr w14:paraId="50BA9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pct"/>
            <w:noWrap w:val="0"/>
            <w:vAlign w:val="center"/>
          </w:tcPr>
          <w:p w14:paraId="40585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▲4.18最小反应体积</w:t>
            </w: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≤70μL</w:t>
            </w:r>
          </w:p>
        </w:tc>
        <w:tc>
          <w:tcPr>
            <w:tcW w:w="2421" w:type="pct"/>
            <w:noWrap w:val="0"/>
            <w:vAlign w:val="top"/>
          </w:tcPr>
          <w:p w14:paraId="7E6A1BE9">
            <w:pPr>
              <w:pStyle w:val="2"/>
              <w:spacing w:line="360" w:lineRule="auto"/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▲4.18最小反应体积：≤80μL</w:t>
            </w:r>
          </w:p>
        </w:tc>
      </w:tr>
    </w:tbl>
    <w:p w14:paraId="2C1E77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C11AC9"/>
    <w:rsid w:val="0EDA076B"/>
    <w:rsid w:val="33641229"/>
    <w:rsid w:val="3AC11AC9"/>
    <w:rsid w:val="60E455D3"/>
    <w:rsid w:val="660A5ADC"/>
    <w:rsid w:val="7D2F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2026-10-22T11:56:00Z</dcterms:created>
  <dc:creator>招标四部</dc:creator>
  <cp:lastModifiedBy>招标四部</cp:lastModifiedBy>
  <dcterms:modified xsi:type="dcterms:W3CDTF">2026-10-22T12:01:31Z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5F5BB3C4DE4741E99B9CF12649C35BEF_11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