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版本号：ZCSP-临渭区-2026-0011120260520001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2026年临渭区阎村镇申郭村农副产品加工厂建设项目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ZCSP-临渭区-2026-00111</w:t>
      </w:r>
      <w:r>
        <w:br/>
      </w:r>
      <w:r>
        <w:br/>
      </w:r>
      <w:r>
        <w:br/>
      </w:r>
    </w:p>
    <w:p>
      <w:pPr>
        <w:pStyle w:val="null3"/>
        <w:jc w:val="center"/>
        <w:outlineLvl w:val="2"/>
      </w:pPr>
      <w:r>
        <w:rPr>
          <w:rFonts w:ascii="仿宋_GB2312" w:hAnsi="仿宋_GB2312" w:cs="仿宋_GB2312" w:eastAsia="仿宋_GB2312"/>
          <w:sz w:val="28"/>
          <w:b/>
        </w:rPr>
        <w:t>陕西省渭南市临渭区阎村镇人民政府</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陕西省渭南市临渭区阎村镇人民政府</w:t>
      </w:r>
      <w:r>
        <w:rPr>
          <w:rFonts w:ascii="仿宋_GB2312" w:hAnsi="仿宋_GB2312" w:cs="仿宋_GB2312" w:eastAsia="仿宋_GB2312"/>
        </w:rPr>
        <w:t>委托，拟对</w:t>
      </w:r>
      <w:r>
        <w:rPr>
          <w:rFonts w:ascii="仿宋_GB2312" w:hAnsi="仿宋_GB2312" w:cs="仿宋_GB2312" w:eastAsia="仿宋_GB2312"/>
        </w:rPr>
        <w:t>2026年临渭区阎村镇申郭村农副产品加工厂建设项目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2026年临渭区阎村镇申郭村农副产品加工厂建设项目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为提高集体经济产业发展，带动群众收益，本项目新建厂房，并配套水电工程及其设施。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采购包1（2026年临渭区阎村镇申郭村农副产品加工厂建设项目）：属于专门面向中小企业采购。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1、企业资质：供应商须具备建筑工程施工总承包三级（含三级）及以上资质，并具有有效的安全生产许可证；</w:t>
      </w:r>
    </w:p>
    <w:p>
      <w:pPr>
        <w:pStyle w:val="null3"/>
      </w:pPr>
      <w:r>
        <w:rPr>
          <w:rFonts w:ascii="仿宋_GB2312" w:hAnsi="仿宋_GB2312" w:cs="仿宋_GB2312" w:eastAsia="仿宋_GB2312"/>
        </w:rPr>
        <w:t>2、项目经理：拟派项目经理须具有建筑工程二级及以上注册建造师资格并具有有效的安全生产考核合格证（建安B证），且无在建工程；</w:t>
      </w:r>
    </w:p>
    <w:p>
      <w:pPr>
        <w:pStyle w:val="null3"/>
      </w:pPr>
      <w:r>
        <w:rPr>
          <w:rFonts w:ascii="仿宋_GB2312" w:hAnsi="仿宋_GB2312" w:cs="仿宋_GB2312" w:eastAsia="仿宋_GB2312"/>
        </w:rPr>
        <w:t>3、法定代表人授权书/法定代表人身份证明书：法定代表人参与磋商时需提供法定代表人身份证明书；被授权人参与磋商时需提供法定代表人身份证明书及法定代表人授权委托书；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陕西省渭南市临渭区阎村镇人民政府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渭南市临渭区阎村镇街道十字向东100米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0913-2370002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刘世龙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陕西省渭南市临渭区阎村镇人民政府</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陕西省渭南市临渭区阎村镇人民政府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陕西省渭南市临渭区阎村镇人民政府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联系人：刘世龙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2026年临渭区阎村镇申郭村农副产品加工厂建设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标的名称：2026年临渭区阎村镇申郭村农副产品加工厂建设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为提高集体经济产业发展，带动群众收益，本项目新建厂房，并配套水电工程及其设施。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《中华人民共和国安全生产法》(2002年11月1日起实施)； 《施工现场临时用电安全技术规范》（JGJ46-88） 《建设工程施工现场供用电安全规范》（GB 50194-93） 《建设施工安全检查标准》（JGJ59-99） 《建筑与市政工程施工质量控制通用规范》（GB 55032-2022）《建筑与市政工程无障碍通用规范》（GB 55019-2021） 《建筑与市政地基基础通用规范》（GB55003-2021） 《混凝土结构工程施工质量验收规范》（GB50204-2015）； 其他相关的国家现行有关设计规范、规程和地方性法规、标准。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150日历天。（2）工程地点：临渭区阎村镇申郭村。（3）质量标准：合格。（4）质保期：按照《建设工程质量管理条例》及有关规定执行，质量保修期自工程竣工验收合格之日起计算。（5）付款方式：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6）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预算编制费：按照陕价行发[2014]88号文件规定计取；由中标（成交）供应商支付。2.中标（成交）供应商在中标（成交）结果公告发布后3个工作日内提供叁套纸质投标文件（经编标工具生成的文件直接打印），递交的纸质版文件内容确保与线上电子文件保持一致，不允许修改和补充。 3.中标（成交）供应商在中标（成交）结果公告发布后3个工作日内向采购人提交最终版《工程量清单表》，供应商最终版《工程量清单表》中的总报价应与最终磋商总报价保持一致。 4.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拟派项目经理须具有建筑工程二级及以上注册建造师资格并具有有效的安全生产考核合格证（建安B证），且无在建工程；</w:t>
            </w:r>
          </w:p>
        </w:tc>
        <w:tc>
          <w:tcPr>
            <w:tcW w:type="dxa" w:w="1661"/>
          </w:tcPr>
          <w:p>
            <w:pPr>
              <w:pStyle w:val="null3"/>
            </w:pPr>
            <w:r>
              <w:rPr>
                <w:rFonts w:ascii="仿宋_GB2312" w:hAnsi="仿宋_GB2312" w:cs="仿宋_GB2312" w:eastAsia="仿宋_GB2312"/>
              </w:rPr>
              <w:t>项目管理机构组成表 主要人员简历表 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供应商资格证明文件.pdf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供应商资格证明文件.pdf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供应商资格证明文件.pdf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内容至少包括①施工总平面布置；②资源配备计划：主要施工机械设备、劳动力等配备计划及主材进场计划；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内容至少包括①施工准备；②施工方法及相关技术措施；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内容至少包括①施工进度计划；②工期保障措施。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内容至少包括①质量管理体系；②施工质量保障措施。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内容至少包括①安全生产管理体系；②安全生产保证措施。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内容至少包括①文明施工及环境保护管理体系；②防尘降噪措施；③文明施工及环境保护措施。 赋分标准（12分）：每项评审内容不存在缺陷得4分，满分12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1.项目管理机构中每具有一个工程类中级职称得1分,具有高级职称得1.5分；本项最高得3分。 2.①项目管理机构人员配备7人（含7人）以上得5分； ②项目管理机构人员配备4-6人得4分； ③项目管理机构人员配备1-3人得2分。 本项须提供人员相关证件； 注：不提供或完全背离评审标准得0分。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供应商提供近三年（2023年5月至今）的类似业绩，每提供一个得1分，最多得5分，未提供得0分。（以合同签订时间为准）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满足竞争性磋商文件要求且磋商价格最低的最终磋商报价为磋商基准价，得满分35分； (3) 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