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版本号：ZSHZB-2026-21520260825002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ZSHZB-2026-215</w:t>
      </w:r>
      <w:r>
        <w:br/>
      </w:r>
      <w:r>
        <w:br/>
      </w:r>
      <w:r>
        <w:br/>
      </w:r>
    </w:p>
    <w:p>
      <w:pPr>
        <w:pStyle w:val="null3"/>
        <w:jc w:val="center"/>
        <w:outlineLvl w:val="2"/>
      </w:pPr>
      <w:r>
        <w:rPr>
          <w:rFonts w:ascii="仿宋_GB2312" w:hAnsi="仿宋_GB2312" w:cs="仿宋_GB2312" w:eastAsia="仿宋_GB2312"/>
          <w:sz w:val="28"/>
          <w:b/>
        </w:rPr>
        <w:t>西安市固体废弃物处置中心</w:t>
      </w:r>
    </w:p>
    <w:p>
      <w:pPr>
        <w:pStyle w:val="null3"/>
        <w:jc w:val="center"/>
        <w:outlineLvl w:val="2"/>
      </w:pPr>
      <w:r>
        <w:rPr>
          <w:rFonts w:ascii="仿宋_GB2312" w:hAnsi="仿宋_GB2312" w:cs="仿宋_GB2312" w:eastAsia="仿宋_GB2312"/>
          <w:sz w:val="28"/>
          <w:b/>
        </w:rPr>
        <w:t>陕西中盛禾项目咨询有限公司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陕西中盛禾项目咨询有限公司</w:t>
      </w:r>
      <w:r>
        <w:rPr>
          <w:rFonts w:ascii="仿宋_GB2312" w:hAnsi="仿宋_GB2312" w:cs="仿宋_GB2312" w:eastAsia="仿宋_GB2312"/>
        </w:rPr>
        <w:t>（以下简称“代理机构”）受</w:t>
      </w:r>
      <w:r>
        <w:rPr>
          <w:rFonts w:ascii="仿宋_GB2312" w:hAnsi="仿宋_GB2312" w:cs="仿宋_GB2312" w:eastAsia="仿宋_GB2312"/>
        </w:rPr>
        <w:t>西安市固体废弃物处置中心</w:t>
      </w:r>
      <w:r>
        <w:rPr>
          <w:rFonts w:ascii="仿宋_GB2312" w:hAnsi="仿宋_GB2312" w:cs="仿宋_GB2312" w:eastAsia="仿宋_GB2312"/>
        </w:rPr>
        <w:t>委托，拟对</w:t>
      </w:r>
      <w:r>
        <w:rPr>
          <w:rFonts w:ascii="仿宋_GB2312" w:hAnsi="仿宋_GB2312" w:cs="仿宋_GB2312" w:eastAsia="仿宋_GB2312"/>
        </w:rPr>
        <w:t>食堂外包服务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ZSHZB-2026-215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固体废弃物处置中心食堂服务对外由餐饮公司以全包模式经营管理。餐厅面积约80平方米左右，就餐座位40个。主要为职工餐厅，现有操作间一间、库房一间；餐厅内现有部分设备及厨具，桌椅、售饭机、水、电、气设施齐全；每日开（早、午、晚）三餐，全年无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身份证明/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2、资质证书：供应商须提供合法有效的《食品经营许可证》；</w:t>
      </w:r>
    </w:p>
    <w:p>
      <w:pPr>
        <w:pStyle w:val="null3"/>
      </w:pPr>
      <w:r>
        <w:rPr>
          <w:rFonts w:ascii="仿宋_GB2312" w:hAnsi="仿宋_GB2312" w:cs="仿宋_GB2312" w:eastAsia="仿宋_GB2312"/>
        </w:rPr>
        <w:t>3、信用查询：符合《财政部关于在政府采购活动中查询及使用信用记录有关问题的通知》（财库【2016】125号）文件中信用查询的要求。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西安市固体废弃物处置中心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西安市灞桥区白鹿西路北段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029-83506208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陕西中盛禾项目咨询有限公司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西安市未央区北三环首创国际城八期64号楼1811室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狄芳芳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参考《国家计委关于印发&lt;招标代理服务收费管理暂行办法&gt;的通知》（计价格【2002】1980号）及《国家发改委关于降低部分建设项目收费标准规范收费行为等有关问题的通知》（发改价格[2011]534号）的规定下浮20%收取。 2、成交供应商在领取成交通知书前，须向采购代理机构一次性支付采购代理服务费。 3、招标代理服务费缴纳信息： 银行户名：陕西中盛禾项目咨询有限公司 开户行名称：交通银行股份有限公司西安大雁塔支行 账号：611301053013002029330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西安市固体废弃物处置中心</w:t>
      </w:r>
      <w:r>
        <w:rPr>
          <w:rFonts w:ascii="仿宋_GB2312" w:hAnsi="仿宋_GB2312" w:cs="仿宋_GB2312" w:eastAsia="仿宋_GB2312"/>
        </w:rPr>
        <w:t>和</w:t>
      </w:r>
      <w:r>
        <w:rPr>
          <w:rFonts w:ascii="仿宋_GB2312" w:hAnsi="仿宋_GB2312" w:cs="仿宋_GB2312" w:eastAsia="仿宋_GB2312"/>
        </w:rPr>
        <w:t>陕西中盛禾项目咨询有限公司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西安市固体废弃物处置中心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陕西中盛禾项目咨询有限公司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西安市固体废弃物处置中心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陕西中盛禾项目咨询有限公司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3、国家及行业现行的标准和技术规范。 4、双方拟定的其他条款。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联系人：狄芳芳</w:t>
      </w:r>
    </w:p>
    <w:p>
      <w:pPr>
        <w:pStyle w:val="null3"/>
      </w:pPr>
      <w:r>
        <w:rPr>
          <w:rFonts w:ascii="仿宋_GB2312" w:hAnsi="仿宋_GB2312" w:cs="仿宋_GB2312" w:eastAsia="仿宋_GB2312"/>
        </w:rPr>
        <w:t>联系电话：18092735047</w:t>
      </w:r>
    </w:p>
    <w:p>
      <w:pPr>
        <w:pStyle w:val="null3"/>
      </w:pPr>
      <w:r>
        <w:rPr>
          <w:rFonts w:ascii="仿宋_GB2312" w:hAnsi="仿宋_GB2312" w:cs="仿宋_GB2312" w:eastAsia="仿宋_GB2312"/>
        </w:rPr>
        <w:t>地址：西安市未央区北三环首创国际城八期64号楼1811室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本次项目采购内容为食堂外包服务，1项。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西安市固体废弃物处置中心食堂外包服务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标的名称：西安市固体废弃物处置中心食堂外包服务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负责食材采购、入库验收、初加工、切配、烹制、售餐、洗消、食材餐厅区域食品类垃圾及泔水等清理清运、餐厅区域保洁、低值易耗品（含洗消用品用具等）、蚊、蝇、鼠、虫</w:t>
            </w:r>
            <w:r>
              <w:rPr>
                <w:rFonts w:ascii="仿宋_GB2312" w:hAnsi="仿宋_GB2312" w:cs="仿宋_GB2312" w:eastAsia="仿宋_GB2312"/>
              </w:rPr>
              <w:t>“四害”防治等食堂管理运行相关的一切工作，保证甲方用餐质量和用餐健康及供餐全过程安全保障工作。餐次及品种要求如下：</w:t>
            </w:r>
          </w:p>
          <w:p>
            <w:pPr>
              <w:pStyle w:val="null3"/>
              <w:jc w:val="both"/>
            </w:pPr>
            <w:r>
              <w:rPr>
                <w:rFonts w:ascii="仿宋_GB2312" w:hAnsi="仿宋_GB2312" w:cs="仿宋_GB2312" w:eastAsia="仿宋_GB2312"/>
              </w:rPr>
              <w:t>（</w:t>
            </w:r>
            <w:r>
              <w:rPr>
                <w:rFonts w:ascii="仿宋_GB2312" w:hAnsi="仿宋_GB2312" w:cs="仿宋_GB2312" w:eastAsia="仿宋_GB2312"/>
              </w:rPr>
              <w:t>1）早餐：主食2种，热菜1种，凉菜2种,奶制品每周发放3次</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2）午餐：主荤菜1种，副荤菜1种，素菜2种，主食2种（米饭、面食、小吃等），汤羹1种</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3）晚餐：主荤菜1种，素菜1种，主食2种（米饭、面食、小吃等）</w:t>
            </w:r>
            <w:r>
              <w:rPr>
                <w:rFonts w:ascii="仿宋_GB2312" w:hAnsi="仿宋_GB2312" w:cs="仿宋_GB2312" w:eastAsia="仿宋_GB231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4）其他：视工作需要，按甲方安排应急加、值班饭菜供应。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每周必须安排食品安检人员定期巡检，对就餐情况及时沟通并解决存在问题。</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出现食物中毒事件，乙方应当承担一切民事赔偿及行政处罚等相关责任</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保证全员用餐健康，卫生安全，设施设备操作安全；进行日消毒，周安检，对存在风险隐患及时处置，保证各环节安全运行。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（1）厨师长兼炒锅，人员数量：1名；人员要求：年龄25至60岁；文化程度不低于初中。 其他要求：持厨师证、健康证上岗，有较强的工作经验及协调管理能力，无违法犯罪记录。 （2）帮厨，人员数量：1名；人员要求：年龄25至55岁；文化程度不低于初中；其他要求：持健康证上岗，具有较强的责任心和工作经验，无犯罪记录。 （3）以上上岗工作人员必须严格遵守国家法律法规，积极落实甲方管理制度、工作安排，认真履行合同要求。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供应商根据项目特性，自行配置投入有利于完成本项目服务各类设施设备（包含但不限于专业设备、辅助设备、工具、软件等）。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预付款，合同签订后且在甲方资金到位的情况下，由乙方开具正式税务发票向甲方申请费用结算，达到付款条件起30个工作日内，支付合同总金额的40.0%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组织相关人员共同审核餐饮服务工作，按照双方最终验收结算意见，合同期满经验收合格且在甲方资金到位的情况下，由乙方开具正式税务发票向甲方申请费用结算，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合同执行中发生争议的，当事人双方应协商解决，协商达不成一致时，可向当地行政仲裁机关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一、因采购文件编制格式限制，支付约定完整版内容如下： 1、承包费用:服务期限 年 月 日至2026年12月20日（含国家法定节假日）。总费用为 元（大写： ），该费用包含食材采购成本、餐厅区域食品类垃圾及泔水等清理清运、餐厅区域保洁、低值易耗品（含洗消用品用具等）成本等除去水、电费在内的一切费用。合同价款不受市场物价变化影响。 2、结算方式： ①合同签订后且在采购人资金到位的情况下，由乙方开具正式税务发票向甲方申请费用结算，达到付款条件起30日内，支付合同总金额的40.00%； ②经甲、乙双方部门负责人组织相关人员共同参加审核餐饮服务工作，按照双方最终验收结算意见，根据西安市固体废弃物处置中心编制人数结付费用。（费用结算按照在编人员约29人全年满勤每人每天23元进行结算，员工个人日常充值消费金额归乙方营收范畴。）合同期满经验收合格且在采购人资金到位的情况下，由供应商开具正式税务发票向采购人进行费用结算，达到付款条件起30 日内，甲方付清实际发生总额剩余合同款项，（实际支付总额不得超过合同总金额）。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财务状况报告：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商提供证明财务报告中签字签章人或者第三方机构的身份证明、财务报告中数据信息真实性有效性的证明材料。｝供应商需在项目电子化交易系统中按要来上传相应证明文件并进行电子签章； 3、提供截止磋商前六个月内已缴纳任意一个月纳税证明或税务机关开具的完税证明（时间以税款所属日期为准，凭据应有税务机关或代收机关的公章或业务专用章。）依法免税或无须缴纳税收的单位应提供相应证明文件； 4、提供截止磋商前六个月内已缴存任意一个月社会保障资金缴存单据或社保机构开具的社会保险参保缴费证明，依法不需要缴纳社会保障资金的单位应提供相应证明文件； 5、具备履行合同所必需的设备和专业技术能力的证明材料或书面声明； 6、参加政府采购活动前三年内在经营活动中没有重大违法记录的书面声明。 注：以上2至6项，提供“基本资格条件承诺函”的，可不再提供其他证明文件。供应商需在项目电子化交易系统中按要求上传相应证明文件并进行电子签章。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商提供证明财务报告中签字签章人或者第三方机构的身份证明、财务报告中数据信息真实性有效性的证明材料。｝供应商需在项目电子化交易系统中按要来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法定代表人身份证明/法定代表人授权委托书：法定代表人直接参加投标的，须提供法定代表人身份证明；法定代表人授权代表参加投标的，须提供法定代表人授权委托书；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标的清单 供应商需补充的其他内容.docx 业绩的相关证明材料.docx 响应函 监狱企业的证明文件 报价明细表.docx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响应文件上法定代表人（单位负责人）或其授权委托人的签字齐全、公章齐全</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标的清单 供应商需补充的其他内容.docx 业绩的相关证明材料.docx 响应函 监狱企业的证明文件 报价明细表.docx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响应文件内容符合磋商文件的要求</w:t>
            </w:r>
          </w:p>
        </w:tc>
        <w:tc>
          <w:tcPr>
            <w:tcW w:type="dxa" w:w="1661"/>
          </w:tcPr>
          <w:p>
            <w:pPr>
              <w:pStyle w:val="null3"/>
            </w:pPr>
            <w:r>
              <w:rPr>
                <w:rFonts w:ascii="仿宋_GB2312" w:hAnsi="仿宋_GB2312" w:cs="仿宋_GB2312" w:eastAsia="仿宋_GB2312"/>
              </w:rPr>
              <w:t>商务应答表 服务内容及服务要求应答表 响应函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针对本项目提供具体可行的服务质量方案，包括但不限于①服务定位；②食材调配方案；③配送流程及管理。 1、完善性：方案必须全面，对评审内容中的各项要求有详细阐述； 2、可实施性：切合本项目实际情况，提出步骤清晰、合理的方案； 3、针对性：方案能够紧扣项目实际情况，内容科学合理。 上述评审内容全部满足评审标准得6分，每有一个评审内容缺项扣2分，每有一项评审内容存在缺陷，扣0-2分，扣完为止。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针对本项目提供具体可行的服务质量控制措施及承诺，包括但不限于①人员卫生管控措施；②产品质量来源承诺，保证产品供应渠道正常、稳定且质量有保证，具备完善的管理制度流程，检验手续合法有效，符合国家质量标准和食品卫生安全要求，确保食品安全等；③环境卫生控制措施；④设施设备管理措施；⑤节能管理措施；⑥有利于本项目实施的服务承诺。 1、完善性：方案必须全面，对评审内容中的各项要求有详细阐述； 2、可实施性：切合本项目实际情况，提出步骤清晰、合理的方案； 3、针对性：方案能够紧扣项目实际情况，内容科学合理。 上述评审内容全部满足评审标准得12分，每有一个评审内容缺项扣2分，每有一项评审内容存在缺陷，扣0-2分，扣完为止。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针对本项目提供具体可行的应急方案，包括但不限于①临时开餐处置方案；②食品安全事故及食物中毒事件应急预案；③设备工具补充；④工伤处置预案；⑤停水、停电、停气应急预案。 1、完善性：方案必须全面，对评审内容中的各项要求有详细阐述； 2、可实施性：切合本项目实际情况，提出步骤清晰、合理的方案； 3、针对性：方案能够紧扣项目实际情况，内容科学合理。 上述评审内容全部满足评审标准得10分，每有一个评审内容缺项扣2分，每有一项评审内容存在缺陷，扣0-2分，扣完为止。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针对本项目提供具体可行的管理质量控制方案，包括但不限于①服务响应；②进度保障措施；③储存场地符合相应的技术标准和环保、安全要求。 1、完善性：方案必须全面，对评审内容中的各项要求有详细阐述； 2、可实施性：切合本项目实际情况，提出步骤清晰、合理的方案； 3、针对性：方案能够紧扣项目实际情况，内容科学合理。 上述评审内容全部满足评审标准得6分，每有一个评审内容缺项扣2分，每有一项评审内容存在缺陷，扣0-2分，扣完为止。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针对本项目提供具体可行的团队配置方案，包括但不限于①团队人员架构；②岗位人员配置；③团队人员管理制度。 1、完善性：方案必须全面，对评审内容中的各项要求有详细阐述； 2、可实施性：切合本项目实际情况，提出步骤清晰、合理的方案； 3、针对性：方案能够紧扣项目实际情况，内容科学合理。 上述评审内容全部满足评审标准得6分，每有一个评审内容缺项扣2分，每有一项评审内容存在缺陷，扣0-2分，扣完为止。 说明：缺陷是指内容没有结合项目实际需求、虽有内容但不完善、内容表述前后不一致、套用其他项目方案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项目配备</w:t>
            </w:r>
          </w:p>
        </w:tc>
        <w:tc>
          <w:tcPr>
            <w:tcW w:type="dxa" w:w="2492"/>
          </w:tcPr>
          <w:p>
            <w:pPr>
              <w:pStyle w:val="null3"/>
            </w:pPr>
            <w:r>
              <w:rPr>
                <w:rFonts w:ascii="仿宋_GB2312" w:hAnsi="仿宋_GB2312" w:cs="仿宋_GB2312" w:eastAsia="仿宋_GB2312"/>
              </w:rPr>
              <w:t>①除厨师长及帮厨外，团队成员每增加一人计2.5分，最高计10分； ②供应商具有符合食品安全要求的运输交通工具， 配送货车每具有1辆计3分，最高计6分。 注：自有车辆提供有效的机动车行驶证或机动车登记证复印件；租赁车辆的需提供有效的租赁合同复印件与有效的机动车行驶证或机动车登记证复印件等证明材料。</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履约项目说明</w:t>
            </w:r>
          </w:p>
        </w:tc>
        <w:tc>
          <w:tcPr>
            <w:tcW w:type="dxa" w:w="2492"/>
          </w:tcPr>
          <w:p>
            <w:pPr>
              <w:pStyle w:val="null3"/>
            </w:pPr>
            <w:r>
              <w:rPr>
                <w:rFonts w:ascii="仿宋_GB2312" w:hAnsi="仿宋_GB2312" w:cs="仿宋_GB2312" w:eastAsia="仿宋_GB2312"/>
              </w:rPr>
              <w:t>提供不限于所完成项目的满意度调查表、业主评价意见表等，每提供一份计3分，最高计9分。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提供2023年8月至今类似业绩，提供一份计3分，最高计15分。（提供合同复印件加盖公章，合同签订时间及金额以合同中体现的内容为准。）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1）满足招标文件要求且最后报价最低的供应商的价格为基准价，其价格分为满分。其他供应商的价格分统一按照下列公式计算： 报价得分=（基准价/投标报价）×价格权值×100 价格评审过程中，不得去掉报价中的最高报价和最低报价。 各供应商投标报价不得超过该项目预算，否则视为无效投标。</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详见附件：供应商需补充的其他内容.docx</w:t>
      </w:r>
    </w:p>
    <w:p>
      <w:pPr>
        <w:pStyle w:val="null3"/>
        <w:ind w:firstLine="960"/>
      </w:pPr>
      <w:r>
        <w:rPr>
          <w:rFonts w:ascii="仿宋_GB2312" w:hAnsi="仿宋_GB2312" w:cs="仿宋_GB2312" w:eastAsia="仿宋_GB2312"/>
        </w:rPr>
        <w:t>详见附件：业绩的相关证明材料.docx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