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版本号：LYCCG-202604320260814001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长安区鸣犊街道中心学校2026年秋季学期及2027年春季学期营养改善计划---蔬菜、干货、调料项目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LYCCG-2026043</w:t>
      </w:r>
      <w:r>
        <w:br/>
      </w:r>
      <w:r>
        <w:br/>
      </w:r>
      <w:r>
        <w:br/>
      </w:r>
    </w:p>
    <w:p>
      <w:pPr>
        <w:pStyle w:val="null3"/>
        <w:jc w:val="center"/>
        <w:outlineLvl w:val="2"/>
      </w:pPr>
      <w:r>
        <w:rPr>
          <w:rFonts w:ascii="仿宋_GB2312" w:hAnsi="仿宋_GB2312" w:cs="仿宋_GB2312" w:eastAsia="仿宋_GB2312"/>
          <w:sz w:val="28"/>
          <w:b/>
        </w:rPr>
        <w:t>西安市长安区鸣犊街道中心学校</w:t>
      </w:r>
    </w:p>
    <w:p>
      <w:pPr>
        <w:pStyle w:val="null3"/>
        <w:jc w:val="center"/>
        <w:outlineLvl w:val="2"/>
      </w:pPr>
      <w:r>
        <w:rPr>
          <w:rFonts w:ascii="仿宋_GB2312" w:hAnsi="仿宋_GB2312" w:cs="仿宋_GB2312" w:eastAsia="仿宋_GB2312"/>
          <w:sz w:val="28"/>
          <w:b/>
        </w:rPr>
        <w:t>陕西龙宇诚项目管理有限公司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陕西龙宇诚项目管理有限公司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西安市长安区鸣犊街道中心学校</w:t>
      </w:r>
      <w:r>
        <w:rPr>
          <w:rFonts w:ascii="仿宋_GB2312" w:hAnsi="仿宋_GB2312" w:cs="仿宋_GB2312" w:eastAsia="仿宋_GB2312"/>
        </w:rPr>
        <w:t>委托，拟对</w:t>
      </w:r>
      <w:r>
        <w:rPr>
          <w:rFonts w:ascii="仿宋_GB2312" w:hAnsi="仿宋_GB2312" w:cs="仿宋_GB2312" w:eastAsia="仿宋_GB2312"/>
        </w:rPr>
        <w:t>长安区鸣犊街道中心学校2026年秋季学期及2027年春季学期营养改善计划---蔬菜、干货、调料项目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LYCCG-2026043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长安区鸣犊街道中心学校2026年秋季学期及2027年春季学期营养改善计划---蔬菜、干货、调料项目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西安市长安区鸣犊街道中心学校及辖区2所学校2026年秋季学期及2027年春季学期营养改善计划---蔬菜、干货、调料项目。内容：蔬菜、干货、调料等食材原料。所有食品原材料可溯源。 配送频次：干货、调料配送频次每周1-2次，蔬菜等保质期短的食材，配送企业根据学校需要，在保证新鲜、营养的前提下确定配送频次。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采购包1（长安区鸣犊街道中心学校2026年秋季学期及2027年春季学期营养改善计划---蔬菜、干货、调料项目）：属于专门面向中小企业采购。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2、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3、特定资格：供应商为生产厂家的须提供《食品生产许可证》及《食品经营许可证》（其经营项目需包含预包装）；供应商为代理商的须提供《食品经营许可证》或食品经营备案证明（其经营项目需包含预包装）。</w:t>
      </w:r>
    </w:p>
    <w:p>
      <w:pPr>
        <w:pStyle w:val="null3"/>
      </w:pPr>
      <w:r>
        <w:rPr>
          <w:rFonts w:ascii="仿宋_GB2312" w:hAnsi="仿宋_GB2312" w:cs="仿宋_GB2312" w:eastAsia="仿宋_GB2312"/>
        </w:rPr>
        <w:t>4、非联合体投标书面声明：本项目不接受联合体投标，提供非联合体声明。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西安市长安区鸣犊街道中心学校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西安市长安区鸣犊街道张雷村甲字1号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18133966096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陕西龙宇诚项目管理有限公司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陕西省西安市雁塔区电子正街南延伸段万象国际中心2号楼707室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029-81028400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采购包1：604,695.97元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参照国家计委颁布的《招标代理服务收费管理暂行办法》（计价格[2002]1980号）和（发改办价格[2003]857号）货物类收费标准。按照中标金额差额定率累进法计算。中标单位在领取中标通知书前，须向采购代理机构一次性支付招标代理服务费；代理服务费以转账、电汇或现金等形式交纳。 采购代理机构开户名称：陕西龙宇诚项目管理有限公司 开户行名称：交通银行股份有限公司西安南二环支行 账 号：6113 0113 6013 0010 55668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西安市长安区鸣犊街道中心学校</w:t>
      </w:r>
      <w:r>
        <w:rPr>
          <w:rFonts w:ascii="仿宋_GB2312" w:hAnsi="仿宋_GB2312" w:cs="仿宋_GB2312" w:eastAsia="仿宋_GB2312"/>
        </w:rPr>
        <w:t>和</w:t>
      </w:r>
      <w:r>
        <w:rPr>
          <w:rFonts w:ascii="仿宋_GB2312" w:hAnsi="仿宋_GB2312" w:cs="仿宋_GB2312" w:eastAsia="仿宋_GB2312"/>
        </w:rPr>
        <w:t>陕西龙宇诚项目管理有限公司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西安市长安区鸣犊街道中心学校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陕西龙宇诚项目管理有限公司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西安市长安区鸣犊街道中心学校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陕西龙宇诚项目管理有限公司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按照国家相关标准和谈判文件要求验收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联系人：梁工</w:t>
      </w:r>
    </w:p>
    <w:p>
      <w:pPr>
        <w:pStyle w:val="null3"/>
      </w:pPr>
      <w:r>
        <w:rPr>
          <w:rFonts w:ascii="仿宋_GB2312" w:hAnsi="仿宋_GB2312" w:cs="仿宋_GB2312" w:eastAsia="仿宋_GB2312"/>
        </w:rPr>
        <w:t>联系电话：029-81028400</w:t>
      </w:r>
    </w:p>
    <w:p>
      <w:pPr>
        <w:pStyle w:val="null3"/>
      </w:pPr>
      <w:r>
        <w:rPr>
          <w:rFonts w:ascii="仿宋_GB2312" w:hAnsi="仿宋_GB2312" w:cs="仿宋_GB2312" w:eastAsia="仿宋_GB2312"/>
        </w:rPr>
        <w:t>地址：陕西省西安市雁塔区电子正街南延伸段万象国际中心2号楼707室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西安市长安区鸣犊街道中心学校及辖区2所学校2026年秋季学期及2027年春季学期营养改善计划---蔬菜、干货、调料项目。内容：蔬菜、干货、调料等食材原料。所有食品原材料可溯源。 配送频次：干货、调料配送频次每周1-2次，蔬菜等保质期短的食材，配送企业根据学校需要，在保证新鲜、营养的前提下确定配送频次。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604,695.97</w:t>
      </w:r>
    </w:p>
    <w:p>
      <w:pPr>
        <w:pStyle w:val="null3"/>
      </w:pPr>
      <w:r>
        <w:rPr>
          <w:rFonts w:ascii="仿宋_GB2312" w:hAnsi="仿宋_GB2312" w:cs="仿宋_GB2312" w:eastAsia="仿宋_GB2312"/>
        </w:rPr>
        <w:t>采购包最高限价（元）: 604,695.97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蔬菜、干货、调料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604,695.97</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标的名称：蔬菜、干货、调料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pPr>
            <w:r>
              <w:rPr>
                <w:rFonts w:ascii="仿宋_GB2312" w:hAnsi="仿宋_GB2312" w:cs="仿宋_GB2312" w:eastAsia="仿宋_GB2312"/>
              </w:rPr>
              <w:t>一、项目概况</w:t>
            </w:r>
          </w:p>
          <w:p>
            <w:pPr>
              <w:pStyle w:val="null3"/>
              <w:ind w:firstLine="400"/>
            </w:pPr>
            <w:r>
              <w:rPr>
                <w:rFonts w:ascii="仿宋_GB2312" w:hAnsi="仿宋_GB2312" w:cs="仿宋_GB2312" w:eastAsia="仿宋_GB2312"/>
              </w:rPr>
              <w:t>项目概况：西安市</w:t>
            </w:r>
            <w:r>
              <w:rPr>
                <w:rFonts w:ascii="仿宋_GB2312" w:hAnsi="仿宋_GB2312" w:cs="仿宋_GB2312" w:eastAsia="仿宋_GB2312"/>
              </w:rPr>
              <w:t>长安区鸣犊街道中心学校及辖区2所学校</w:t>
            </w:r>
            <w:r>
              <w:rPr>
                <w:rFonts w:ascii="仿宋_GB2312" w:hAnsi="仿宋_GB2312" w:cs="仿宋_GB2312" w:eastAsia="仿宋_GB2312"/>
              </w:rPr>
              <w:t>2026年秋季学期及2027年春季学期营养改善计划---蔬菜、干货、调料采购</w:t>
            </w:r>
          </w:p>
          <w:p>
            <w:pPr>
              <w:pStyle w:val="null3"/>
              <w:ind w:firstLine="400"/>
            </w:pPr>
            <w:r>
              <w:rPr>
                <w:rFonts w:ascii="仿宋_GB2312" w:hAnsi="仿宋_GB2312" w:cs="仿宋_GB2312" w:eastAsia="仿宋_GB2312"/>
              </w:rPr>
              <w:t>二、配送范围、内容和期限</w:t>
            </w:r>
          </w:p>
          <w:p>
            <w:pPr>
              <w:pStyle w:val="null3"/>
              <w:ind w:firstLine="400"/>
            </w:pPr>
            <w:r>
              <w:rPr>
                <w:rFonts w:ascii="仿宋_GB2312" w:hAnsi="仿宋_GB2312" w:cs="仿宋_GB2312" w:eastAsia="仿宋_GB2312"/>
              </w:rPr>
              <w:t>范围：采购人指定地点</w:t>
            </w:r>
          </w:p>
          <w:p>
            <w:pPr>
              <w:pStyle w:val="null3"/>
              <w:ind w:firstLine="400"/>
            </w:pPr>
            <w:r>
              <w:rPr>
                <w:rFonts w:ascii="仿宋_GB2312" w:hAnsi="仿宋_GB2312" w:cs="仿宋_GB2312" w:eastAsia="仿宋_GB2312"/>
              </w:rPr>
              <w:t>内容：蔬菜、干货、调料等食材原料。所有食品原材料可溯源。</w:t>
            </w:r>
          </w:p>
          <w:p>
            <w:pPr>
              <w:pStyle w:val="null3"/>
              <w:ind w:firstLine="400"/>
            </w:pPr>
            <w:r>
              <w:rPr>
                <w:rFonts w:ascii="仿宋_GB2312" w:hAnsi="仿宋_GB2312" w:cs="仿宋_GB2312" w:eastAsia="仿宋_GB2312"/>
              </w:rPr>
              <w:t>配送频次：干货、调料配送频次每周</w:t>
            </w:r>
            <w:r>
              <w:rPr>
                <w:rFonts w:ascii="仿宋_GB2312" w:hAnsi="仿宋_GB2312" w:cs="仿宋_GB2312" w:eastAsia="仿宋_GB2312"/>
              </w:rPr>
              <w:t>1-2次，蔬菜等保质期短的食材，配送企业根据学校需要，在保证新鲜、营养的前提下确定配送频次。</w:t>
            </w:r>
          </w:p>
          <w:tbl>
            <w:tblPr>
              <w:tblInd w:type="dxa" w:w="120"/>
              <w:tblBorders>
                <w:top w:val="none" w:color="000000" w:sz="4"/>
                <w:left w:val="none" w:color="000000" w:sz="4"/>
                <w:bottom w:val="none" w:color="000000" w:sz="4"/>
                <w:right w:val="none" w:color="000000" w:sz="4"/>
                <w:insideH w:val="none"/>
                <w:insideV w:val="none"/>
              </w:tblBorders>
            </w:tblPr>
            <w:tblGrid>
              <w:gridCol w:w="311"/>
              <w:gridCol w:w="462"/>
              <w:gridCol w:w="519"/>
              <w:gridCol w:w="1247"/>
            </w:tblGrid>
            <w:tr>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4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品名</w:t>
                  </w: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规格</w:t>
                  </w:r>
                </w:p>
              </w:tc>
              <w:tc>
                <w:tcPr>
                  <w:tcW w:type="dxa" w:w="1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质量要求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豆腐</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具有产品应有的色泽、滋味和气味，无异味，无霉变</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净笋</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新鲜、脆嫩</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青菜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新鲜，无烂叶、黄叶</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蘑菇</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鲜嫩、饱满、有弹性</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冬瓜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果面清洁、无腐烂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玉米</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新鲜，无虫害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大葱</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清洁</w:t>
                  </w:r>
                  <w:r>
                    <w:rPr>
                      <w:rFonts w:ascii="仿宋_GB2312" w:hAnsi="仿宋_GB2312" w:cs="仿宋_GB2312" w:eastAsia="仿宋_GB2312"/>
                      <w:sz w:val="19"/>
                    </w:rPr>
                    <w:t>,整齐,直立,葱白肥厚,松紧适葱白无破裂、无损伤</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豆腐干</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形状完整、薄厚均匀、无焦糊</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豆腐皮</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有光泽、色泽均匀，有豆香味，无异味、无霉变</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花生米</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果粒完整，无病变粒、霉变粒</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海带丝</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符合海带标准和食品安全相关规定</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香菜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无黄叶、烂叶</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黄瓜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表面有光泽，不脱水，无皱褶</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洋葱</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新鲜洁净，无软腐、无异味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豆芽</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符合豆芽卫生标准，整齐、无腐烂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土豆</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完整、健全、不带绿色</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西红柿</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新鲜、无腐烂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芹菜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新鲜有光泽，无萎蔫、黄化</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香菇</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饱满、有弹性</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红萝卜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无病虫害、皱缩</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无漂白</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茄子</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果实有光泽，硬实、无萎蔫</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莲花白</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结实紧凑、无老帮</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西兰花</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鲜嫩，花球紧密结实，无异色、斑疤，无病虫害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菜花</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鲜嫩，花球紧密结实，无异色、斑疤，无病虫害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莲菜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表面光滑，硬实、无皱褶</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山药</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外观新鲜、粗细均匀、色泽均匀，无疤痕、缺陷</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红薯</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完整、健全、无虫害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色泽均匀一致，果面光洁，无虫斑、无病斑</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西葫芦</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鲜嫩、有光泽、无病变</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菜椒</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新鲜、无腐烂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粉条</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粗细均匀，无并丝、无异味、无杂质</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木耳</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有光泽、耳片完整、无异味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黄花菜</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色泽淡黄或金黄，条色均匀，有光泽</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腐竹</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有光泽，色泽均匀，有豆香味、无异味、无霉变</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干辣椒</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果面均匀，色泽一致，无黑斑、虫蚀</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37</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蒜薹</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色泽鲜绿，质地脆嫩</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38</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鲜香菇</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色泽均匀，无酸臭、霉变等异味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39</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银耳</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耳片半透明、有光泽，无异味</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蚝油</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500ml/瓶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豆瓣酱</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10斤/桶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生抽</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500ml/瓶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老抽</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500ml/瓶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醋（核心产品）</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10L/桶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盐</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350g/袋</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46</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鸡精</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500g/袋</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47</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糖</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料酒</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500ml/瓶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49</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花椒</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八角</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51</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桂皮</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52</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香叶</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53</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香油</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500ml/瓶</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54</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十三香</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45g/盒</w:t>
                  </w: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质检合格，符合食品安全法规要求</w:t>
                  </w:r>
                </w:p>
              </w:tc>
            </w:tr>
            <w:tr>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55</w:t>
                  </w:r>
                </w:p>
              </w:tc>
              <w:tc>
                <w:tcPr>
                  <w:tcW w:type="dxa" w:w="4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c>
                <w:tcPr>
                  <w:tcW w:type="dxa" w:w="17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清单未详尽的内容后期按采购人需求增减。</w:t>
                  </w:r>
                </w:p>
              </w:tc>
            </w:tr>
          </w:tbl>
          <w:p>
            <w:pPr>
              <w:pStyle w:val="null3"/>
              <w:ind w:firstLine="400"/>
            </w:pPr>
            <w:r>
              <w:rPr>
                <w:rFonts w:ascii="仿宋_GB2312" w:hAnsi="仿宋_GB2312" w:cs="仿宋_GB2312" w:eastAsia="仿宋_GB2312"/>
              </w:rPr>
              <w:t>服务要求</w:t>
            </w:r>
          </w:p>
          <w:p>
            <w:pPr>
              <w:pStyle w:val="null3"/>
              <w:ind w:firstLine="400"/>
            </w:pPr>
            <w:r>
              <w:rPr>
                <w:rFonts w:ascii="仿宋_GB2312" w:hAnsi="仿宋_GB2312" w:cs="仿宋_GB2312" w:eastAsia="仿宋_GB2312"/>
              </w:rPr>
              <w:t>（</w:t>
            </w:r>
            <w:r>
              <w:rPr>
                <w:rFonts w:ascii="仿宋_GB2312" w:hAnsi="仿宋_GB2312" w:cs="仿宋_GB2312" w:eastAsia="仿宋_GB2312"/>
              </w:rPr>
              <w:t>1）成交供应商应严格遵守《中华人民共和国食品卫生法》、《中华人民共和国食品安全法》、《中华人民共和国食品安全法实施条例》，严格按照货物国家标准规范及有关要求进行供货，不出售不洁、过期、变质食品，杜绝食物中毒事故发生，有符合卫生条件的果蔬储藏库房，符合卫生条件，车况良好、干净卫生的车辆配送，在运输前必须对运输车辆做好清洁消毒工作，以保证食品安全运输到达各校点，工作人员提供有效健康证。</w:t>
            </w:r>
          </w:p>
          <w:p>
            <w:pPr>
              <w:pStyle w:val="null3"/>
              <w:ind w:firstLine="400"/>
            </w:pPr>
            <w:r>
              <w:rPr>
                <w:rFonts w:ascii="仿宋_GB2312" w:hAnsi="仿宋_GB2312" w:cs="仿宋_GB2312" w:eastAsia="仿宋_GB2312"/>
              </w:rPr>
              <w:t>（</w:t>
            </w:r>
            <w:r>
              <w:rPr>
                <w:rFonts w:ascii="仿宋_GB2312" w:hAnsi="仿宋_GB2312" w:cs="仿宋_GB2312" w:eastAsia="仿宋_GB2312"/>
              </w:rPr>
              <w:t>2）成交供应商负责指导各学校做好食品的保管工作，并提供食品储存保管方式方法。</w:t>
            </w:r>
          </w:p>
          <w:p>
            <w:pPr>
              <w:pStyle w:val="null3"/>
              <w:ind w:firstLine="400"/>
            </w:pPr>
            <w:r>
              <w:rPr>
                <w:rFonts w:ascii="仿宋_GB2312" w:hAnsi="仿宋_GB2312" w:cs="仿宋_GB2312" w:eastAsia="仿宋_GB2312"/>
              </w:rPr>
              <w:t>（</w:t>
            </w:r>
            <w:r>
              <w:rPr>
                <w:rFonts w:ascii="仿宋_GB2312" w:hAnsi="仿宋_GB2312" w:cs="仿宋_GB2312" w:eastAsia="仿宋_GB2312"/>
              </w:rPr>
              <w:t>3）包装与加工按照采购单位要求执行：应按配送要求分类打包，以上货物均须按照国家标准进行包装。</w:t>
            </w:r>
          </w:p>
          <w:p>
            <w:pPr>
              <w:pStyle w:val="null3"/>
              <w:ind w:firstLine="400"/>
            </w:pPr>
            <w:r>
              <w:rPr>
                <w:rFonts w:ascii="仿宋_GB2312" w:hAnsi="仿宋_GB2312" w:cs="仿宋_GB2312" w:eastAsia="仿宋_GB2312"/>
              </w:rPr>
              <w:t>（</w:t>
            </w:r>
            <w:r>
              <w:rPr>
                <w:rFonts w:ascii="仿宋_GB2312" w:hAnsi="仿宋_GB2312" w:cs="仿宋_GB2312" w:eastAsia="仿宋_GB2312"/>
              </w:rPr>
              <w:t>4）成交供应商必须在配送过程中按有关部门的要求及时向配送校点提供各类票据、原始凭证，由学校清点核对、验收、签字后生效，并作为付款凭证。</w:t>
            </w:r>
          </w:p>
          <w:p>
            <w:pPr>
              <w:pStyle w:val="null3"/>
              <w:ind w:firstLine="400"/>
            </w:pPr>
            <w:r>
              <w:rPr>
                <w:rFonts w:ascii="仿宋_GB2312" w:hAnsi="仿宋_GB2312" w:cs="仿宋_GB2312" w:eastAsia="仿宋_GB2312"/>
              </w:rPr>
              <w:t>（</w:t>
            </w:r>
            <w:r>
              <w:rPr>
                <w:rFonts w:ascii="仿宋_GB2312" w:hAnsi="仿宋_GB2312" w:cs="仿宋_GB2312" w:eastAsia="仿宋_GB2312"/>
              </w:rPr>
              <w:t>5）如成交供应商不按时每天上午4：00 前送货到各指定校点,影响就餐的，采购单位有权扣除供应商当日货款的3倍为违约赔偿金。</w:t>
            </w:r>
          </w:p>
          <w:p>
            <w:pPr>
              <w:pStyle w:val="null3"/>
              <w:ind w:firstLine="400"/>
            </w:pPr>
            <w:r>
              <w:rPr>
                <w:rFonts w:ascii="仿宋_GB2312" w:hAnsi="仿宋_GB2312" w:cs="仿宋_GB2312" w:eastAsia="仿宋_GB2312"/>
              </w:rPr>
              <w:t>（</w:t>
            </w:r>
            <w:r>
              <w:rPr>
                <w:rFonts w:ascii="仿宋_GB2312" w:hAnsi="仿宋_GB2312" w:cs="仿宋_GB2312" w:eastAsia="仿宋_GB2312"/>
              </w:rPr>
              <w:t>6）供货期间，成交供应商应无条件的接受采购单位的质量及价格监督，对采购提出的问题要及时整改，整改完毕后通知采购单位检查验收，合格后书面报送采购单位备案。</w:t>
            </w:r>
          </w:p>
          <w:p>
            <w:pPr>
              <w:pStyle w:val="null3"/>
              <w:ind w:firstLine="400"/>
            </w:pPr>
            <w:r>
              <w:rPr>
                <w:rFonts w:ascii="仿宋_GB2312" w:hAnsi="仿宋_GB2312" w:cs="仿宋_GB2312" w:eastAsia="仿宋_GB2312"/>
              </w:rPr>
              <w:t>采购货物质量要求：</w:t>
            </w:r>
          </w:p>
          <w:p>
            <w:pPr>
              <w:pStyle w:val="null3"/>
              <w:ind w:firstLine="400"/>
            </w:pPr>
            <w:r>
              <w:rPr>
                <w:rFonts w:ascii="仿宋_GB2312" w:hAnsi="仿宋_GB2312" w:cs="仿宋_GB2312" w:eastAsia="仿宋_GB2312"/>
              </w:rPr>
              <w:t>（</w:t>
            </w:r>
            <w:r>
              <w:rPr>
                <w:rFonts w:ascii="仿宋_GB2312" w:hAnsi="仿宋_GB2312" w:cs="仿宋_GB2312" w:eastAsia="仿宋_GB2312"/>
              </w:rPr>
              <w:t>1）所有货物质量必须严格按照国家标准规范及有关要求执行，因所投食品的质量问题而引起的食物中毒事件，供应商依法承担所有责任。</w:t>
            </w:r>
          </w:p>
          <w:p>
            <w:pPr>
              <w:pStyle w:val="null3"/>
              <w:ind w:firstLine="400"/>
            </w:pPr>
            <w:r>
              <w:rPr>
                <w:rFonts w:ascii="仿宋_GB2312" w:hAnsi="仿宋_GB2312" w:cs="仿宋_GB2312" w:eastAsia="仿宋_GB2312"/>
              </w:rPr>
              <w:t>（</w:t>
            </w:r>
            <w:r>
              <w:rPr>
                <w:rFonts w:ascii="仿宋_GB2312" w:hAnsi="仿宋_GB2312" w:cs="仿宋_GB2312" w:eastAsia="仿宋_GB2312"/>
              </w:rPr>
              <w:t>2）中标供应商必须讲诚信，所供货物不得以次充好，无过期商品、假冒伪劣产品、无以次充好现象。不得将过期变质、发霉、不新鲜的蔬菜等不合格品参杂其中；一经发现，取消其供货资格。</w:t>
            </w:r>
          </w:p>
          <w:p>
            <w:pPr>
              <w:pStyle w:val="null3"/>
              <w:ind w:firstLine="400"/>
            </w:pPr>
            <w:r>
              <w:rPr>
                <w:rFonts w:ascii="仿宋_GB2312" w:hAnsi="仿宋_GB2312" w:cs="仿宋_GB2312" w:eastAsia="仿宋_GB2312"/>
              </w:rPr>
              <w:t>配送数量：根据学校需求、结合带量食谱的供餐内容确定。</w:t>
            </w:r>
          </w:p>
          <w:p>
            <w:pPr>
              <w:pStyle w:val="null3"/>
              <w:ind w:firstLine="400"/>
            </w:pPr>
            <w:r>
              <w:rPr>
                <w:rFonts w:ascii="仿宋_GB2312" w:hAnsi="仿宋_GB2312" w:cs="仿宋_GB2312" w:eastAsia="仿宋_GB2312"/>
              </w:rPr>
              <w:t>项目采购周期：</w:t>
            </w:r>
            <w:r>
              <w:rPr>
                <w:rFonts w:ascii="仿宋_GB2312" w:hAnsi="仿宋_GB2312" w:cs="仿宋_GB2312" w:eastAsia="仿宋_GB2312"/>
              </w:rPr>
              <w:t>1学年。</w:t>
            </w:r>
          </w:p>
          <w:p>
            <w:pPr>
              <w:pStyle w:val="null3"/>
              <w:ind w:firstLine="400"/>
            </w:pPr>
            <w:r>
              <w:rPr>
                <w:rFonts w:ascii="仿宋_GB2312" w:hAnsi="仿宋_GB2312" w:cs="仿宋_GB2312" w:eastAsia="仿宋_GB2312"/>
              </w:rPr>
              <w:t>配送工作原则</w:t>
            </w:r>
          </w:p>
          <w:p>
            <w:pPr>
              <w:pStyle w:val="null3"/>
              <w:ind w:firstLine="400"/>
            </w:pPr>
            <w:r>
              <w:rPr>
                <w:rFonts w:ascii="仿宋_GB2312" w:hAnsi="仿宋_GB2312" w:cs="仿宋_GB2312" w:eastAsia="仿宋_GB2312"/>
              </w:rPr>
              <w:t>规范管理、确保质量；物美价廉、服务学生；统一采购、集中配送；安全快捷、按需配送、配送及时。</w:t>
            </w:r>
          </w:p>
          <w:p>
            <w:pPr>
              <w:pStyle w:val="null3"/>
              <w:ind w:firstLine="400"/>
            </w:pPr>
            <w:r>
              <w:rPr>
                <w:rFonts w:ascii="仿宋_GB2312" w:hAnsi="仿宋_GB2312" w:cs="仿宋_GB2312" w:eastAsia="仿宋_GB2312"/>
              </w:rPr>
              <w:t>配送模式</w:t>
            </w:r>
          </w:p>
          <w:p>
            <w:pPr>
              <w:pStyle w:val="null3"/>
              <w:ind w:firstLine="400"/>
            </w:pPr>
            <w:r>
              <w:rPr>
                <w:rFonts w:ascii="仿宋_GB2312" w:hAnsi="仿宋_GB2312" w:cs="仿宋_GB2312" w:eastAsia="仿宋_GB2312"/>
              </w:rPr>
              <w:t>1、按照学生带量食谱，由中标企业将学校需要的食材在规定时间内保质保量配送到学校，签字交接，按月结算。</w:t>
            </w:r>
          </w:p>
          <w:p>
            <w:pPr>
              <w:pStyle w:val="null3"/>
              <w:ind w:firstLine="400"/>
            </w:pPr>
            <w:r>
              <w:rPr>
                <w:rFonts w:ascii="仿宋_GB2312" w:hAnsi="仿宋_GB2312" w:cs="仿宋_GB2312" w:eastAsia="仿宋_GB2312"/>
              </w:rPr>
              <w:t>2、配送的调味品到校价格原则上不高于我区三家以上同类产品的市场价格。</w:t>
            </w:r>
          </w:p>
          <w:p>
            <w:pPr>
              <w:pStyle w:val="null3"/>
              <w:ind w:firstLine="400"/>
            </w:pPr>
            <w:r>
              <w:rPr>
                <w:rFonts w:ascii="仿宋_GB2312" w:hAnsi="仿宋_GB2312" w:cs="仿宋_GB2312" w:eastAsia="仿宋_GB2312"/>
              </w:rPr>
              <w:t>3、干货调料每学期确定一次价格；蔬菜每周出台配送到校的价格。所有食材到货价包含配送费（含装卸）。</w:t>
            </w:r>
          </w:p>
          <w:p>
            <w:pPr>
              <w:pStyle w:val="null3"/>
              <w:ind w:firstLine="400"/>
            </w:pPr>
            <w:r>
              <w:rPr>
                <w:rFonts w:ascii="仿宋_GB2312" w:hAnsi="仿宋_GB2312" w:cs="仿宋_GB2312" w:eastAsia="仿宋_GB2312"/>
              </w:rPr>
              <w:t>对配送企业的具体要求</w:t>
            </w:r>
          </w:p>
          <w:p>
            <w:pPr>
              <w:pStyle w:val="null3"/>
              <w:ind w:firstLine="400"/>
            </w:pPr>
            <w:r>
              <w:rPr>
                <w:rFonts w:ascii="仿宋_GB2312" w:hAnsi="仿宋_GB2312" w:cs="仿宋_GB2312" w:eastAsia="仿宋_GB2312"/>
              </w:rPr>
              <w:t>1、从业人员要求。从事配送工作的人员必须持有健康证，聘用的司机驾龄必须在三年以上、有一定驾驶经验，每次配送车上必须有一位责任心强的工作人员负责押运，并与学校搞好交接工作。</w:t>
            </w:r>
          </w:p>
          <w:p>
            <w:pPr>
              <w:pStyle w:val="null3"/>
              <w:ind w:firstLine="400"/>
            </w:pPr>
            <w:r>
              <w:rPr>
                <w:rFonts w:ascii="仿宋_GB2312" w:hAnsi="仿宋_GB2312" w:cs="仿宋_GB2312" w:eastAsia="仿宋_GB2312"/>
              </w:rPr>
              <w:t>2、配送产品的质量要求。</w:t>
            </w:r>
          </w:p>
          <w:p>
            <w:pPr>
              <w:pStyle w:val="null3"/>
              <w:ind w:firstLine="400"/>
            </w:pPr>
            <w:r>
              <w:rPr>
                <w:rFonts w:ascii="仿宋_GB2312" w:hAnsi="仿宋_GB2312" w:cs="仿宋_GB2312" w:eastAsia="仿宋_GB2312"/>
              </w:rPr>
              <w:t>（</w:t>
            </w:r>
            <w:r>
              <w:rPr>
                <w:rFonts w:ascii="仿宋_GB2312" w:hAnsi="仿宋_GB2312" w:cs="仿宋_GB2312" w:eastAsia="仿宋_GB2312"/>
              </w:rPr>
              <w:t>1）蔬菜选用符合市场准入条件的新鲜无公害蔬菜，且有相关部门检验及自检农药残留合格检验报告；蔬菜装车前要认真分拣，装入蔬菜周转箱配送；</w:t>
            </w:r>
          </w:p>
          <w:p>
            <w:pPr>
              <w:pStyle w:val="null3"/>
              <w:ind w:firstLine="400"/>
            </w:pPr>
            <w:r>
              <w:rPr>
                <w:rFonts w:ascii="仿宋_GB2312" w:hAnsi="仿宋_GB2312" w:cs="仿宋_GB2312" w:eastAsia="仿宋_GB2312"/>
              </w:rPr>
              <w:t>（</w:t>
            </w:r>
            <w:r>
              <w:rPr>
                <w:rFonts w:ascii="仿宋_GB2312" w:hAnsi="仿宋_GB2312" w:cs="仿宋_GB2312" w:eastAsia="仿宋_GB2312"/>
              </w:rPr>
              <w:t>2）干货及调料必须是资质证照齐全的正规供货商生产的；必须在保质期内（送达时距离质保期在180天及以上），确保无杂质、无变质、霉烂；取得SC认证，经检验的合格产品。</w:t>
            </w:r>
          </w:p>
          <w:p>
            <w:pPr>
              <w:pStyle w:val="null3"/>
              <w:ind w:firstLine="400"/>
            </w:pPr>
            <w:r>
              <w:rPr>
                <w:rFonts w:ascii="仿宋_GB2312" w:hAnsi="仿宋_GB2312" w:cs="仿宋_GB2312" w:eastAsia="仿宋_GB2312"/>
              </w:rPr>
              <w:t>3、配送时间要求。按照学校的需求，配送要及时，服务要热情。</w:t>
            </w:r>
          </w:p>
          <w:p>
            <w:pPr>
              <w:pStyle w:val="null3"/>
              <w:ind w:firstLine="400"/>
            </w:pPr>
            <w:r>
              <w:rPr>
                <w:rFonts w:ascii="仿宋_GB2312" w:hAnsi="仿宋_GB2312" w:cs="仿宋_GB2312" w:eastAsia="仿宋_GB2312"/>
              </w:rPr>
              <w:t>4、账务管理要求。配送企业必须建好商品采购、配送台账，配送到校的商品，在交接过程中要开具三联单票据，接收人要签字，依据相关部门出台的价格，学校和企业据实核对，一月一结账。</w:t>
            </w:r>
          </w:p>
          <w:p>
            <w:pPr>
              <w:pStyle w:val="null3"/>
              <w:ind w:firstLine="400"/>
            </w:pPr>
            <w:r>
              <w:rPr>
                <w:rFonts w:ascii="仿宋_GB2312" w:hAnsi="仿宋_GB2312" w:cs="仿宋_GB2312" w:eastAsia="仿宋_GB2312"/>
              </w:rPr>
              <w:t>5、产品质量诚信要求：在合同有效期内，每学期对配送企业的配送食品质量、价格、服务等情况进行考核，对发生质量问题和一次以上价格虚高及服务差的企业随时终止合同或合同期满予以淘汰。</w:t>
            </w:r>
          </w:p>
          <w:p>
            <w:pPr>
              <w:pStyle w:val="null3"/>
              <w:ind w:firstLine="400"/>
            </w:pPr>
            <w:r>
              <w:rPr>
                <w:rFonts w:ascii="仿宋_GB2312" w:hAnsi="仿宋_GB2312" w:cs="仿宋_GB2312" w:eastAsia="仿宋_GB2312"/>
              </w:rPr>
              <w:t>6、配送管理要求。合同期内，配送企业必须守法经营、照章纳税，自觉接受相关部门的监管，交通安全、食品安全均由中标企业负责，招标期满后，若被淘汰或未中标，库存食品及所有投资的生产生活设施由中标企业自行处置。</w:t>
            </w:r>
          </w:p>
          <w:p>
            <w:pPr>
              <w:pStyle w:val="null3"/>
              <w:ind w:firstLine="400"/>
            </w:pP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304"/>
              <w:gridCol w:w="1054"/>
              <w:gridCol w:w="445"/>
              <w:gridCol w:w="750"/>
            </w:tblGrid>
            <w:tr>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内容</w:t>
                  </w:r>
                </w:p>
              </w:tc>
              <w:tc>
                <w:tcPr>
                  <w:tcW w:type="dxa" w:w="10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规格参数要求</w:t>
                  </w: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蔬菜</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蔬菜类必须保证无黄叶、无枯死叶、无杂质，原菜须保证菜面干净、无明显泥土、码放整齐、无破损、大小基本统一、不得过熟或欠熟；净菜须保证菜面完全干净、无泥土、按统一标准加工、码放整齐，农药残留不超标并且有农药残留检验记录。</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按需采购</w:t>
                  </w:r>
                </w:p>
              </w:tc>
              <w:tc>
                <w:tcPr>
                  <w:tcW w:type="dxa" w:w="75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每周参考大型商超或大型农贸市场的价格定基准价</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干货</w:t>
                  </w:r>
                </w:p>
                <w:p>
                  <w:pPr>
                    <w:pStyle w:val="null3"/>
                    <w:ind w:firstLine="400"/>
                  </w:pPr>
                  <w:r>
                    <w:rPr>
                      <w:rFonts w:ascii="仿宋_GB2312" w:hAnsi="仿宋_GB2312" w:cs="仿宋_GB2312" w:eastAsia="仿宋_GB2312"/>
                      <w:sz w:val="19"/>
                    </w:rPr>
                    <w:t>及调料</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必须在保质期内（送达时距离质保期在</w:t>
                  </w:r>
                  <w:r>
                    <w:rPr>
                      <w:rFonts w:ascii="仿宋_GB2312" w:hAnsi="仿宋_GB2312" w:cs="仿宋_GB2312" w:eastAsia="仿宋_GB2312"/>
                      <w:sz w:val="19"/>
                    </w:rPr>
                    <w:t>180天及以上），确保无杂质、无变质、霉烂；取得SC认证，经检验的合格产品。</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按需采购</w:t>
                  </w:r>
                </w:p>
              </w:tc>
              <w:tc>
                <w:tcPr>
                  <w:tcW w:type="dxa" w:w="750"/>
                  <w:vMerge/>
                  <w:tcBorders>
                    <w:top w:val="none" w:color="000000" w:sz="4"/>
                    <w:left w:val="none" w:color="000000" w:sz="4"/>
                    <w:bottom w:val="none" w:color="000000" w:sz="4"/>
                    <w:right w:val="single" w:color="000000" w:sz="4"/>
                  </w:tcBorders>
                </w:tcP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配送任务</w:t>
                  </w:r>
                </w:p>
              </w:tc>
              <w:tc>
                <w:tcPr>
                  <w:tcW w:type="dxa" w:w="10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rFonts w:ascii="仿宋_GB2312" w:hAnsi="仿宋_GB2312" w:cs="仿宋_GB2312" w:eastAsia="仿宋_GB2312"/>
                      <w:sz w:val="19"/>
                    </w:rPr>
                    <w:t>1台以上标准车辆、确保食品保鲜配送</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pP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注意事项：本项目报价为报价下浮，供应商的报价</w:t>
                  </w:r>
                  <w:r>
                    <w:rPr>
                      <w:rFonts w:ascii="仿宋_GB2312" w:hAnsi="仿宋_GB2312" w:cs="仿宋_GB2312" w:eastAsia="仿宋_GB2312"/>
                      <w:sz w:val="19"/>
                    </w:rPr>
                    <w:t>%最高的，即为最低价。</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进度款，合同签订后，以配送学校每月实际用量据实结算,每月结算一次，达到付款条件起10个工作日内，支付合同总金额的100.0%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按照国家相关标准和谈判文件要求验收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符合国家及行业要求。2、供应商提供的产品及材料必须保证质量可靠，为市场最新或主流产品，进货渠道正常，配置合理齐全，应全面满足采购文件的要求，采购文件未明确要求的内容，供应商须按招标产品主流标准配置或以采购人的补充要求为准，如发生质量问题由供应商承担全部责任。3、供应商应保证所有产品的完好无损（包括配套包装），如有缺漏、损坏，由供应商负责调换、补齐或赔偿。4、供应商必须严格按照采购人要求和国家颁布的有关技术规范、标准提供货物。</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根据谈判文件、响应文件以及合同约定执行。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一、询价范围与周期 （一）询价范围 全部采购品类，具体分为3类： 蔬菜类：日常采购的20-30种蔬菜（如上海青、番茄、黄瓜、土豆等），需明确“净菜/毛菜”规格、单斤重量误差范围（≤1%）、农残检测标准（符合GB2763），农残检测报告需跟当日采购品类一致，三方询价时均需以此标准为依据，确保询价对象满足要求。 干货类：10-15种常用干货（如干木耳、香菇、腐竹、粉丝等），需明确等级（如一级干木耳）、水分含量（≤12%）、保质期（≥6个月）、包装规格（如500g/袋），三方需按照统一规格开展询价。品牌为市场常见品牌或优质品牌（最终以校方与片区确定品牌为准）。 调料类：15-20种基础调料（如食盐、酱油、醋、鸡精等），需明确品牌（如指定正规厂家品牌）、执行标准（如GB/T18186酱油标准）、生产日期（距询价日期不超过3个月），三方询价需遵循此标准。品牌为市场常见品牌。品牌为市场常见品牌或优质品牌（最终以校方与片区确定品牌为准）。 （二）询价周期 1、常规询价：每月1次，蔬菜类固定在每月25日为三方独立询价时间，26日-28日为三方提交询价表时间，29日-30日为片区小组汇总计算基础价时间（共3个工作日）。干货、调料类因其价格相对固定，每学期第一个月询价一次。 2、应急询价：出现以下情况时，由学校小组或片区小组发起临时询价，3个工作日内明确临时询价时间安排，三方在规定时间内独立完成询价并提交询价表： ①食材单价较高的市场价格波动超60%(以上月确是的基础价为基准) ； ②3所以上学校反馈同一供货商食材价格偏高或质量下降； ③供货商提出调价申请（需附上游原材料价格上涨证明）。 3、执行标准 ①若供货期间市场波动上下浮动超过基准价的100%以内，按基准价执行，若波动上下浮动超过基准价的20%以外，重新询价定价。 ②若供应商每月提供的询价报价高于学校与片区询价平均值的50%以上，片区与学校有权约谈供应商，供应商提供合理的报价依据和说明，若无法提供，校方和片区有权提出整改。 ③供应商提供的报价连续3次（3个月）询价都高于片区与学校询价的平均50%以上，采购单位有权解除供应合同。 ④服务期内，学校将按照评价与退出机制进行每月考评。供应商确保食品安全卫生，饭菜质量优良，如供应商服务质量不达标、若出现食品安全、消防等安全事故，学校有权单方面终止合同或按照退出机制执行。 （三）独立询价（每月25日） 1、片区小组询价：片区小组人员通过走访当地农产品批发市场、咨询大型食材供应商、“西安市发改委菜篮子”等方式，了解各标段食材的市场均价、质量情况，填写《三方背靠背询价表》，记录询价对象、询价时间、市场行情等信息，确保询价结果真实可靠。 2、学校小组询价：学校小组各分组在组长带领下，结合本校食材需求，通过实地考察周边农贸市场、大型超市、批发市场、零售店等途径，独立开展询价工作，核实食材质量是否符合标准，了解不同供应商的报价情况，填写《三方背靠背询价表》，并由小组所有成员签字，并征得所标段牵头询价学校主管领导的同意并签字确认。 3、供货商小组询价：供货商小组根据自身食材成本、市场竞争情况等因素，独立核算各品类食材价格，填写《三方背靠背询价表》，并由业务负责人和质检专员签字盖章，确保报价真实、合理。 （四）询价表提交（每月26日-28日） 1、三方需在规定时间内，将填写完整、签字盖章的《三方背靠背询价表》（含电子版）提交至片区小组指定邮箱或办公地点。 2、片区小组收到询价表后，对其完整性、合规性进行初步审核，如发现询价表填写不规范、缺少签字盖章等问题，及时通知相关方补正。 （五）基础价确定与公示（每月29日-30日及次月1日-5日） 1、基础价计算：片区小组对三方提交的合格询价表进行汇总，针对每个标段的每种食材，分别计算三方询价价格的平均值，将该平均值确定为该食材的基础价。若某一方的询价价格与其他两方价格差异较大（如超出平均值的30%），需联系该方说明原因，若理由不充分，在计算平均值时可剔除该异常价格后重新计算。 2、结果公示：片区小组将各标段食材的基础价整理形成《东部教育片区蔬菜干货调料三方背靠背询价基础价表》，在学校食堂公告栏公示，公示期为5个工作日。公示期间，三方如有异议，可向片区小组提交书面异议申请及相关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在中华人民共和国境内注册，依法取得并有效存续的营业执照（含电子营业执照）\事业单位法人证书\民办非企业单位登记证书\非企业专业服务机构执业许可证等；2.社会保障资金缴纳证明：提供2025年7月（含7月）以后任意时间段内的社会保障资金缴存单据或社保机构开具的社会保险参保缴费情况证明，单据或证明上应有社保机构或代收机构的公章或业务专用章，依法不需要缴纳社会保障资金的单位应提供相关证明材料；3.税收缴纳证明：提供2025年7月（含7月）以后任意时间段内的纳税证明或完税证明（时间以税款所属时期为准），纳税证明或完税证明上应有代收机构或税务机关的公章或业务专用章；依法免税的投标人应提供相关文件证明；4.无重大违法记录声明：参加本次采购活动前3年内在经营活动中没有重大违法记录，以及未被列入失信被执行人、重大税收违法案件当事人名单的书面声明；5.具有履行合同所必需的设备和专业技术能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供应商为生产厂家的须提供《食品生产许可证》及《食品经营许可证》（其经营项目需包含预包装）；供应商为代理商的须提供《食品经营许可证》或食品经营备案证明（其经营项目需包含预包装）。</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供应商名称与名称和公章、营业执照一致</w:t>
            </w:r>
          </w:p>
        </w:tc>
        <w:tc>
          <w:tcPr>
            <w:tcW w:type="dxa" w:w="1661"/>
          </w:tcPr>
          <w:p>
            <w:pPr>
              <w:pStyle w:val="null3"/>
            </w:pPr>
            <w:r>
              <w:rPr>
                <w:rFonts w:ascii="仿宋_GB2312" w:hAnsi="仿宋_GB2312" w:cs="仿宋_GB2312" w:eastAsia="仿宋_GB2312"/>
              </w:rPr>
              <w:t>响应文件封面 投标人应提交的相关资格证明材料.docx 技术偏离表.docx 商务和技术响应.docx 固定场所.docx 中小企业声明函 残疾人福利性单位声明函 标的清单 报价表 响应函 商务偏离表.docx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响应报价是否超过采购预算或者最高限价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w:t>
            </w:r>
          </w:p>
        </w:tc>
        <w:tc>
          <w:tcPr>
            <w:tcW w:type="dxa" w:w="1661"/>
          </w:tcPr>
          <w:p>
            <w:pPr>
              <w:pStyle w:val="null3"/>
            </w:pPr>
            <w:r>
              <w:rPr>
                <w:rFonts w:ascii="仿宋_GB2312" w:hAnsi="仿宋_GB2312" w:cs="仿宋_GB2312" w:eastAsia="仿宋_GB2312"/>
              </w:rPr>
              <w:t>技术偏离表.docx 商务和技术响应.docx 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供货时间</w:t>
            </w:r>
          </w:p>
        </w:tc>
        <w:tc>
          <w:tcPr>
            <w:tcW w:type="dxa" w:w="3322"/>
          </w:tcPr>
          <w:p>
            <w:pPr>
              <w:pStyle w:val="null3"/>
            </w:pPr>
            <w:r>
              <w:rPr>
                <w:rFonts w:ascii="仿宋_GB2312" w:hAnsi="仿宋_GB2312" w:cs="仿宋_GB2312" w:eastAsia="仿宋_GB2312"/>
              </w:rPr>
              <w:t>供货时间满足谈判文件要求</w:t>
            </w:r>
          </w:p>
        </w:tc>
        <w:tc>
          <w:tcPr>
            <w:tcW w:type="dxa" w:w="1661"/>
          </w:tcPr>
          <w:p>
            <w:pPr>
              <w:pStyle w:val="null3"/>
            </w:pPr>
            <w:r>
              <w:rPr>
                <w:rFonts w:ascii="仿宋_GB2312" w:hAnsi="仿宋_GB2312" w:cs="仿宋_GB2312" w:eastAsia="仿宋_GB2312"/>
              </w:rPr>
              <w:t>技术偏离表.docx 商务和技术响应.docx 响应函 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固定场所</w:t>
            </w:r>
          </w:p>
        </w:tc>
        <w:tc>
          <w:tcPr>
            <w:tcW w:type="dxa" w:w="3322"/>
          </w:tcPr>
          <w:p>
            <w:pPr>
              <w:pStyle w:val="null3"/>
            </w:pPr>
            <w:r>
              <w:rPr>
                <w:rFonts w:ascii="仿宋_GB2312" w:hAnsi="仿宋_GB2312" w:cs="仿宋_GB2312" w:eastAsia="仿宋_GB2312"/>
              </w:rPr>
              <w:t>提供公司固定场所证明材料（自有产权或租赁证明）</w:t>
            </w:r>
          </w:p>
        </w:tc>
        <w:tc>
          <w:tcPr>
            <w:tcW w:type="dxa" w:w="1661"/>
          </w:tcPr>
          <w:p>
            <w:pPr>
              <w:pStyle w:val="null3"/>
            </w:pPr>
            <w:r>
              <w:rPr>
                <w:rFonts w:ascii="仿宋_GB2312" w:hAnsi="仿宋_GB2312" w:cs="仿宋_GB2312" w:eastAsia="仿宋_GB2312"/>
              </w:rPr>
              <w:t>固定场所.docx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响应文件封面 投标人应提交的相关资格证明材料.docx 技术偏离表.docx 商务和技术响应.docx 固定场所.docx 中小企业声明函 残疾人福利性单位声明函 标的清单 报价表 响应函 商务偏离表.docx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无不符合法律法规或响应文件规定的投标无效条款</w:t>
            </w:r>
          </w:p>
        </w:tc>
        <w:tc>
          <w:tcPr>
            <w:tcW w:type="dxa" w:w="1661"/>
          </w:tcPr>
          <w:p>
            <w:pPr>
              <w:pStyle w:val="null3"/>
            </w:pPr>
            <w:r>
              <w:rPr>
                <w:rFonts w:ascii="仿宋_GB2312" w:hAnsi="仿宋_GB2312" w:cs="仿宋_GB2312" w:eastAsia="仿宋_GB2312"/>
              </w:rPr>
              <w:t>响应文件封面 投标人应提交的相关资格证明材料.docx 技术偏离表.docx 商务和技术响应.docx 固定场所.docx 中小企业声明函 残疾人福利性单位声明函 标的清单 报价表 响应函 商务偏离表.docx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注：按优惠率/下浮率报价，投标（响应）报价应按（1-投标（响应）报价）来计算。</w:t>
              <w:br/>
              <w:t>（2）投标（响应）报价低于通过符合性审查且报价次低供应商投标（响应）报价50%的，即投标（响应）报价&lt;通过符合性审查且报价次低供应商投标（响应）报价×50%。</w:t>
              <w:br/>
              <w:t>注：按优惠率/下浮率报价，投标（响应）报价应按（1-投标（响应）报价）来计算。</w:t>
              <w:br/>
              <w:t>（3）投标（响应）报价低于最高限价45%的，即投标（响应）报价&lt;最高限价×45%。</w:t>
              <w:br/>
              <w:t>注：按优惠率/下浮率报价，投标（响应）报价应按（1-投标（响应）报价）来计算。</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详见附件：商务和技术响应.docx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详见附件：固定场所.docx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