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9FAD6">
      <w:pPr>
        <w:spacing w:line="480" w:lineRule="exact"/>
        <w:ind w:firstLine="643" w:firstLineChars="200"/>
        <w:jc w:val="center"/>
        <w:outlineLvl w:val="0"/>
        <w:rPr>
          <w:rFonts w:hint="eastAsia" w:ascii="宋体" w:hAnsi="宋体" w:eastAsia="宋体" w:cs="宋体"/>
          <w:b/>
          <w:color w:val="0C0C0C"/>
          <w:sz w:val="32"/>
          <w:szCs w:val="32"/>
        </w:rPr>
      </w:pPr>
      <w:r>
        <w:rPr>
          <w:rFonts w:hint="eastAsia" w:ascii="宋体" w:hAnsi="宋体" w:eastAsia="宋体" w:cs="宋体"/>
          <w:b/>
          <w:color w:val="0C0C0C"/>
          <w:sz w:val="32"/>
          <w:szCs w:val="32"/>
        </w:rPr>
        <w:t>合同条款及格式</w:t>
      </w:r>
    </w:p>
    <w:p w14:paraId="76EFC154">
      <w:pPr>
        <w:keepNext w:val="0"/>
        <w:keepLines w:val="0"/>
        <w:pageBreakBefore w:val="0"/>
        <w:widowControl w:val="0"/>
        <w:kinsoku/>
        <w:wordWrap/>
        <w:overflowPunct/>
        <w:topLinePunct w:val="0"/>
        <w:autoSpaceDE/>
        <w:autoSpaceDN/>
        <w:bidi w:val="0"/>
        <w:adjustRightInd/>
        <w:snapToGrid w:val="0"/>
        <w:spacing w:line="360" w:lineRule="auto"/>
        <w:ind w:firstLine="315" w:firstLineChars="150"/>
        <w:textAlignment w:val="auto"/>
        <w:rPr>
          <w:rFonts w:hint="eastAsia" w:ascii="宋体" w:hAnsi="宋体" w:eastAsia="宋体" w:cs="宋体"/>
        </w:rPr>
      </w:pPr>
    </w:p>
    <w:p w14:paraId="699883F1">
      <w:pPr>
        <w:keepNext w:val="0"/>
        <w:keepLines w:val="0"/>
        <w:pageBreakBefore w:val="0"/>
        <w:widowControl w:val="0"/>
        <w:kinsoku/>
        <w:wordWrap/>
        <w:overflowPunct/>
        <w:topLinePunct w:val="0"/>
        <w:autoSpaceDE/>
        <w:autoSpaceDN/>
        <w:bidi w:val="0"/>
        <w:adjustRightInd/>
        <w:snapToGrid w:val="0"/>
        <w:spacing w:line="360" w:lineRule="auto"/>
        <w:ind w:firstLine="315" w:firstLineChars="150"/>
        <w:textAlignment w:val="auto"/>
        <w:rPr>
          <w:rFonts w:hint="eastAsia" w:ascii="宋体" w:hAnsi="宋体" w:eastAsia="宋体" w:cs="宋体"/>
        </w:rPr>
      </w:pPr>
    </w:p>
    <w:p w14:paraId="40B38C54">
      <w:pPr>
        <w:keepNext w:val="0"/>
        <w:keepLines w:val="0"/>
        <w:pageBreakBefore w:val="0"/>
        <w:widowControl w:val="0"/>
        <w:kinsoku/>
        <w:wordWrap/>
        <w:overflowPunct/>
        <w:topLinePunct w:val="0"/>
        <w:autoSpaceDE/>
        <w:autoSpaceDN/>
        <w:bidi w:val="0"/>
        <w:adjustRightInd/>
        <w:snapToGrid w:val="0"/>
        <w:spacing w:line="360" w:lineRule="auto"/>
        <w:ind w:firstLine="315" w:firstLineChars="150"/>
        <w:textAlignment w:val="auto"/>
        <w:rPr>
          <w:rFonts w:hint="eastAsia" w:ascii="宋体" w:hAnsi="宋体" w:eastAsia="宋体" w:cs="宋体"/>
        </w:rPr>
      </w:pPr>
    </w:p>
    <w:p w14:paraId="5297384B">
      <w:pPr>
        <w:keepNext w:val="0"/>
        <w:keepLines w:val="0"/>
        <w:pageBreakBefore w:val="0"/>
        <w:widowControl w:val="0"/>
        <w:kinsoku/>
        <w:wordWrap/>
        <w:overflowPunct/>
        <w:topLinePunct w:val="0"/>
        <w:autoSpaceDE/>
        <w:autoSpaceDN/>
        <w:bidi w:val="0"/>
        <w:adjustRightInd/>
        <w:snapToGrid w:val="0"/>
        <w:spacing w:line="360" w:lineRule="auto"/>
        <w:ind w:firstLine="315" w:firstLineChars="150"/>
        <w:textAlignment w:val="auto"/>
        <w:rPr>
          <w:rFonts w:hint="eastAsia" w:ascii="宋体" w:hAnsi="宋体" w:eastAsia="宋体" w:cs="宋体"/>
        </w:rPr>
      </w:pPr>
    </w:p>
    <w:p w14:paraId="74682757">
      <w:pPr>
        <w:pStyle w:val="10"/>
        <w:numPr>
          <w:ilvl w:val="0"/>
          <w:numId w:val="1"/>
        </w:numPr>
        <w:spacing w:line="600" w:lineRule="exact"/>
        <w:jc w:val="center"/>
        <w:rPr>
          <w:rFonts w:hint="eastAsia" w:ascii="宋体" w:hAnsi="宋体" w:eastAsia="宋体" w:cs="宋体"/>
          <w:b/>
          <w:color w:val="0C0C0C"/>
          <w:sz w:val="24"/>
          <w:szCs w:val="52"/>
        </w:rPr>
      </w:pPr>
      <w:r>
        <w:rPr>
          <w:rFonts w:hint="eastAsia" w:ascii="宋体" w:hAnsi="宋体" w:eastAsia="宋体" w:cs="宋体"/>
          <w:b/>
          <w:color w:val="0C0C0C"/>
          <w:sz w:val="24"/>
          <w:szCs w:val="52"/>
        </w:rPr>
        <w:t>通用合同条款</w:t>
      </w:r>
    </w:p>
    <w:p w14:paraId="2664C2BD">
      <w:pPr>
        <w:pStyle w:val="11"/>
        <w:tabs>
          <w:tab w:val="left" w:pos="1307"/>
        </w:tabs>
        <w:spacing w:line="360" w:lineRule="auto"/>
        <w:ind w:left="0" w:right="384" w:firstLine="436" w:firstLineChars="200"/>
        <w:rPr>
          <w:rFonts w:hint="eastAsia" w:ascii="宋体" w:hAnsi="宋体" w:eastAsia="宋体" w:cs="宋体"/>
          <w:color w:val="0C0C0C"/>
          <w:spacing w:val="-1"/>
          <w:szCs w:val="24"/>
        </w:rPr>
      </w:pPr>
      <w:r>
        <w:rPr>
          <w:rFonts w:hint="eastAsia" w:ascii="宋体" w:hAnsi="宋体" w:eastAsia="宋体" w:cs="宋体"/>
          <w:color w:val="0C0C0C"/>
          <w:spacing w:val="-1"/>
          <w:szCs w:val="24"/>
        </w:rPr>
        <w:t xml:space="preserve"> </w:t>
      </w:r>
    </w:p>
    <w:p w14:paraId="4E6333C5">
      <w:pPr>
        <w:pStyle w:val="11"/>
        <w:tabs>
          <w:tab w:val="left" w:pos="1307"/>
        </w:tabs>
        <w:spacing w:line="360" w:lineRule="auto"/>
        <w:ind w:left="0" w:right="384" w:firstLine="438" w:firstLineChars="200"/>
        <w:rPr>
          <w:rFonts w:hint="eastAsia" w:ascii="宋体" w:hAnsi="宋体" w:eastAsia="宋体" w:cs="宋体"/>
          <w:b/>
          <w:color w:val="0C0C0C"/>
          <w:spacing w:val="-1"/>
          <w:szCs w:val="24"/>
        </w:rPr>
      </w:pPr>
      <w:r>
        <w:rPr>
          <w:rFonts w:hint="eastAsia" w:ascii="宋体" w:hAnsi="宋体" w:eastAsia="宋体" w:cs="宋体"/>
          <w:b/>
          <w:color w:val="0C0C0C"/>
          <w:spacing w:val="-1"/>
          <w:szCs w:val="24"/>
        </w:rPr>
        <w:t>“通用合同条款”采用《公路工程标准施工招标文件》（2018年版·第一册）的“通用合同条款”</w:t>
      </w:r>
    </w:p>
    <w:p w14:paraId="7D34A182">
      <w:pPr>
        <w:pStyle w:val="11"/>
        <w:tabs>
          <w:tab w:val="left" w:pos="1307"/>
        </w:tabs>
        <w:spacing w:line="360" w:lineRule="auto"/>
        <w:ind w:left="0" w:right="384" w:firstLine="476" w:firstLineChars="200"/>
        <w:rPr>
          <w:rFonts w:hint="eastAsia" w:ascii="宋体" w:hAnsi="宋体" w:eastAsia="宋体" w:cs="宋体"/>
          <w:color w:val="0C0C0C"/>
          <w:spacing w:val="-1"/>
          <w:sz w:val="24"/>
          <w:szCs w:val="24"/>
        </w:rPr>
      </w:pPr>
    </w:p>
    <w:p w14:paraId="3C314E75">
      <w:pPr>
        <w:pStyle w:val="11"/>
        <w:tabs>
          <w:tab w:val="left" w:pos="1307"/>
        </w:tabs>
        <w:spacing w:line="360" w:lineRule="auto"/>
        <w:ind w:left="0" w:right="384" w:firstLine="476" w:firstLineChars="200"/>
        <w:rPr>
          <w:rFonts w:hint="eastAsia" w:ascii="宋体" w:hAnsi="宋体" w:eastAsia="宋体" w:cs="宋体"/>
          <w:color w:val="0C0C0C"/>
          <w:spacing w:val="-1"/>
          <w:sz w:val="24"/>
          <w:szCs w:val="24"/>
        </w:rPr>
      </w:pPr>
    </w:p>
    <w:p w14:paraId="147A2ABF">
      <w:pPr>
        <w:pStyle w:val="11"/>
        <w:tabs>
          <w:tab w:val="left" w:pos="1307"/>
        </w:tabs>
        <w:spacing w:line="360" w:lineRule="auto"/>
        <w:ind w:left="0" w:right="384" w:firstLine="476" w:firstLineChars="200"/>
        <w:rPr>
          <w:rFonts w:hint="eastAsia" w:ascii="宋体" w:hAnsi="宋体" w:eastAsia="宋体" w:cs="宋体"/>
          <w:color w:val="0C0C0C"/>
          <w:spacing w:val="-1"/>
          <w:sz w:val="24"/>
          <w:szCs w:val="24"/>
        </w:rPr>
      </w:pPr>
    </w:p>
    <w:p w14:paraId="558178A8">
      <w:pPr>
        <w:pStyle w:val="11"/>
        <w:tabs>
          <w:tab w:val="left" w:pos="1307"/>
        </w:tabs>
        <w:spacing w:line="360" w:lineRule="auto"/>
        <w:ind w:left="0" w:right="384" w:firstLine="476" w:firstLineChars="200"/>
        <w:rPr>
          <w:rFonts w:hint="eastAsia" w:ascii="宋体" w:hAnsi="宋体" w:eastAsia="宋体" w:cs="宋体"/>
          <w:color w:val="0C0C0C"/>
          <w:spacing w:val="-1"/>
          <w:sz w:val="24"/>
          <w:szCs w:val="24"/>
        </w:rPr>
      </w:pPr>
    </w:p>
    <w:p w14:paraId="2F0EBAB9">
      <w:pPr>
        <w:pStyle w:val="11"/>
        <w:tabs>
          <w:tab w:val="left" w:pos="1307"/>
        </w:tabs>
        <w:spacing w:line="360" w:lineRule="auto"/>
        <w:ind w:left="0" w:right="384" w:firstLine="476" w:firstLineChars="200"/>
        <w:rPr>
          <w:rFonts w:hint="eastAsia" w:ascii="宋体" w:hAnsi="宋体" w:eastAsia="宋体" w:cs="宋体"/>
          <w:color w:val="0C0C0C"/>
          <w:spacing w:val="-1"/>
          <w:sz w:val="24"/>
          <w:szCs w:val="24"/>
        </w:rPr>
      </w:pPr>
    </w:p>
    <w:p w14:paraId="6DE4BA85">
      <w:pPr>
        <w:pStyle w:val="11"/>
        <w:tabs>
          <w:tab w:val="left" w:pos="1307"/>
        </w:tabs>
        <w:spacing w:line="360" w:lineRule="auto"/>
        <w:ind w:left="0" w:right="384" w:firstLine="476" w:firstLineChars="200"/>
        <w:rPr>
          <w:rFonts w:hint="eastAsia" w:ascii="宋体" w:hAnsi="宋体" w:eastAsia="宋体" w:cs="宋体"/>
          <w:color w:val="0C0C0C"/>
          <w:spacing w:val="-1"/>
          <w:sz w:val="24"/>
          <w:szCs w:val="24"/>
        </w:rPr>
      </w:pPr>
    </w:p>
    <w:p w14:paraId="7983B5F7">
      <w:pPr>
        <w:pStyle w:val="11"/>
        <w:tabs>
          <w:tab w:val="left" w:pos="1307"/>
        </w:tabs>
        <w:spacing w:line="360" w:lineRule="auto"/>
        <w:ind w:left="0" w:right="384" w:firstLine="476" w:firstLineChars="200"/>
        <w:rPr>
          <w:rFonts w:hint="eastAsia" w:ascii="宋体" w:hAnsi="宋体" w:eastAsia="宋体" w:cs="宋体"/>
          <w:color w:val="0C0C0C"/>
          <w:spacing w:val="-1"/>
          <w:sz w:val="24"/>
          <w:szCs w:val="24"/>
        </w:rPr>
      </w:pPr>
    </w:p>
    <w:p w14:paraId="6BBC5C97">
      <w:pPr>
        <w:pStyle w:val="11"/>
        <w:tabs>
          <w:tab w:val="left" w:pos="1307"/>
        </w:tabs>
        <w:spacing w:line="360" w:lineRule="auto"/>
        <w:ind w:left="0" w:right="384" w:firstLine="476" w:firstLineChars="200"/>
        <w:rPr>
          <w:rFonts w:hint="eastAsia" w:ascii="宋体" w:hAnsi="宋体" w:eastAsia="宋体" w:cs="宋体"/>
          <w:color w:val="0C0C0C"/>
          <w:spacing w:val="-1"/>
          <w:sz w:val="24"/>
          <w:szCs w:val="24"/>
        </w:rPr>
      </w:pPr>
    </w:p>
    <w:p w14:paraId="515ECB17">
      <w:pPr>
        <w:pStyle w:val="11"/>
        <w:tabs>
          <w:tab w:val="left" w:pos="1307"/>
        </w:tabs>
        <w:spacing w:line="360" w:lineRule="auto"/>
        <w:ind w:left="0" w:right="384" w:firstLine="476" w:firstLineChars="200"/>
        <w:rPr>
          <w:rFonts w:hint="eastAsia" w:ascii="宋体" w:hAnsi="宋体" w:eastAsia="宋体" w:cs="宋体"/>
          <w:color w:val="0C0C0C"/>
          <w:spacing w:val="-1"/>
          <w:sz w:val="24"/>
          <w:szCs w:val="24"/>
        </w:rPr>
      </w:pPr>
    </w:p>
    <w:p w14:paraId="5F9A3BAC">
      <w:pPr>
        <w:pStyle w:val="11"/>
        <w:tabs>
          <w:tab w:val="left" w:pos="1307"/>
        </w:tabs>
        <w:spacing w:line="360" w:lineRule="auto"/>
        <w:ind w:left="0" w:right="384" w:firstLine="476" w:firstLineChars="200"/>
        <w:rPr>
          <w:rFonts w:hint="eastAsia" w:ascii="宋体" w:hAnsi="宋体" w:eastAsia="宋体" w:cs="宋体"/>
          <w:color w:val="0C0C0C"/>
          <w:spacing w:val="-1"/>
          <w:sz w:val="24"/>
          <w:szCs w:val="24"/>
        </w:rPr>
      </w:pPr>
    </w:p>
    <w:p w14:paraId="14BB655D">
      <w:pPr>
        <w:pStyle w:val="11"/>
        <w:tabs>
          <w:tab w:val="left" w:pos="1307"/>
        </w:tabs>
        <w:spacing w:line="360" w:lineRule="auto"/>
        <w:ind w:left="0" w:right="384" w:firstLine="476" w:firstLineChars="200"/>
        <w:rPr>
          <w:rFonts w:hint="eastAsia" w:ascii="宋体" w:hAnsi="宋体" w:eastAsia="宋体" w:cs="宋体"/>
          <w:color w:val="0C0C0C"/>
          <w:spacing w:val="-1"/>
          <w:sz w:val="24"/>
          <w:szCs w:val="24"/>
        </w:rPr>
      </w:pPr>
    </w:p>
    <w:p w14:paraId="12AF0DBC">
      <w:pPr>
        <w:pStyle w:val="11"/>
        <w:tabs>
          <w:tab w:val="left" w:pos="1307"/>
        </w:tabs>
        <w:spacing w:line="360" w:lineRule="auto"/>
        <w:ind w:left="0" w:right="384" w:firstLine="476" w:firstLineChars="200"/>
        <w:rPr>
          <w:rFonts w:hint="eastAsia" w:ascii="宋体" w:hAnsi="宋体" w:eastAsia="宋体" w:cs="宋体"/>
          <w:color w:val="0C0C0C"/>
          <w:spacing w:val="-1"/>
          <w:sz w:val="24"/>
          <w:szCs w:val="24"/>
        </w:rPr>
      </w:pPr>
    </w:p>
    <w:p w14:paraId="5F64BC85">
      <w:pPr>
        <w:pStyle w:val="11"/>
        <w:tabs>
          <w:tab w:val="left" w:pos="1307"/>
        </w:tabs>
        <w:spacing w:line="360" w:lineRule="auto"/>
        <w:ind w:left="0" w:right="384" w:firstLine="476" w:firstLineChars="200"/>
        <w:rPr>
          <w:rFonts w:hint="eastAsia" w:ascii="宋体" w:hAnsi="宋体" w:eastAsia="宋体" w:cs="宋体"/>
          <w:color w:val="0C0C0C"/>
          <w:spacing w:val="-1"/>
          <w:sz w:val="24"/>
          <w:szCs w:val="24"/>
        </w:rPr>
      </w:pPr>
    </w:p>
    <w:p w14:paraId="1A73C704">
      <w:pPr>
        <w:pStyle w:val="11"/>
        <w:tabs>
          <w:tab w:val="left" w:pos="1307"/>
        </w:tabs>
        <w:spacing w:line="360" w:lineRule="auto"/>
        <w:ind w:left="0" w:right="384" w:firstLine="476" w:firstLineChars="200"/>
        <w:rPr>
          <w:rFonts w:hint="eastAsia" w:ascii="宋体" w:hAnsi="宋体" w:eastAsia="宋体" w:cs="宋体"/>
          <w:color w:val="0C0C0C"/>
          <w:spacing w:val="-1"/>
          <w:sz w:val="24"/>
          <w:szCs w:val="24"/>
        </w:rPr>
      </w:pPr>
    </w:p>
    <w:p w14:paraId="372D3971">
      <w:pPr>
        <w:pStyle w:val="11"/>
        <w:tabs>
          <w:tab w:val="left" w:pos="1307"/>
        </w:tabs>
        <w:spacing w:line="360" w:lineRule="auto"/>
        <w:ind w:left="0" w:right="384" w:firstLine="476" w:firstLineChars="200"/>
        <w:rPr>
          <w:rFonts w:hint="eastAsia" w:ascii="宋体" w:hAnsi="宋体" w:eastAsia="宋体" w:cs="宋体"/>
          <w:color w:val="0C0C0C"/>
          <w:spacing w:val="-1"/>
          <w:sz w:val="24"/>
          <w:szCs w:val="24"/>
        </w:rPr>
      </w:pPr>
    </w:p>
    <w:p w14:paraId="5C03B36C">
      <w:pPr>
        <w:pStyle w:val="11"/>
        <w:tabs>
          <w:tab w:val="left" w:pos="1307"/>
        </w:tabs>
        <w:spacing w:line="360" w:lineRule="auto"/>
        <w:ind w:left="0" w:right="384" w:firstLine="476" w:firstLineChars="200"/>
        <w:rPr>
          <w:rFonts w:hint="eastAsia" w:ascii="宋体" w:hAnsi="宋体" w:eastAsia="宋体" w:cs="宋体"/>
          <w:color w:val="0C0C0C"/>
          <w:spacing w:val="-1"/>
          <w:sz w:val="24"/>
          <w:szCs w:val="24"/>
        </w:rPr>
      </w:pPr>
    </w:p>
    <w:p w14:paraId="7A18FA4C">
      <w:pPr>
        <w:pStyle w:val="11"/>
        <w:tabs>
          <w:tab w:val="left" w:pos="1307"/>
        </w:tabs>
        <w:spacing w:line="360" w:lineRule="auto"/>
        <w:ind w:left="0" w:right="384" w:firstLine="476" w:firstLineChars="200"/>
        <w:rPr>
          <w:rFonts w:hint="eastAsia" w:ascii="宋体" w:hAnsi="宋体" w:eastAsia="宋体" w:cs="宋体"/>
          <w:color w:val="0C0C0C"/>
          <w:spacing w:val="-1"/>
          <w:sz w:val="24"/>
          <w:szCs w:val="24"/>
        </w:rPr>
      </w:pPr>
    </w:p>
    <w:p w14:paraId="34D277B3">
      <w:pPr>
        <w:pStyle w:val="11"/>
        <w:tabs>
          <w:tab w:val="left" w:pos="1307"/>
        </w:tabs>
        <w:spacing w:line="360" w:lineRule="auto"/>
        <w:ind w:left="0" w:right="384" w:firstLine="476" w:firstLineChars="200"/>
        <w:rPr>
          <w:rFonts w:hint="eastAsia" w:ascii="宋体" w:hAnsi="宋体" w:eastAsia="宋体" w:cs="宋体"/>
          <w:color w:val="0C0C0C"/>
          <w:spacing w:val="-1"/>
          <w:sz w:val="24"/>
          <w:szCs w:val="24"/>
        </w:rPr>
      </w:pPr>
    </w:p>
    <w:p w14:paraId="1961AC12">
      <w:pPr>
        <w:pStyle w:val="11"/>
        <w:tabs>
          <w:tab w:val="left" w:pos="1307"/>
        </w:tabs>
        <w:spacing w:line="360" w:lineRule="auto"/>
        <w:ind w:left="0" w:right="384" w:firstLine="476" w:firstLineChars="200"/>
        <w:rPr>
          <w:rFonts w:hint="eastAsia" w:ascii="宋体" w:hAnsi="宋体" w:eastAsia="宋体" w:cs="宋体"/>
          <w:color w:val="0C0C0C"/>
          <w:spacing w:val="-1"/>
          <w:sz w:val="24"/>
          <w:szCs w:val="24"/>
        </w:rPr>
      </w:pPr>
    </w:p>
    <w:p w14:paraId="48E2A333">
      <w:pPr>
        <w:pStyle w:val="11"/>
        <w:tabs>
          <w:tab w:val="left" w:pos="1307"/>
        </w:tabs>
        <w:spacing w:line="360" w:lineRule="auto"/>
        <w:ind w:left="0" w:right="384" w:firstLine="476" w:firstLineChars="200"/>
        <w:rPr>
          <w:rFonts w:hint="eastAsia" w:ascii="宋体" w:hAnsi="宋体" w:eastAsia="宋体" w:cs="宋体"/>
          <w:color w:val="0C0C0C"/>
          <w:spacing w:val="-1"/>
          <w:sz w:val="24"/>
          <w:szCs w:val="24"/>
        </w:rPr>
      </w:pPr>
    </w:p>
    <w:p w14:paraId="6C56DFE2">
      <w:pPr>
        <w:pStyle w:val="11"/>
        <w:tabs>
          <w:tab w:val="left" w:pos="1307"/>
        </w:tabs>
        <w:spacing w:line="360" w:lineRule="auto"/>
        <w:ind w:left="0" w:right="384" w:firstLine="476" w:firstLineChars="200"/>
        <w:rPr>
          <w:rFonts w:hint="eastAsia" w:ascii="宋体" w:hAnsi="宋体" w:eastAsia="宋体" w:cs="宋体"/>
          <w:color w:val="0C0C0C"/>
          <w:spacing w:val="-1"/>
          <w:sz w:val="24"/>
          <w:szCs w:val="24"/>
        </w:rPr>
      </w:pPr>
    </w:p>
    <w:p w14:paraId="228D8380">
      <w:pPr>
        <w:pStyle w:val="10"/>
        <w:numPr>
          <w:ilvl w:val="0"/>
          <w:numId w:val="1"/>
        </w:numPr>
        <w:spacing w:line="600" w:lineRule="exact"/>
        <w:jc w:val="center"/>
        <w:rPr>
          <w:rFonts w:hint="eastAsia" w:ascii="宋体" w:hAnsi="宋体" w:eastAsia="宋体" w:cs="宋体"/>
          <w:b/>
          <w:color w:val="0C0C0C"/>
          <w:sz w:val="24"/>
          <w:szCs w:val="52"/>
          <w:lang w:val="en-US" w:eastAsia="zh-CN"/>
        </w:rPr>
      </w:pPr>
      <w:r>
        <w:rPr>
          <w:rFonts w:hint="eastAsia" w:ascii="宋体" w:hAnsi="宋体" w:eastAsia="宋体" w:cs="宋体"/>
          <w:b/>
          <w:color w:val="0C0C0C"/>
          <w:sz w:val="24"/>
          <w:szCs w:val="52"/>
          <w:lang w:val="en-US" w:eastAsia="zh-CN"/>
        </w:rPr>
        <w:t>专用合同条款</w:t>
      </w:r>
    </w:p>
    <w:p w14:paraId="348377FF">
      <w:pPr>
        <w:pStyle w:val="3"/>
        <w:snapToGrid w:val="0"/>
        <w:ind w:firstLine="440"/>
        <w:contextualSpacing/>
        <w:jc w:val="center"/>
        <w:rPr>
          <w:rFonts w:hint="eastAsia" w:ascii="宋体" w:hAnsi="宋体" w:eastAsia="宋体" w:cs="宋体"/>
          <w:color w:val="0C0C0C"/>
          <w:sz w:val="22"/>
          <w:szCs w:val="24"/>
        </w:rPr>
      </w:pPr>
      <w:r>
        <w:rPr>
          <w:rFonts w:hint="eastAsia" w:ascii="宋体" w:hAnsi="宋体" w:eastAsia="宋体" w:cs="宋体"/>
          <w:color w:val="0C0C0C"/>
          <w:sz w:val="22"/>
          <w:szCs w:val="24"/>
          <w:lang w:val="en-US" w:eastAsia="zh-CN"/>
        </w:rPr>
        <w:t>A.</w:t>
      </w:r>
      <w:r>
        <w:rPr>
          <w:rFonts w:hint="eastAsia" w:ascii="宋体" w:hAnsi="宋体" w:eastAsia="宋体" w:cs="宋体"/>
          <w:color w:val="0C0C0C"/>
          <w:sz w:val="22"/>
          <w:szCs w:val="24"/>
        </w:rPr>
        <w:t>公路工程专用合同条款</w:t>
      </w:r>
    </w:p>
    <w:p w14:paraId="7F64F568">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0" w:name="_Toc120442981"/>
      <w:bookmarkStart w:id="1" w:name="_Toc139462726"/>
      <w:bookmarkStart w:id="2" w:name="_Toc139464290"/>
      <w:bookmarkStart w:id="3" w:name="_Toc139463525"/>
      <w:r>
        <w:rPr>
          <w:rFonts w:hint="eastAsia" w:ascii="宋体" w:hAnsi="宋体" w:eastAsia="宋体" w:cs="宋体"/>
          <w:color w:val="0C0C0C"/>
          <w:sz w:val="22"/>
          <w:szCs w:val="24"/>
        </w:rPr>
        <w:t>1. 一般约定</w:t>
      </w:r>
      <w:bookmarkEnd w:id="0"/>
      <w:bookmarkEnd w:id="1"/>
      <w:bookmarkEnd w:id="2"/>
      <w:bookmarkEnd w:id="3"/>
    </w:p>
    <w:p w14:paraId="4B67ABC0">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4" w:name="_bookmark160"/>
      <w:bookmarkEnd w:id="4"/>
      <w:bookmarkStart w:id="5" w:name="_Toc139462727"/>
      <w:bookmarkStart w:id="6" w:name="_Toc139463526"/>
      <w:bookmarkStart w:id="7" w:name="_Toc139464291"/>
      <w:bookmarkStart w:id="8" w:name="_Toc120442982"/>
      <w:r>
        <w:rPr>
          <w:rFonts w:hint="eastAsia" w:ascii="宋体" w:hAnsi="宋体" w:eastAsia="宋体" w:cs="宋体"/>
          <w:color w:val="0C0C0C"/>
          <w:sz w:val="22"/>
          <w:szCs w:val="24"/>
        </w:rPr>
        <w:t>1.1 词语定义</w:t>
      </w:r>
      <w:bookmarkEnd w:id="5"/>
      <w:bookmarkEnd w:id="6"/>
      <w:bookmarkEnd w:id="7"/>
      <w:bookmarkEnd w:id="8"/>
    </w:p>
    <w:p w14:paraId="3746840A">
      <w:pPr>
        <w:pStyle w:val="2"/>
        <w:autoSpaceDE w:val="0"/>
        <w:autoSpaceDN w:val="0"/>
        <w:ind w:firstLine="442" w:firstLineChars="200"/>
        <w:jc w:val="left"/>
        <w:rPr>
          <w:rFonts w:hint="eastAsia" w:ascii="宋体" w:hAnsi="宋体" w:eastAsia="宋体" w:cs="宋体"/>
          <w:b/>
          <w:bCs/>
          <w:color w:val="0C0C0C"/>
          <w:sz w:val="22"/>
        </w:rPr>
      </w:pPr>
      <w:r>
        <w:rPr>
          <w:rFonts w:hint="eastAsia" w:ascii="宋体" w:hAnsi="宋体" w:eastAsia="宋体" w:cs="宋体"/>
          <w:b/>
          <w:bCs/>
          <w:color w:val="0C0C0C"/>
          <w:sz w:val="22"/>
        </w:rPr>
        <w:t>1.1.1 合同</w:t>
      </w:r>
    </w:p>
    <w:p w14:paraId="392A0B82">
      <w:pPr>
        <w:pStyle w:val="2"/>
        <w:autoSpaceDE w:val="0"/>
        <w:autoSpaceDN w:val="0"/>
        <w:ind w:firstLine="440" w:firstLineChars="200"/>
        <w:jc w:val="left"/>
        <w:rPr>
          <w:rFonts w:hint="eastAsia" w:ascii="宋体" w:hAnsi="宋体" w:eastAsia="宋体" w:cs="宋体"/>
          <w:color w:val="0C0C0C"/>
          <w:sz w:val="22"/>
        </w:rPr>
      </w:pPr>
      <w:bookmarkStart w:id="9" w:name="_Toc6207"/>
      <w:r>
        <w:rPr>
          <w:rFonts w:hint="eastAsia" w:ascii="宋体" w:hAnsi="宋体" w:eastAsia="宋体" w:cs="宋体"/>
          <w:color w:val="0C0C0C"/>
          <w:sz w:val="22"/>
        </w:rPr>
        <w:t>第1.1.1.6目细化为：</w:t>
      </w:r>
      <w:bookmarkEnd w:id="9"/>
    </w:p>
    <w:p w14:paraId="43D51D6A">
      <w:pPr>
        <w:pStyle w:val="2"/>
        <w:autoSpaceDE w:val="0"/>
        <w:autoSpaceDN w:val="0"/>
        <w:ind w:firstLine="440" w:firstLineChars="200"/>
        <w:jc w:val="left"/>
        <w:rPr>
          <w:rFonts w:hint="eastAsia" w:ascii="宋体" w:hAnsi="宋体" w:eastAsia="宋体" w:cs="宋体"/>
          <w:color w:val="0C0C0C"/>
          <w:sz w:val="22"/>
        </w:rPr>
      </w:pPr>
      <w:r>
        <w:rPr>
          <w:rFonts w:hint="eastAsia" w:ascii="宋体" w:hAnsi="宋体" w:eastAsia="宋体" w:cs="宋体"/>
          <w:color w:val="0C0C0C"/>
          <w:sz w:val="22"/>
        </w:rPr>
        <w:t>技术规范：指本合同所约定的技术标准和要求，是合同文件的组成部分。通用合同条款中“技术标准和要求”一词具有相同含义。</w:t>
      </w:r>
    </w:p>
    <w:p w14:paraId="722849DD">
      <w:pPr>
        <w:pStyle w:val="2"/>
        <w:autoSpaceDE w:val="0"/>
        <w:autoSpaceDN w:val="0"/>
        <w:ind w:firstLine="440" w:firstLineChars="200"/>
        <w:jc w:val="left"/>
        <w:rPr>
          <w:rFonts w:hint="eastAsia" w:ascii="宋体" w:hAnsi="宋体" w:eastAsia="宋体" w:cs="宋体"/>
          <w:color w:val="0C0C0C"/>
          <w:sz w:val="22"/>
        </w:rPr>
      </w:pPr>
      <w:bookmarkStart w:id="10" w:name="_Toc1129"/>
      <w:r>
        <w:rPr>
          <w:rFonts w:hint="eastAsia" w:ascii="宋体" w:hAnsi="宋体" w:eastAsia="宋体" w:cs="宋体"/>
          <w:color w:val="0C0C0C"/>
          <w:sz w:val="22"/>
        </w:rPr>
        <w:t>第1.1.1.8目细化为：</w:t>
      </w:r>
      <w:bookmarkEnd w:id="10"/>
    </w:p>
    <w:p w14:paraId="31B975A9">
      <w:pPr>
        <w:pStyle w:val="2"/>
        <w:autoSpaceDE w:val="0"/>
        <w:autoSpaceDN w:val="0"/>
        <w:ind w:firstLine="440" w:firstLineChars="200"/>
        <w:jc w:val="left"/>
        <w:rPr>
          <w:rFonts w:hint="eastAsia" w:ascii="宋体" w:hAnsi="宋体" w:eastAsia="宋体" w:cs="宋体"/>
          <w:color w:val="0C0C0C"/>
          <w:sz w:val="22"/>
        </w:rPr>
      </w:pPr>
      <w:r>
        <w:rPr>
          <w:rFonts w:hint="eastAsia" w:ascii="宋体" w:hAnsi="宋体" w:eastAsia="宋体" w:cs="宋体"/>
          <w:color w:val="0C0C0C"/>
          <w:sz w:val="22"/>
        </w:rPr>
        <w:t>已标价工程量清单：指构成合同文件组成部分的已标明价格、经算术性错误修正及其他错误修正（如有）且承包人已确认的最终的工程量清单，包括工程量清单说明、投标报价说明、计日工说明、其他说明及工程量清单各项表格（工程量清单表5.1～表5.5）。</w:t>
      </w:r>
    </w:p>
    <w:p w14:paraId="75E97157">
      <w:pPr>
        <w:pStyle w:val="2"/>
        <w:autoSpaceDE w:val="0"/>
        <w:autoSpaceDN w:val="0"/>
        <w:ind w:firstLine="440" w:firstLineChars="200"/>
        <w:jc w:val="left"/>
        <w:rPr>
          <w:rFonts w:hint="eastAsia" w:ascii="宋体" w:hAnsi="宋体" w:eastAsia="宋体" w:cs="宋体"/>
          <w:color w:val="0C0C0C"/>
          <w:sz w:val="22"/>
        </w:rPr>
      </w:pPr>
      <w:r>
        <w:rPr>
          <w:rFonts w:hint="eastAsia" w:ascii="宋体" w:hAnsi="宋体" w:eastAsia="宋体" w:cs="宋体"/>
          <w:color w:val="0C0C0C"/>
          <w:sz w:val="22"/>
        </w:rPr>
        <w:t>本项补充第 1.1.1.10 目：</w:t>
      </w:r>
    </w:p>
    <w:p w14:paraId="6C99C23D">
      <w:pPr>
        <w:pStyle w:val="2"/>
        <w:autoSpaceDE w:val="0"/>
        <w:autoSpaceDN w:val="0"/>
        <w:ind w:firstLine="440" w:firstLineChars="200"/>
        <w:jc w:val="left"/>
        <w:rPr>
          <w:rFonts w:hint="eastAsia" w:ascii="宋体" w:hAnsi="宋体" w:eastAsia="宋体" w:cs="宋体"/>
          <w:color w:val="0C0C0C"/>
          <w:sz w:val="22"/>
        </w:rPr>
      </w:pPr>
      <w:r>
        <w:rPr>
          <w:rFonts w:hint="eastAsia" w:ascii="宋体" w:hAnsi="宋体" w:eastAsia="宋体" w:cs="宋体"/>
          <w:color w:val="0C0C0C"/>
          <w:sz w:val="22"/>
        </w:rPr>
        <w:t>1.1.1.10 补遗书：指发出招标文件之后由招标人向已取得招标文件的投标人发出的、编号的对招标文件所作的澄清、修改书。</w:t>
      </w:r>
    </w:p>
    <w:p w14:paraId="0B8E9F35">
      <w:pPr>
        <w:pStyle w:val="11"/>
        <w:widowControl w:val="0"/>
        <w:tabs>
          <w:tab w:val="left" w:pos="1505"/>
        </w:tabs>
        <w:autoSpaceDE w:val="0"/>
        <w:autoSpaceDN w:val="0"/>
        <w:spacing w:after="0"/>
        <w:ind w:left="0" w:firstLine="442" w:firstLineChars="200"/>
        <w:rPr>
          <w:rFonts w:hint="eastAsia" w:ascii="宋体" w:hAnsi="宋体" w:eastAsia="宋体" w:cs="宋体"/>
          <w:b/>
          <w:bCs/>
          <w:color w:val="0C0C0C"/>
          <w:szCs w:val="24"/>
        </w:rPr>
      </w:pPr>
      <w:bookmarkStart w:id="11" w:name="_Toc22221"/>
      <w:r>
        <w:rPr>
          <w:rFonts w:hint="eastAsia" w:ascii="宋体" w:hAnsi="宋体" w:eastAsia="宋体" w:cs="宋体"/>
          <w:b/>
          <w:bCs/>
          <w:color w:val="0C0C0C"/>
          <w:szCs w:val="24"/>
        </w:rPr>
        <w:t>1.1.2 合同当事人和人员</w:t>
      </w:r>
      <w:bookmarkEnd w:id="11"/>
    </w:p>
    <w:p w14:paraId="22532465">
      <w:pPr>
        <w:pStyle w:val="2"/>
        <w:autoSpaceDE w:val="0"/>
        <w:autoSpaceDN w:val="0"/>
        <w:ind w:firstLine="440" w:firstLineChars="200"/>
        <w:jc w:val="left"/>
        <w:rPr>
          <w:rFonts w:hint="eastAsia" w:ascii="宋体" w:hAnsi="宋体" w:eastAsia="宋体" w:cs="宋体"/>
          <w:color w:val="0C0C0C"/>
          <w:sz w:val="22"/>
        </w:rPr>
      </w:pPr>
      <w:r>
        <w:rPr>
          <w:rFonts w:hint="eastAsia" w:ascii="宋体" w:hAnsi="宋体" w:eastAsia="宋体" w:cs="宋体"/>
          <w:color w:val="0C0C0C"/>
          <w:sz w:val="22"/>
        </w:rPr>
        <w:t>本项补充第 1.1.2.8 目：</w:t>
      </w:r>
    </w:p>
    <w:p w14:paraId="5219AB8F">
      <w:pPr>
        <w:pStyle w:val="2"/>
        <w:autoSpaceDE w:val="0"/>
        <w:autoSpaceDN w:val="0"/>
        <w:ind w:firstLine="440" w:firstLineChars="200"/>
        <w:jc w:val="left"/>
        <w:rPr>
          <w:rFonts w:hint="eastAsia" w:ascii="宋体" w:hAnsi="宋体" w:eastAsia="宋体" w:cs="宋体"/>
          <w:color w:val="0C0C0C"/>
          <w:sz w:val="22"/>
        </w:rPr>
      </w:pPr>
      <w:r>
        <w:rPr>
          <w:rFonts w:hint="eastAsia" w:ascii="宋体" w:hAnsi="宋体" w:eastAsia="宋体" w:cs="宋体"/>
          <w:color w:val="0C0C0C"/>
          <w:sz w:val="22"/>
        </w:rPr>
        <w:t>1.1.2.8 承包人项目总工：指由承包人书面委派常驻现场负责管理本合同工程的总工程师或技术总负责人。</w:t>
      </w:r>
    </w:p>
    <w:p w14:paraId="09CD68A5">
      <w:pPr>
        <w:pStyle w:val="11"/>
        <w:widowControl w:val="0"/>
        <w:tabs>
          <w:tab w:val="left" w:pos="1505"/>
        </w:tabs>
        <w:autoSpaceDE w:val="0"/>
        <w:autoSpaceDN w:val="0"/>
        <w:spacing w:after="0"/>
        <w:ind w:left="0" w:firstLine="442" w:firstLineChars="200"/>
        <w:rPr>
          <w:rFonts w:hint="eastAsia" w:ascii="宋体" w:hAnsi="宋体" w:eastAsia="宋体" w:cs="宋体"/>
          <w:b/>
          <w:bCs/>
          <w:color w:val="0C0C0C"/>
          <w:szCs w:val="24"/>
        </w:rPr>
      </w:pPr>
      <w:bookmarkStart w:id="12" w:name="_Toc4966"/>
      <w:r>
        <w:rPr>
          <w:rFonts w:hint="eastAsia" w:ascii="宋体" w:hAnsi="宋体" w:eastAsia="宋体" w:cs="宋体"/>
          <w:b/>
          <w:bCs/>
          <w:color w:val="0C0C0C"/>
          <w:szCs w:val="24"/>
        </w:rPr>
        <w:t>1.1.3 工程和设备</w:t>
      </w:r>
      <w:bookmarkEnd w:id="12"/>
    </w:p>
    <w:p w14:paraId="1A50F4C6">
      <w:pPr>
        <w:pStyle w:val="2"/>
        <w:autoSpaceDE w:val="0"/>
        <w:autoSpaceDN w:val="0"/>
        <w:ind w:firstLine="440" w:firstLineChars="200"/>
        <w:jc w:val="left"/>
        <w:rPr>
          <w:rFonts w:hint="eastAsia" w:ascii="宋体" w:hAnsi="宋体" w:eastAsia="宋体" w:cs="宋体"/>
          <w:color w:val="0C0C0C"/>
          <w:sz w:val="22"/>
        </w:rPr>
      </w:pPr>
      <w:bookmarkStart w:id="13" w:name="_Toc6395"/>
      <w:r>
        <w:rPr>
          <w:rFonts w:hint="eastAsia" w:ascii="宋体" w:hAnsi="宋体" w:eastAsia="宋体" w:cs="宋体"/>
          <w:color w:val="0C0C0C"/>
          <w:sz w:val="22"/>
        </w:rPr>
        <w:t>第1.1.3.4目细化为：</w:t>
      </w:r>
      <w:bookmarkEnd w:id="13"/>
    </w:p>
    <w:p w14:paraId="013AEA71">
      <w:pPr>
        <w:pStyle w:val="2"/>
        <w:autoSpaceDE w:val="0"/>
        <w:autoSpaceDN w:val="0"/>
        <w:ind w:firstLine="440" w:firstLineChars="200"/>
        <w:jc w:val="left"/>
        <w:rPr>
          <w:rFonts w:hint="eastAsia" w:ascii="宋体" w:hAnsi="宋体" w:eastAsia="宋体" w:cs="宋体"/>
          <w:color w:val="0C0C0C"/>
          <w:sz w:val="22"/>
        </w:rPr>
      </w:pPr>
      <w:r>
        <w:rPr>
          <w:rFonts w:hint="eastAsia" w:ascii="宋体" w:hAnsi="宋体" w:eastAsia="宋体" w:cs="宋体"/>
          <w:color w:val="0C0C0C"/>
          <w:sz w:val="22"/>
        </w:rPr>
        <w:t>单位工程：指在建设项目中，根据签订的合同，具有独立施工条件的工程。</w:t>
      </w:r>
    </w:p>
    <w:p w14:paraId="2EE6744D">
      <w:pPr>
        <w:pStyle w:val="2"/>
        <w:autoSpaceDE w:val="0"/>
        <w:autoSpaceDN w:val="0"/>
        <w:ind w:firstLine="440" w:firstLineChars="200"/>
        <w:jc w:val="left"/>
        <w:rPr>
          <w:rFonts w:hint="eastAsia" w:ascii="宋体" w:hAnsi="宋体" w:eastAsia="宋体" w:cs="宋体"/>
          <w:color w:val="0C0C0C"/>
          <w:sz w:val="22"/>
        </w:rPr>
      </w:pPr>
      <w:r>
        <w:rPr>
          <w:rFonts w:hint="eastAsia" w:ascii="宋体" w:hAnsi="宋体" w:eastAsia="宋体" w:cs="宋体"/>
          <w:color w:val="0C0C0C"/>
          <w:sz w:val="22"/>
        </w:rPr>
        <w:t>第1.1.3.10目细化为：</w:t>
      </w:r>
    </w:p>
    <w:p w14:paraId="292E363C">
      <w:pPr>
        <w:pStyle w:val="2"/>
        <w:autoSpaceDE w:val="0"/>
        <w:autoSpaceDN w:val="0"/>
        <w:ind w:firstLine="440" w:firstLineChars="200"/>
        <w:jc w:val="left"/>
        <w:rPr>
          <w:rFonts w:hint="eastAsia" w:ascii="宋体" w:hAnsi="宋体" w:eastAsia="宋体" w:cs="宋体"/>
          <w:color w:val="0C0C0C"/>
          <w:sz w:val="22"/>
        </w:rPr>
      </w:pPr>
      <w:r>
        <w:rPr>
          <w:rFonts w:hint="eastAsia" w:ascii="宋体" w:hAnsi="宋体" w:eastAsia="宋体" w:cs="宋体"/>
          <w:color w:val="0C0C0C"/>
          <w:sz w:val="22"/>
        </w:rPr>
        <w:t>永久占地：指为实施本合同工程而需要的一切永久占用的土地，包括公路两侧路权范围内的用地。</w:t>
      </w:r>
    </w:p>
    <w:p w14:paraId="71154C81">
      <w:pPr>
        <w:pStyle w:val="2"/>
        <w:autoSpaceDE w:val="0"/>
        <w:autoSpaceDN w:val="0"/>
        <w:ind w:firstLine="440" w:firstLineChars="200"/>
        <w:jc w:val="left"/>
        <w:rPr>
          <w:rFonts w:hint="eastAsia" w:ascii="宋体" w:hAnsi="宋体" w:eastAsia="宋体" w:cs="宋体"/>
          <w:color w:val="0C0C0C"/>
          <w:sz w:val="22"/>
        </w:rPr>
      </w:pPr>
      <w:bookmarkStart w:id="14" w:name="_Toc4625"/>
      <w:r>
        <w:rPr>
          <w:rFonts w:hint="eastAsia" w:ascii="宋体" w:hAnsi="宋体" w:eastAsia="宋体" w:cs="宋体"/>
          <w:color w:val="0C0C0C"/>
          <w:sz w:val="22"/>
        </w:rPr>
        <w:t>第1.1.3.11目细化为：</w:t>
      </w:r>
      <w:bookmarkEnd w:id="14"/>
    </w:p>
    <w:p w14:paraId="056577B8">
      <w:pPr>
        <w:pStyle w:val="2"/>
        <w:autoSpaceDE w:val="0"/>
        <w:autoSpaceDN w:val="0"/>
        <w:ind w:firstLine="440" w:firstLineChars="200"/>
        <w:jc w:val="left"/>
        <w:rPr>
          <w:rFonts w:hint="eastAsia" w:ascii="宋体" w:hAnsi="宋体" w:eastAsia="宋体" w:cs="宋体"/>
          <w:color w:val="0C0C0C"/>
          <w:sz w:val="22"/>
        </w:rPr>
      </w:pPr>
      <w:r>
        <w:rPr>
          <w:rFonts w:hint="eastAsia" w:ascii="宋体" w:hAnsi="宋体" w:eastAsia="宋体" w:cs="宋体"/>
          <w:color w:val="0C0C0C"/>
          <w:sz w:val="22"/>
        </w:rPr>
        <w:t>临时占地：指为实施本合同工程而需要的一切临时占用的土地，包括施工所用的临时支线、便道、便桥和现场的临时出入通道，以及生产（办公）、生活等临时设施用地等。</w:t>
      </w:r>
    </w:p>
    <w:p w14:paraId="312F2307">
      <w:pPr>
        <w:pStyle w:val="2"/>
        <w:autoSpaceDE w:val="0"/>
        <w:autoSpaceDN w:val="0"/>
        <w:ind w:firstLine="440" w:firstLineChars="200"/>
        <w:jc w:val="left"/>
        <w:rPr>
          <w:rFonts w:hint="eastAsia" w:ascii="宋体" w:hAnsi="宋体" w:eastAsia="宋体" w:cs="宋体"/>
          <w:color w:val="0C0C0C"/>
          <w:sz w:val="22"/>
        </w:rPr>
      </w:pPr>
      <w:r>
        <w:rPr>
          <w:rFonts w:hint="eastAsia" w:ascii="宋体" w:hAnsi="宋体" w:eastAsia="宋体" w:cs="宋体"/>
          <w:color w:val="0C0C0C"/>
          <w:sz w:val="22"/>
        </w:rPr>
        <w:t>本项补充第 1.1.3.12 目、第 1.1.3.13 目：</w:t>
      </w:r>
    </w:p>
    <w:p w14:paraId="6B1F79E2">
      <w:pPr>
        <w:pStyle w:val="11"/>
        <w:widowControl w:val="0"/>
        <w:tabs>
          <w:tab w:val="left" w:pos="2047"/>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1.1.3.12 分部工程：指在单位工程中，按结构部位、路段长度及施工特点或施工任务划分的若干个工程。</w:t>
      </w:r>
    </w:p>
    <w:p w14:paraId="660D1F47">
      <w:pPr>
        <w:pStyle w:val="11"/>
        <w:widowControl w:val="0"/>
        <w:tabs>
          <w:tab w:val="left" w:pos="2047"/>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1.1.3.13 分项工程：指在分部工程中，按不同的施工方法、材料、工序及路段长度等划分的若干个工程。</w:t>
      </w:r>
    </w:p>
    <w:p w14:paraId="795B2070">
      <w:pPr>
        <w:pStyle w:val="11"/>
        <w:widowControl w:val="0"/>
        <w:tabs>
          <w:tab w:val="left" w:pos="1495"/>
        </w:tabs>
        <w:autoSpaceDE w:val="0"/>
        <w:autoSpaceDN w:val="0"/>
        <w:spacing w:after="0"/>
        <w:ind w:left="0" w:leftChars="0" w:firstLine="442" w:firstLineChars="200"/>
        <w:rPr>
          <w:rFonts w:hint="eastAsia" w:ascii="宋体" w:hAnsi="宋体" w:eastAsia="宋体" w:cs="宋体"/>
          <w:b/>
          <w:bCs/>
          <w:color w:val="0C0C0C"/>
          <w:szCs w:val="24"/>
        </w:rPr>
      </w:pPr>
      <w:r>
        <w:rPr>
          <w:rFonts w:hint="eastAsia" w:ascii="宋体" w:hAnsi="宋体" w:eastAsia="宋体" w:cs="宋体"/>
          <w:b/>
          <w:bCs/>
          <w:color w:val="0C0C0C"/>
          <w:szCs w:val="24"/>
        </w:rPr>
        <w:t>1.1.6 其他</w:t>
      </w:r>
    </w:p>
    <w:p w14:paraId="6BDC9565">
      <w:pPr>
        <w:pStyle w:val="2"/>
        <w:autoSpaceDE w:val="0"/>
        <w:autoSpaceDN w:val="0"/>
        <w:ind w:firstLine="440" w:firstLineChars="200"/>
        <w:jc w:val="left"/>
        <w:rPr>
          <w:rFonts w:hint="eastAsia" w:ascii="宋体" w:hAnsi="宋体" w:eastAsia="宋体" w:cs="宋体"/>
          <w:color w:val="0C0C0C"/>
          <w:sz w:val="22"/>
        </w:rPr>
      </w:pPr>
      <w:r>
        <w:rPr>
          <w:rFonts w:hint="eastAsia" w:ascii="宋体" w:hAnsi="宋体" w:eastAsia="宋体" w:cs="宋体"/>
          <w:color w:val="0C0C0C"/>
          <w:sz w:val="22"/>
        </w:rPr>
        <w:t>本项补充第 1.1.6.2 目～第 1.1.6.9 目：</w:t>
      </w:r>
    </w:p>
    <w:p w14:paraId="5EC87B84">
      <w:pPr>
        <w:pStyle w:val="11"/>
        <w:widowControl w:val="0"/>
        <w:tabs>
          <w:tab w:val="left" w:pos="1925"/>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1.1.6.2 竣工验收：指《公路工程竣（交）工验收办法》中的竣工验收。通用合同条款中“国家验收”一词具有相同含义。</w:t>
      </w:r>
    </w:p>
    <w:p w14:paraId="41FA3FDD">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1.1.6.3 交工：指《公路工程竣（交）工验收办法》中的交工。通用合同条款中“竣工”一词具有相同含义。</w:t>
      </w:r>
    </w:p>
    <w:p w14:paraId="10AB1D2F">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1.1.6.4 交工验收：指《公路工程竣（交）工验收办法》中的交工验收。通用合同条款中“竣工验收”一词具有相同含义。</w:t>
      </w:r>
    </w:p>
    <w:p w14:paraId="22FEC3C9">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1.1.6.5 交工验收证书：指《公路工程竣（交）工验收办法》中的交工验收证书。通用合同条款中“工程接收证书”一词具有相同含义。</w:t>
      </w:r>
    </w:p>
    <w:p w14:paraId="172DB837">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1.1.6.6 转包：指承包人违反法律和不履行合同规定的责任和义务，将中标工程全部委托或以专业分包的名义将中标工程肢解后全部委托给其他施工企业施工的行为。</w:t>
      </w:r>
    </w:p>
    <w:p w14:paraId="709A3DF3">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1.1.6.7 专业分包：指承包人与具有相应资格的施工企业签订专业分包合同， 由分包人承担承包人委托的分部工程、分项工程或适合专业化队伍施工的其他工程，整体结算，并能独立控制工程质量、施工进度、材料采购、生产安全的施工行为。</w:t>
      </w:r>
    </w:p>
    <w:p w14:paraId="731F4FC9">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1.1.6.8 劳务分包：指承包人与具有施工劳务资质的劳务企业签订劳务分包合同，由劳务企业提供劳务人员及机具，由承包人统一组织施工、统一控制工程质量、施工进度、材料采购、生产安全的施工行为。</w:t>
      </w:r>
    </w:p>
    <w:p w14:paraId="5D27CB64">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1.1.6.9 雇用民工：指承包人与具有相应劳动能力的自然人签订劳动合同，由承包人统一组织管理，从事分项工程施工或配套工程施工的行为。</w:t>
      </w:r>
    </w:p>
    <w:p w14:paraId="5424D43D">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15" w:name="_bookmark161"/>
      <w:bookmarkEnd w:id="15"/>
      <w:bookmarkStart w:id="16" w:name="_Toc120442983"/>
      <w:bookmarkStart w:id="17" w:name="_Toc139462728"/>
      <w:bookmarkStart w:id="18" w:name="_Toc139464292"/>
      <w:bookmarkStart w:id="19" w:name="_Toc139463527"/>
      <w:r>
        <w:rPr>
          <w:rFonts w:hint="eastAsia" w:ascii="宋体" w:hAnsi="宋体" w:eastAsia="宋体" w:cs="宋体"/>
          <w:color w:val="0C0C0C"/>
          <w:sz w:val="22"/>
          <w:szCs w:val="24"/>
        </w:rPr>
        <w:t>1.4合同文件的优先顺序</w:t>
      </w:r>
      <w:bookmarkEnd w:id="16"/>
      <w:bookmarkEnd w:id="17"/>
      <w:bookmarkEnd w:id="18"/>
      <w:bookmarkEnd w:id="19"/>
    </w:p>
    <w:p w14:paraId="5897CCD0">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本款约定为：</w:t>
      </w:r>
    </w:p>
    <w:p w14:paraId="60841026">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组成合同的各项文件应互相解释，互为说明。除项目专用合同条款另有约定外， 解释合同文件的优先顺序如下：</w:t>
      </w:r>
    </w:p>
    <w:p w14:paraId="76FF68FB">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（1）合同协议书及各种合同附件（含评标期间和合同谈判过程中的澄清文件和补充资料）；</w:t>
      </w:r>
    </w:p>
    <w:p w14:paraId="52801306">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（2）中标通知书；</w:t>
      </w:r>
    </w:p>
    <w:p w14:paraId="67E62973">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（3）投标函；</w:t>
      </w:r>
    </w:p>
    <w:p w14:paraId="31048B72">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（4）项目专用合同条款；</w:t>
      </w:r>
    </w:p>
    <w:p w14:paraId="3831D75A">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（5）公路工程专用合同条款；</w:t>
      </w:r>
    </w:p>
    <w:p w14:paraId="3FCB26FA">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（6）通用合同条款；</w:t>
      </w:r>
    </w:p>
    <w:p w14:paraId="44F71F24">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（7）工程量清单计量规则；</w:t>
      </w:r>
    </w:p>
    <w:p w14:paraId="7C479B34">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（8）技术规范；</w:t>
      </w:r>
    </w:p>
    <w:p w14:paraId="0814109A">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（9）图纸；</w:t>
      </w:r>
    </w:p>
    <w:p w14:paraId="47606CA6">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（10）已标价工程量清单；</w:t>
      </w:r>
    </w:p>
    <w:p w14:paraId="2D97018E">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（11）承包人有关人员、设备投入的承诺及投标文件中的施工组织设计；</w:t>
      </w:r>
    </w:p>
    <w:p w14:paraId="60FDBDFE">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（12）其他合同文件。</w:t>
      </w:r>
    </w:p>
    <w:p w14:paraId="4ED65886">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20" w:name="_bookmark162"/>
      <w:bookmarkEnd w:id="20"/>
      <w:bookmarkStart w:id="21" w:name="_Toc120442984"/>
      <w:bookmarkStart w:id="22" w:name="_Toc139463528"/>
      <w:bookmarkStart w:id="23" w:name="_Toc139462729"/>
      <w:bookmarkStart w:id="24" w:name="_Toc139464293"/>
      <w:r>
        <w:rPr>
          <w:rFonts w:hint="eastAsia" w:ascii="宋体" w:hAnsi="宋体" w:eastAsia="宋体" w:cs="宋体"/>
          <w:color w:val="0C0C0C"/>
          <w:sz w:val="22"/>
          <w:szCs w:val="24"/>
        </w:rPr>
        <w:t>1.5合同协议书</w:t>
      </w:r>
      <w:bookmarkEnd w:id="21"/>
      <w:bookmarkEnd w:id="22"/>
      <w:bookmarkEnd w:id="23"/>
      <w:bookmarkEnd w:id="24"/>
    </w:p>
    <w:p w14:paraId="3E4979DA">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本款补充：</w:t>
      </w:r>
    </w:p>
    <w:p w14:paraId="76218B07">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制备本合同文件的费用由发包人承担。在合同协议书签订并生效之前，投标函和中标通知书将对双方具有约束力。</w:t>
      </w:r>
    </w:p>
    <w:p w14:paraId="0E9322E9">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25" w:name="_bookmark163"/>
      <w:bookmarkEnd w:id="25"/>
      <w:bookmarkStart w:id="26" w:name="_Toc120442985"/>
      <w:bookmarkStart w:id="27" w:name="_Toc139462730"/>
      <w:bookmarkStart w:id="28" w:name="_Toc139463529"/>
      <w:bookmarkStart w:id="29" w:name="_Toc139464294"/>
      <w:r>
        <w:rPr>
          <w:rFonts w:hint="eastAsia" w:ascii="宋体" w:hAnsi="宋体" w:eastAsia="宋体" w:cs="宋体"/>
          <w:color w:val="0C0C0C"/>
          <w:sz w:val="22"/>
          <w:szCs w:val="24"/>
        </w:rPr>
        <w:t>1.6图纸和承包人文件</w:t>
      </w:r>
      <w:bookmarkEnd w:id="26"/>
      <w:bookmarkEnd w:id="27"/>
      <w:bookmarkEnd w:id="28"/>
      <w:bookmarkEnd w:id="29"/>
    </w:p>
    <w:p w14:paraId="066BF10E">
      <w:pPr>
        <w:pStyle w:val="11"/>
        <w:widowControl w:val="0"/>
        <w:tabs>
          <w:tab w:val="left" w:pos="1901"/>
        </w:tabs>
        <w:autoSpaceDE w:val="0"/>
        <w:autoSpaceDN w:val="0"/>
        <w:spacing w:after="0"/>
        <w:ind w:left="0" w:firstLine="442" w:firstLineChars="200"/>
        <w:rPr>
          <w:rFonts w:hint="eastAsia" w:ascii="宋体" w:hAnsi="宋体" w:eastAsia="宋体" w:cs="宋体"/>
          <w:b/>
          <w:bCs/>
          <w:color w:val="0C0C0C"/>
          <w:szCs w:val="24"/>
        </w:rPr>
      </w:pPr>
      <w:r>
        <w:rPr>
          <w:rFonts w:hint="eastAsia" w:ascii="宋体" w:hAnsi="宋体" w:eastAsia="宋体" w:cs="宋体"/>
          <w:b/>
          <w:bCs/>
          <w:color w:val="0C0C0C"/>
          <w:szCs w:val="24"/>
        </w:rPr>
        <w:t>1.6.1 图纸的提供</w:t>
      </w:r>
    </w:p>
    <w:p w14:paraId="557CAC75">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本项细化为：</w:t>
      </w:r>
    </w:p>
    <w:p w14:paraId="51E51AB4">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监理人应在发出中标通知书之后 42 天内，向承包人免费提供由发包人或其委托的设计单位设计的施工图纸、技术规范和其他技术资料 2 份，并向承包人进行技术交底。承包人需要更多份数时，应自费复制。由于发包人未按时提供图纸造成工期延误的，按第 11.3 款的约定办理。</w:t>
      </w:r>
    </w:p>
    <w:p w14:paraId="5340E2F9">
      <w:pPr>
        <w:pStyle w:val="11"/>
        <w:widowControl w:val="0"/>
        <w:tabs>
          <w:tab w:val="left" w:pos="1901"/>
        </w:tabs>
        <w:autoSpaceDE w:val="0"/>
        <w:autoSpaceDN w:val="0"/>
        <w:spacing w:after="0"/>
        <w:ind w:left="0" w:firstLine="442" w:firstLineChars="200"/>
        <w:rPr>
          <w:rFonts w:hint="eastAsia" w:ascii="宋体" w:hAnsi="宋体" w:eastAsia="宋体" w:cs="宋体"/>
          <w:b/>
          <w:bCs/>
          <w:color w:val="0C0C0C"/>
          <w:szCs w:val="24"/>
        </w:rPr>
      </w:pPr>
      <w:r>
        <w:rPr>
          <w:rFonts w:hint="eastAsia" w:ascii="宋体" w:hAnsi="宋体" w:eastAsia="宋体" w:cs="宋体"/>
          <w:b/>
          <w:bCs/>
          <w:color w:val="0C0C0C"/>
          <w:szCs w:val="24"/>
        </w:rPr>
        <w:t>1.6.2 承包人提供的文件</w:t>
      </w:r>
    </w:p>
    <w:p w14:paraId="750A425F">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本项细化为：</w:t>
      </w:r>
    </w:p>
    <w:p w14:paraId="1646AAB9">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有下列情形之一的，承包人应免费向监理人提交相关部分工程的施工图纸 3 份， 并附必要的计算书、技术资料，或施工工艺图、设备安装图及安装设备的使用和维护手册各 2 份供监理人批准。</w:t>
      </w:r>
    </w:p>
    <w:p w14:paraId="1DF6DDF8">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（1）为使第 1.6.1 项所述的施工图纸适合于经施工测量后的纵、横断面；</w:t>
      </w:r>
    </w:p>
    <w:p w14:paraId="429600CA">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（2）为使第 1.6.1 项所述的施工图纸适合于现场具体地形；</w:t>
      </w:r>
    </w:p>
    <w:p w14:paraId="199DF8DF">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（3）为使第 1.6.1 项所述的施工图纸适合于因尺寸与位置变化而引起局部变更；</w:t>
      </w:r>
    </w:p>
    <w:p w14:paraId="49D4F705">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（4）由于合同要求与施工需要。</w:t>
      </w:r>
    </w:p>
    <w:p w14:paraId="67D9D779">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此类图纸应按监理人规定的格式和图幅绘制。监理人在收到由承包人绘制的上述工程、工艺图纸、计算书和有关技术资料后 14 天内应予批准或提出修改要求，承包人应按监理人提出的要求作出修改，重新向监理人提交，监理人应在 7 天内批准或提出进一步的修改意见。</w:t>
      </w:r>
    </w:p>
    <w:p w14:paraId="19BB0642">
      <w:pPr>
        <w:pStyle w:val="11"/>
        <w:widowControl w:val="0"/>
        <w:tabs>
          <w:tab w:val="left" w:pos="1901"/>
        </w:tabs>
        <w:autoSpaceDE w:val="0"/>
        <w:autoSpaceDN w:val="0"/>
        <w:spacing w:after="0"/>
        <w:ind w:left="0" w:firstLine="442" w:firstLineChars="200"/>
        <w:rPr>
          <w:rFonts w:hint="eastAsia" w:ascii="宋体" w:hAnsi="宋体" w:eastAsia="宋体" w:cs="宋体"/>
          <w:b/>
          <w:bCs/>
          <w:color w:val="0C0C0C"/>
          <w:szCs w:val="24"/>
        </w:rPr>
      </w:pPr>
      <w:r>
        <w:rPr>
          <w:rFonts w:hint="eastAsia" w:ascii="宋体" w:hAnsi="宋体" w:eastAsia="宋体" w:cs="宋体"/>
          <w:b/>
          <w:bCs/>
          <w:color w:val="0C0C0C"/>
          <w:szCs w:val="24"/>
        </w:rPr>
        <w:t>1.6.4 图纸的错误</w:t>
      </w:r>
    </w:p>
    <w:p w14:paraId="1A42BDD7">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本项细化为：</w:t>
      </w:r>
    </w:p>
    <w:p w14:paraId="5C95575D">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当承包人在查阅合同文件或在本合同工程实施过程中，发现有关的工程设计、技术规范、图纸或其他资料中的任何差错、遗漏或缺陷后，应及时通知监理人。监理人接到该通知后，应立即就此作出决定，并通知承包人和发包人。</w:t>
      </w:r>
    </w:p>
    <w:p w14:paraId="4A2F3A54">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30" w:name="_bookmark164"/>
      <w:bookmarkEnd w:id="30"/>
      <w:bookmarkStart w:id="31" w:name="_Toc139464295"/>
      <w:bookmarkStart w:id="32" w:name="_Toc139463530"/>
      <w:bookmarkStart w:id="33" w:name="_Toc139462731"/>
      <w:bookmarkStart w:id="34" w:name="_Toc120442986"/>
      <w:r>
        <w:rPr>
          <w:rFonts w:hint="eastAsia" w:ascii="宋体" w:hAnsi="宋体" w:eastAsia="宋体" w:cs="宋体"/>
          <w:color w:val="0C0C0C"/>
          <w:sz w:val="22"/>
          <w:szCs w:val="24"/>
        </w:rPr>
        <w:t>1.9 严禁贿赂</w:t>
      </w:r>
      <w:bookmarkEnd w:id="31"/>
      <w:bookmarkEnd w:id="32"/>
      <w:bookmarkEnd w:id="33"/>
      <w:bookmarkEnd w:id="34"/>
    </w:p>
    <w:p w14:paraId="7359255D">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本款补充：</w:t>
      </w:r>
    </w:p>
    <w:p w14:paraId="18A1B62C">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在合同执行过程中，发包人和承包人应严格履行《廉政合同》约定的双方在廉政建设方面的权利和义务以及应承担的违约责任。承包人如果用行贿、送礼或其他不正当手段企图影响或已经影响了发包人或监理人的行为和（或）欲获得或已获得超出合同规定以外的额外费用，则发包人应按有关法纪严肃处理当事人，且承包人应对其上述行为造成的工程损害、发包人的经济损失等承担一切责任，并予赔偿。情节严重者，发包人有权终止承包人在本合同项下的承包。</w:t>
      </w:r>
    </w:p>
    <w:p w14:paraId="09EAC5B3">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35" w:name="_bookmark165"/>
      <w:bookmarkEnd w:id="35"/>
      <w:bookmarkStart w:id="36" w:name="_Toc120442987"/>
      <w:bookmarkStart w:id="37" w:name="_Toc139463531"/>
      <w:bookmarkStart w:id="38" w:name="_Toc139462732"/>
      <w:bookmarkStart w:id="39" w:name="_Toc139464296"/>
      <w:r>
        <w:rPr>
          <w:rFonts w:hint="eastAsia" w:ascii="宋体" w:hAnsi="宋体" w:eastAsia="宋体" w:cs="宋体"/>
          <w:color w:val="0C0C0C"/>
          <w:sz w:val="22"/>
          <w:szCs w:val="24"/>
        </w:rPr>
        <w:t>2.发包人义务</w:t>
      </w:r>
      <w:bookmarkEnd w:id="36"/>
      <w:bookmarkEnd w:id="37"/>
      <w:bookmarkEnd w:id="38"/>
      <w:bookmarkEnd w:id="39"/>
    </w:p>
    <w:p w14:paraId="62BB4957">
      <w:pPr>
        <w:pStyle w:val="11"/>
        <w:widowControl w:val="0"/>
        <w:tabs>
          <w:tab w:val="left" w:pos="1901"/>
        </w:tabs>
        <w:autoSpaceDE w:val="0"/>
        <w:autoSpaceDN w:val="0"/>
        <w:spacing w:after="0"/>
        <w:ind w:left="0" w:firstLine="442" w:firstLineChars="200"/>
        <w:rPr>
          <w:rFonts w:hint="eastAsia" w:ascii="宋体" w:hAnsi="宋体" w:eastAsia="宋体" w:cs="宋体"/>
          <w:b/>
          <w:bCs/>
          <w:color w:val="0C0C0C"/>
          <w:szCs w:val="24"/>
        </w:rPr>
      </w:pPr>
      <w:bookmarkStart w:id="40" w:name="_bookmark166"/>
      <w:bookmarkEnd w:id="40"/>
      <w:r>
        <w:rPr>
          <w:rFonts w:hint="eastAsia" w:ascii="宋体" w:hAnsi="宋体" w:eastAsia="宋体" w:cs="宋体"/>
          <w:b/>
          <w:bCs/>
          <w:color w:val="0C0C0C"/>
          <w:szCs w:val="24"/>
        </w:rPr>
        <w:t>2.3 提供施工场地</w:t>
      </w:r>
    </w:p>
    <w:p w14:paraId="62E063C9">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本款补充：</w:t>
      </w:r>
    </w:p>
    <w:p w14:paraId="2044C9EE">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发包人负责办理永久占地的征用及与之有关的拆迁赔偿手续并承担相关费用。承包人在按第 10 条规定提交施工进度计划的同时，应向监理人提交一份按施工先后次序所需的永久占地计划。监理人应在收到此计划后的 14 天内审核并转报发包人核备。发包人应在监理人发出本工程或分部工程开工通知之前，对承包人开工所需的永久占地办妥征用手续和相关拆迁赔偿手续，通知承包人使用，以使承包人能够及时开工；此后按承包人提交并经监理人同意的合同进度计划的安排，分期（也可以一次）将施工所需的其余永久占地办妥征用以及拆迁赔偿手续，通知承包人使用， 以使承包人能够连续不间断地施工。由于承包人施工考虑不周或措施不当等原因而造成的超计划占地或拆迁等所发生的征用和赔偿费用，应由承包人承担。</w:t>
      </w:r>
    </w:p>
    <w:p w14:paraId="1235503E">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由于发包人未能按照本项规定办妥永久占地征用手续，影响承包人及时使用永久占地造成的费用增加和（或）工期延误应由发包人承担。由于承包人未能按照本项规定提交占地计划，影响发包人办理永久占地征用手续造成的费用增加和（或）工期延误由承包人承担。</w:t>
      </w:r>
      <w:bookmarkStart w:id="41" w:name="_bookmark167"/>
      <w:bookmarkEnd w:id="41"/>
    </w:p>
    <w:p w14:paraId="58AAE367">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42" w:name="_Toc139462733"/>
      <w:bookmarkStart w:id="43" w:name="_Toc120442988"/>
      <w:bookmarkStart w:id="44" w:name="_Toc139463532"/>
      <w:bookmarkStart w:id="45" w:name="_Toc139464297"/>
      <w:r>
        <w:rPr>
          <w:rFonts w:hint="eastAsia" w:ascii="宋体" w:hAnsi="宋体" w:eastAsia="宋体" w:cs="宋体"/>
          <w:color w:val="0C0C0C"/>
          <w:sz w:val="22"/>
          <w:szCs w:val="24"/>
        </w:rPr>
        <w:t>3.监理人</w:t>
      </w:r>
      <w:bookmarkEnd w:id="42"/>
      <w:bookmarkEnd w:id="43"/>
      <w:bookmarkEnd w:id="44"/>
      <w:bookmarkEnd w:id="45"/>
    </w:p>
    <w:p w14:paraId="06728E07">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46" w:name="_bookmark168"/>
      <w:bookmarkEnd w:id="46"/>
      <w:bookmarkStart w:id="47" w:name="_Toc139464298"/>
      <w:bookmarkStart w:id="48" w:name="_Toc139463533"/>
      <w:bookmarkStart w:id="49" w:name="_Toc120442989"/>
      <w:bookmarkStart w:id="50" w:name="_Toc139462734"/>
      <w:r>
        <w:rPr>
          <w:rFonts w:hint="eastAsia" w:ascii="宋体" w:hAnsi="宋体" w:eastAsia="宋体" w:cs="宋体"/>
          <w:color w:val="0C0C0C"/>
          <w:sz w:val="22"/>
          <w:szCs w:val="24"/>
        </w:rPr>
        <w:t>3.1 监理人的职责和权力</w:t>
      </w:r>
      <w:bookmarkEnd w:id="47"/>
      <w:bookmarkEnd w:id="48"/>
      <w:bookmarkEnd w:id="49"/>
      <w:bookmarkEnd w:id="50"/>
    </w:p>
    <w:p w14:paraId="5A9B90BC">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bookmarkStart w:id="51" w:name="_Toc5502"/>
      <w:r>
        <w:rPr>
          <w:rFonts w:hint="eastAsia" w:ascii="宋体" w:hAnsi="宋体" w:eastAsia="宋体" w:cs="宋体"/>
          <w:color w:val="0C0C0C"/>
          <w:szCs w:val="24"/>
        </w:rPr>
        <w:t>第3.1.1项补充：</w:t>
      </w:r>
      <w:bookmarkEnd w:id="51"/>
    </w:p>
    <w:p w14:paraId="1C4ADA25">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监理人在行使下列权力前需要经发包人事先批准：</w:t>
      </w:r>
    </w:p>
    <w:p w14:paraId="417CFA30">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（1）根据第 4.3 款，同意分包本工程的某些非关键性工作或者适合专业化队伍施工的专项工程；</w:t>
      </w:r>
    </w:p>
    <w:p w14:paraId="62227509">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（2）确定第 4.11 款下产生的费用增加额；</w:t>
      </w:r>
    </w:p>
    <w:p w14:paraId="6ABDA9F6">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（3）根据第 11.1 款、第 12.3 款、第 12.4 款发布开工通知、暂停施工指示或复工通知；</w:t>
      </w:r>
    </w:p>
    <w:p w14:paraId="7F12367C">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（4）决定第 11.3 款、第 11.4 款下的工期延长；</w:t>
      </w:r>
    </w:p>
    <w:p w14:paraId="0AA3F34D">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（5）审查批准技术方案或设计的变更；</w:t>
      </w:r>
    </w:p>
    <w:p w14:paraId="7A0A58FE">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（6）根据第 15.3 款发出的变更指示，其单项工程变更或累计变更涉及的金额超过了项目专用合同条款数据表中规定的金额；</w:t>
      </w:r>
    </w:p>
    <w:p w14:paraId="4B721716">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（7）确定第 15.4 款下变更工作的单价；</w:t>
      </w:r>
    </w:p>
    <w:p w14:paraId="14A14554">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（8）按照第 15.6 款决定有关暂列金额的使用；</w:t>
      </w:r>
    </w:p>
    <w:p w14:paraId="43FD72F8">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（9）确定第 15.8 款下的暂估价金额；</w:t>
      </w:r>
    </w:p>
    <w:p w14:paraId="46A8A91E">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（10）确定第 23.1 款下的索赔额。</w:t>
      </w:r>
    </w:p>
    <w:p w14:paraId="238CF6AD">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如果发生紧急情况，监理人认为将造成人员伤亡，或危及本工程或邻近的财产需立即采取行动，监理人有权在未征得发包人的批准的情况下发布处理紧急情况所必需的指令，承包人应予执行，由此造成的费用增加由监理人按第 3.5 款商定或确定。</w:t>
      </w:r>
    </w:p>
    <w:p w14:paraId="65399ECF">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52" w:name="_bookmark169"/>
      <w:bookmarkEnd w:id="52"/>
      <w:bookmarkStart w:id="53" w:name="_Toc120442990"/>
      <w:bookmarkStart w:id="54" w:name="_Toc139464299"/>
      <w:bookmarkStart w:id="55" w:name="_Toc139463534"/>
      <w:bookmarkStart w:id="56" w:name="_Toc139462735"/>
      <w:r>
        <w:rPr>
          <w:rFonts w:hint="eastAsia" w:ascii="宋体" w:hAnsi="宋体" w:eastAsia="宋体" w:cs="宋体"/>
          <w:color w:val="0C0C0C"/>
          <w:sz w:val="22"/>
          <w:szCs w:val="24"/>
        </w:rPr>
        <w:t>3.5 商定或确定</w:t>
      </w:r>
      <w:bookmarkEnd w:id="53"/>
      <w:bookmarkEnd w:id="54"/>
      <w:bookmarkEnd w:id="55"/>
      <w:bookmarkEnd w:id="56"/>
    </w:p>
    <w:p w14:paraId="49645005">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bookmarkStart w:id="57" w:name="_Toc23191"/>
      <w:r>
        <w:rPr>
          <w:rFonts w:hint="eastAsia" w:ascii="宋体" w:hAnsi="宋体" w:eastAsia="宋体" w:cs="宋体"/>
          <w:color w:val="0C0C0C"/>
          <w:szCs w:val="24"/>
        </w:rPr>
        <w:t>第 3.5.1 项补充：</w:t>
      </w:r>
      <w:bookmarkEnd w:id="57"/>
    </w:p>
    <w:p w14:paraId="075E62F5">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如果这项商定或确定导致费用增加和（或）工期延长，或者涉及确定变更工程的价格，则总监理工程师在发出通知前，应征得发包人的同意。</w:t>
      </w:r>
    </w:p>
    <w:p w14:paraId="45FCC07A">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58" w:name="_bookmark170"/>
      <w:bookmarkEnd w:id="58"/>
      <w:bookmarkStart w:id="59" w:name="_Toc139463535"/>
      <w:bookmarkStart w:id="60" w:name="_Toc139462736"/>
      <w:bookmarkStart w:id="61" w:name="_Toc139464300"/>
      <w:bookmarkStart w:id="62" w:name="_Toc120442991"/>
      <w:r>
        <w:rPr>
          <w:rFonts w:hint="eastAsia" w:ascii="宋体" w:hAnsi="宋体" w:eastAsia="宋体" w:cs="宋体"/>
          <w:color w:val="0C0C0C"/>
          <w:sz w:val="22"/>
          <w:szCs w:val="24"/>
        </w:rPr>
        <w:t>4.承包人</w:t>
      </w:r>
      <w:bookmarkEnd w:id="59"/>
      <w:bookmarkEnd w:id="60"/>
      <w:bookmarkEnd w:id="61"/>
      <w:bookmarkEnd w:id="62"/>
    </w:p>
    <w:p w14:paraId="3B83E7C6">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63" w:name="_bookmark171"/>
      <w:bookmarkEnd w:id="63"/>
      <w:bookmarkStart w:id="64" w:name="_Toc139464301"/>
      <w:bookmarkStart w:id="65" w:name="_Toc139463536"/>
      <w:bookmarkStart w:id="66" w:name="_Toc120442992"/>
      <w:bookmarkStart w:id="67" w:name="_Toc139462737"/>
      <w:r>
        <w:rPr>
          <w:rFonts w:hint="eastAsia" w:ascii="宋体" w:hAnsi="宋体" w:eastAsia="宋体" w:cs="宋体"/>
          <w:color w:val="0C0C0C"/>
          <w:sz w:val="22"/>
          <w:szCs w:val="24"/>
        </w:rPr>
        <w:t>4.1 承包人的一般义务</w:t>
      </w:r>
      <w:bookmarkEnd w:id="64"/>
      <w:bookmarkEnd w:id="65"/>
      <w:bookmarkEnd w:id="66"/>
      <w:bookmarkEnd w:id="67"/>
    </w:p>
    <w:p w14:paraId="4388B6E9">
      <w:pPr>
        <w:pStyle w:val="11"/>
        <w:widowControl w:val="0"/>
        <w:tabs>
          <w:tab w:val="left" w:pos="1901"/>
        </w:tabs>
        <w:autoSpaceDE w:val="0"/>
        <w:autoSpaceDN w:val="0"/>
        <w:spacing w:after="0"/>
        <w:ind w:left="0" w:firstLine="442" w:firstLineChars="200"/>
        <w:rPr>
          <w:rFonts w:hint="eastAsia" w:ascii="宋体" w:hAnsi="宋体" w:eastAsia="宋体" w:cs="宋体"/>
          <w:b/>
          <w:bCs/>
          <w:color w:val="0C0C0C"/>
          <w:szCs w:val="24"/>
        </w:rPr>
      </w:pPr>
      <w:r>
        <w:rPr>
          <w:rFonts w:hint="eastAsia" w:ascii="宋体" w:hAnsi="宋体" w:eastAsia="宋体" w:cs="宋体"/>
          <w:b/>
          <w:bCs/>
          <w:color w:val="0C0C0C"/>
          <w:szCs w:val="24"/>
        </w:rPr>
        <w:t>4.1.9 工程的维护和照管</w:t>
      </w:r>
    </w:p>
    <w:p w14:paraId="60E14851">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本项细化为：</w:t>
      </w:r>
    </w:p>
    <w:p w14:paraId="4305A035">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1）交工验收证书颁发前，承包人应负责照管和维护工程及将用于或安装在本工程中的材料、设备。交工验收证书颁发时尚有部分未交工工程的，承包人还应负责该未交工工程、材料、设备的照管和维护工作，直至交工后移交给发包人为止。</w:t>
      </w:r>
    </w:p>
    <w:p w14:paraId="0ED29BF7">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（2）在承包人负责照管与维护期间，如果本工程或材料、设备等发生损失或损害，除不可抗力原因之外，承包人均应自费弥补，并达到合同要求。承包人还应对按第 19 条规定而实施作业过程中由承包人造成的对工程的任何损失或损害负责。</w:t>
      </w:r>
    </w:p>
    <w:p w14:paraId="3AB15633">
      <w:pPr>
        <w:pStyle w:val="11"/>
        <w:widowControl w:val="0"/>
        <w:tabs>
          <w:tab w:val="left" w:pos="1901"/>
        </w:tabs>
        <w:autoSpaceDE w:val="0"/>
        <w:autoSpaceDN w:val="0"/>
        <w:spacing w:after="0"/>
        <w:ind w:left="0" w:firstLine="442" w:firstLineChars="200"/>
        <w:rPr>
          <w:rFonts w:hint="eastAsia" w:ascii="宋体" w:hAnsi="宋体" w:eastAsia="宋体" w:cs="宋体"/>
          <w:b/>
          <w:bCs/>
          <w:color w:val="0C0C0C"/>
          <w:szCs w:val="24"/>
        </w:rPr>
      </w:pPr>
      <w:r>
        <w:rPr>
          <w:rFonts w:hint="eastAsia" w:ascii="宋体" w:hAnsi="宋体" w:eastAsia="宋体" w:cs="宋体"/>
          <w:b/>
          <w:bCs/>
          <w:color w:val="0C0C0C"/>
          <w:szCs w:val="24"/>
        </w:rPr>
        <w:t>4.1.10 其他义务</w:t>
      </w:r>
    </w:p>
    <w:p w14:paraId="1EDF67AF">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本项细化为：</w:t>
      </w:r>
    </w:p>
    <w:p w14:paraId="4B0253ED">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（1）临时占地由承包人向当地政府土地管理部门申请，并办理租用手续，承包人按有关规定直接支付其费用，发包人对此将予以协调。</w:t>
      </w:r>
    </w:p>
    <w:p w14:paraId="6B2100E8">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临时占地范围包括承包人驻地的办公室、食堂、宿舍、道路和机械设备停放场、材料堆放场地、弃土场、预制场、拌和场、仓库、进场临时道路、临时便道、便桥等。承包人应在“临时占地计划表”范围内按实际需要与先后次序，提出具体计划报监理人同意，并报发包人。临时占地的面积和使用期应满足工程需要，费用包括临时占地数量、时间及因此而发生的协调、租用、复耕、地面附着物（电力、电信、房屋、坟墓除外）的拆迁补偿等相关费用。除项目专用合同条款另有约定外，临时占地的租地费用实行总额包干，列入工程量清单第 100 章中由承包人按总额报价。</w:t>
      </w:r>
    </w:p>
    <w:p w14:paraId="7770A422">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临时占地退还前，承包人应自费恢复到临时占地使用前的状况。如因承包人撤离后未按要求对临时占地进行恢复或虽进行了恢复但未达到使用标准的，将由发包人委托第三方对其恢复，所发生的费用将从应付给承包人的任何款项内扣除。</w:t>
      </w:r>
    </w:p>
    <w:p w14:paraId="2E1F4D13">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2）除项目专用合同条款另有约定外，承包人应承担并支付为获得本合同工程所需的石料、砂、砾石、黏土或其他当地材料等所发生的料场使用费及其他开支或补偿费。发包人应尽可能协助承包人办理料场租用手续及解决使用过程中的有关问题。</w:t>
      </w:r>
    </w:p>
    <w:p w14:paraId="58679602">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3）承包人应严格遵守国家有关解决拖欠工程款和民工工资的法律、法规，及时支付工程中的材料、设备货款及民工工资等费用。承包人不得以任何借口拖欠材料、设备货款及民工工资等费用，如果出现此种现象，发包人有权代为支付其拖欠的材料、设备货款及民工工资，并从应付给承包人的工程款中扣除相应款项。对恶意拖欠和拒不按计划支付的，作为不良记录纳入公路建设市场信用信息管理系统。</w:t>
      </w:r>
    </w:p>
    <w:p w14:paraId="25285D8C">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承包人的项目经理部是民工工资支付行为的主体，承包人的项目经理是民工工资支付的责任人。项目经理部要建立全体民工花名册和工资支付表，确保将工资直接发放给民工本人，或委托银行发放民工工资，严禁发放给“包工头”或其他不具备用工主体资格的组织和个人。</w:t>
      </w:r>
    </w:p>
    <w:p w14:paraId="43A3FB00">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工资支付表应如实记录支付单位、支付时间、支付对象、支付数额、支付对象的身份证号和签字等信息。民工花名册和工资支付表应报监理人备查。</w:t>
      </w:r>
    </w:p>
    <w:p w14:paraId="3B205D8A">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4）承包人应分解工程价款中的人工费用，在工程项目所在地银行开设民工工资（劳务费）专用账户，专项用于支付民工工资。发包人应按照本合同约定的比例或承包人提供的人工费用数额，将应付工程款中的人工费单独拨付到承包人开设的民工工资（劳务费）专用账户。民工工资（劳务费）专用账户应向人力资源社会保障部门和交通运输主管部门备案，并委托开户银行负责日常监管，确保专款专用。开户银行发现账户资金不足、被挪用等情况，应及时向人力资源社会保障部门和交通运输主管部门报告。</w:t>
      </w:r>
    </w:p>
    <w:p w14:paraId="5FDFFF15">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5）承包人应严格执行招标文件技术规范对施工标准化提出的具体要求，结合本单位施工能力和技术优势，积极采取有利于标准化施工的组织方式和工艺流程，加强工地建设、工艺控制、人员管理和内业资料管理，强化对施工一线操作人员的培训，改善职工生产生活条件，与此相关的费用承包人应列入工程量清单第100章中。</w:t>
      </w:r>
    </w:p>
    <w:p w14:paraId="6D6B995D">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（6）承包人应履行项目专用合同条款约定的其他义务。</w:t>
      </w:r>
    </w:p>
    <w:p w14:paraId="0E1F7FD2">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68" w:name="_bookmark172"/>
      <w:bookmarkEnd w:id="68"/>
      <w:bookmarkStart w:id="69" w:name="_Toc139463537"/>
      <w:bookmarkStart w:id="70" w:name="_Toc120442993"/>
      <w:bookmarkStart w:id="71" w:name="_Toc139464302"/>
      <w:bookmarkStart w:id="72" w:name="_Toc139462738"/>
      <w:r>
        <w:rPr>
          <w:rFonts w:hint="eastAsia" w:ascii="宋体" w:hAnsi="宋体" w:eastAsia="宋体" w:cs="宋体"/>
          <w:color w:val="0C0C0C"/>
          <w:sz w:val="22"/>
          <w:szCs w:val="24"/>
        </w:rPr>
        <w:t>4.2 履约保证金</w:t>
      </w:r>
      <w:bookmarkEnd w:id="69"/>
      <w:bookmarkEnd w:id="70"/>
      <w:bookmarkEnd w:id="71"/>
      <w:bookmarkEnd w:id="72"/>
    </w:p>
    <w:p w14:paraId="5E1A7067">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本款细化为：</w:t>
      </w:r>
    </w:p>
    <w:p w14:paraId="1E281DE2">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承包人应保证其履约保证金在发包人签发交工验收证书且承包人按照合同约定缴纳质量保证金前一直有效。发包人应在收到承包人缴纳的质量保证金后 28 天内将履约保证金退还给承包人。</w:t>
      </w:r>
    </w:p>
    <w:p w14:paraId="36C6FF0D">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承包人拒绝按照本合同约定缴纳质量保证金的，发包人有权从交工付款证书中扣留相应金额作为质量保证金，或者直接将履约保证金金额用于保证承包人在缺陷责任期内履行缺陷修复义务。</w:t>
      </w:r>
    </w:p>
    <w:p w14:paraId="5254B621">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73" w:name="_bookmark173"/>
      <w:bookmarkEnd w:id="73"/>
      <w:bookmarkStart w:id="74" w:name="_Toc139464303"/>
      <w:bookmarkStart w:id="75" w:name="_Toc120442994"/>
      <w:bookmarkStart w:id="76" w:name="_Toc139462739"/>
      <w:bookmarkStart w:id="77" w:name="_Toc139463538"/>
      <w:r>
        <w:rPr>
          <w:rFonts w:hint="eastAsia" w:ascii="宋体" w:hAnsi="宋体" w:eastAsia="宋体" w:cs="宋体"/>
          <w:color w:val="0C0C0C"/>
          <w:sz w:val="22"/>
          <w:szCs w:val="24"/>
        </w:rPr>
        <w:t>4.3 分包</w:t>
      </w:r>
      <w:bookmarkEnd w:id="74"/>
      <w:bookmarkEnd w:id="75"/>
      <w:bookmarkEnd w:id="76"/>
      <w:bookmarkEnd w:id="77"/>
    </w:p>
    <w:p w14:paraId="3070B0C2">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bookmarkStart w:id="78" w:name="_Toc2783"/>
      <w:r>
        <w:rPr>
          <w:rFonts w:hint="eastAsia" w:ascii="宋体" w:hAnsi="宋体" w:eastAsia="宋体" w:cs="宋体"/>
          <w:color w:val="0C0C0C"/>
          <w:szCs w:val="24"/>
        </w:rPr>
        <w:t>第4.3.2项～第4.3.4项细化为：</w:t>
      </w:r>
      <w:bookmarkEnd w:id="78"/>
    </w:p>
    <w:p w14:paraId="7B60F421">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4.3.2 承包人不得将工程关键性工作分包给第三人。经发包人同意，承包人可将工程的其他部分或工作分包给第三人。分包包括专业分包和劳务分包。</w:t>
      </w:r>
    </w:p>
    <w:p w14:paraId="1EE09DC6">
      <w:pPr>
        <w:pStyle w:val="11"/>
        <w:widowControl w:val="0"/>
        <w:tabs>
          <w:tab w:val="left" w:pos="1901"/>
        </w:tabs>
        <w:autoSpaceDE w:val="0"/>
        <w:autoSpaceDN w:val="0"/>
        <w:spacing w:after="0"/>
        <w:ind w:left="0" w:firstLine="442" w:firstLineChars="200"/>
        <w:rPr>
          <w:rFonts w:hint="eastAsia" w:ascii="宋体" w:hAnsi="宋体" w:eastAsia="宋体" w:cs="宋体"/>
          <w:b/>
          <w:bCs/>
          <w:color w:val="0C0C0C"/>
          <w:szCs w:val="24"/>
        </w:rPr>
      </w:pPr>
      <w:r>
        <w:rPr>
          <w:rFonts w:hint="eastAsia" w:ascii="宋体" w:hAnsi="宋体" w:eastAsia="宋体" w:cs="宋体"/>
          <w:b/>
          <w:bCs/>
          <w:color w:val="0C0C0C"/>
          <w:szCs w:val="24"/>
        </w:rPr>
        <w:t>4.3.3 专业分包</w:t>
      </w:r>
    </w:p>
    <w:p w14:paraId="33C03684">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在工程施工过程中，承包人进行专业分包必须遵守以下规定：</w:t>
      </w:r>
    </w:p>
    <w:p w14:paraId="4D93E994">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1）允许专业分包的工程范围仅限于非关键性工程或者适合专业化队伍施工的专项工程。未列入投标文件的专项工程，承包人不得分包。但因工程变更增加了有特殊性技术要求、特殊工艺或者涉及专利保护等的专项工程，且按规定无须再进行招标的，由承包人提出书面申请，经发包人书面同意，可以分包。</w:t>
      </w:r>
    </w:p>
    <w:p w14:paraId="3128D2DE">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（2）专业分包人的资格能力（含安全生产能力）应与其分包工程的标准和规模相适应，且应当具备如下条件：</w:t>
      </w:r>
    </w:p>
    <w:p w14:paraId="5FEFC0D3">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bookmarkStart w:id="79" w:name="_Toc29252"/>
      <w:r>
        <w:rPr>
          <w:rFonts w:hint="eastAsia" w:ascii="宋体" w:hAnsi="宋体" w:eastAsia="宋体" w:cs="宋体"/>
          <w:color w:val="0C0C0C"/>
          <w:szCs w:val="24"/>
        </w:rPr>
        <w:t>a.具有经工商登记的法人资格；</w:t>
      </w:r>
      <w:bookmarkEnd w:id="79"/>
    </w:p>
    <w:p w14:paraId="7CEFA4AD">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bookmarkStart w:id="80" w:name="_Toc11917"/>
      <w:r>
        <w:rPr>
          <w:rFonts w:hint="eastAsia" w:ascii="宋体" w:hAnsi="宋体" w:eastAsia="宋体" w:cs="宋体"/>
          <w:color w:val="0C0C0C"/>
          <w:szCs w:val="24"/>
        </w:rPr>
        <w:t>b.具有从事类似工程经验的管理与技术人员；</w:t>
      </w:r>
      <w:bookmarkEnd w:id="80"/>
    </w:p>
    <w:p w14:paraId="70A0480E">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bookmarkStart w:id="81" w:name="_Toc20663"/>
      <w:r>
        <w:rPr>
          <w:rFonts w:hint="eastAsia" w:ascii="宋体" w:hAnsi="宋体" w:eastAsia="宋体" w:cs="宋体"/>
          <w:color w:val="0C0C0C"/>
          <w:szCs w:val="24"/>
        </w:rPr>
        <w:t>c.具有（自有或租赁）分包工程所需的施工设备。</w:t>
      </w:r>
      <w:bookmarkEnd w:id="81"/>
    </w:p>
    <w:p w14:paraId="1CDCC1C1">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承包人应向监理人提交专业分包人的资格能力证明材料，经监理人审查并报发包人批准后，可以将相应专业工程分包给该专业分包人。</w:t>
      </w:r>
    </w:p>
    <w:p w14:paraId="74346304">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（3）专业分包工程不得再次分包。</w:t>
      </w:r>
    </w:p>
    <w:p w14:paraId="2E0030AC">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4）承包人和专业分包人应当按照交通运输主管部门制定的统一格式依法签订专业分包合同，并履行合同约定的义务。专业分包合同必须遵循承包合同的各项原则，满足承包合同中的质量、安全、进度、环保以及其他技术、经济等要求。专业分包合同必须明确约定工程款支付条款、结算方式以及保证按期支付的相应措施，确保工程款的支付。承包人应在工程实施前，将经监理人审查同意后的分包合同报发包人备案。</w:t>
      </w:r>
    </w:p>
    <w:p w14:paraId="09571BCB">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5）专业分包人应当设立项目管理机构，对所分包工程的施工活动实施管理。项目管理机构应当具有与分包工程的规模、技术复杂程度相适应的技术、经济管理人员，其中项目负责人和技术、财务、计量、质量、安全等主要管理人员必须是专业分包人本单位人员。</w:t>
      </w:r>
    </w:p>
    <w:p w14:paraId="20A955E1">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6）承包人应当建立健全相关分包管理制度和台账，对专业分包工程的质量、安全、进度和专业分包人的行为等实施全过程管理，按照合同约定对专业分包工程的实施向发包人负责，并承担赔偿责任。专业分包合同不免除承包合同中规定的承包人的责任或者义务。</w:t>
      </w:r>
    </w:p>
    <w:p w14:paraId="5E27DACC">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（7）专业分包人应当依据专业分包合同的约定，组织分包工程的施工，并对分包工程的质量、安全和进度等实施有效控制。专业分包人对其分包的工程向承包人负责，并就所分包的工程向发包人承担连带责任。</w:t>
      </w:r>
    </w:p>
    <w:p w14:paraId="17A94217">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8）承包人对施工现场安全负总责，并对专业分包人的安全生产进行培训和管理。专业分包人应将其专业分包工程的施工组织设计和施工安全方案报承包人备案。专业分包人对分包施工现场安全负责，发现事故隐患，应及时处理。</w:t>
      </w:r>
    </w:p>
    <w:p w14:paraId="71874478">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违反上述规定之一者属违规分包。</w:t>
      </w:r>
    </w:p>
    <w:p w14:paraId="5ABD5E1E">
      <w:pPr>
        <w:pStyle w:val="11"/>
        <w:widowControl w:val="0"/>
        <w:tabs>
          <w:tab w:val="left" w:pos="1901"/>
        </w:tabs>
        <w:autoSpaceDE w:val="0"/>
        <w:autoSpaceDN w:val="0"/>
        <w:spacing w:after="0"/>
        <w:ind w:left="0" w:firstLine="442" w:firstLineChars="200"/>
        <w:rPr>
          <w:rFonts w:hint="eastAsia" w:ascii="宋体" w:hAnsi="宋体" w:eastAsia="宋体" w:cs="宋体"/>
          <w:b/>
          <w:bCs/>
          <w:color w:val="0C0C0C"/>
          <w:szCs w:val="24"/>
        </w:rPr>
      </w:pPr>
      <w:r>
        <w:rPr>
          <w:rFonts w:hint="eastAsia" w:ascii="宋体" w:hAnsi="宋体" w:eastAsia="宋体" w:cs="宋体"/>
          <w:b/>
          <w:bCs/>
          <w:color w:val="0C0C0C"/>
          <w:szCs w:val="24"/>
        </w:rPr>
        <w:t>4.3.4 劳务分包</w:t>
      </w:r>
    </w:p>
    <w:p w14:paraId="7F7DC665">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在工程施工过程中，承包人进行劳务分包必须遵守以下规定：</w:t>
      </w:r>
    </w:p>
    <w:p w14:paraId="5512CCA4">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（1）劳务分包人应具有施工劳务资质。</w:t>
      </w:r>
    </w:p>
    <w:p w14:paraId="506418DB">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2）劳务分包应当依法签订劳务分包合同，劳务分包合同必须由承包人的法定代表人或其委托代理人与劳务分包人直接签订，不得由他人代签。承包人的项目经理部、项目经理、施工班组等不具备用工主体资格，不能与劳务分包人签订劳务分包合同。承包人应向发包人和监理人提交劳务分包合同副本并报项目所在地劳动保障部门备案。</w:t>
      </w:r>
    </w:p>
    <w:p w14:paraId="436F2473">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3）承包人雇用的劳务作业应加入到承包人的施工班组统一管理。有关施工质量、施工安全、施工进度、环境保护、技术方案、试验检测、材料保管与供应、机械设备等都必须由承包人管理与调配，不得以包代管。</w:t>
      </w:r>
    </w:p>
    <w:p w14:paraId="4EF0B141">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（4）承包人应当对劳务分包人员进行安全培训和管理，劳务分包人不得将其分包的劳务作业再次分包。</w:t>
      </w:r>
    </w:p>
    <w:p w14:paraId="5902FF40">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违反上述规定之一者属违规分包。本款补充第 4.3.6 项、第 4.3.7 项：</w:t>
      </w:r>
    </w:p>
    <w:p w14:paraId="23A82398">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4.3.6 发包人对承包人与分包人之间的法律与经济纠纷不承担任何责任和义务。</w:t>
      </w:r>
    </w:p>
    <w:p w14:paraId="1D9DCC17">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4.3.7 本项目的各项分包工作均应遵守《公路工程施工分包管理办法》的有关规定。</w:t>
      </w:r>
    </w:p>
    <w:p w14:paraId="4F51EE41">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82" w:name="_bookmark174"/>
      <w:bookmarkEnd w:id="82"/>
      <w:bookmarkStart w:id="83" w:name="_Toc120442995"/>
      <w:bookmarkStart w:id="84" w:name="_Toc139463539"/>
      <w:bookmarkStart w:id="85" w:name="_Toc139462740"/>
      <w:bookmarkStart w:id="86" w:name="_Toc139464304"/>
      <w:r>
        <w:rPr>
          <w:rFonts w:hint="eastAsia" w:ascii="宋体" w:hAnsi="宋体" w:eastAsia="宋体" w:cs="宋体"/>
          <w:color w:val="0C0C0C"/>
          <w:sz w:val="22"/>
          <w:szCs w:val="24"/>
        </w:rPr>
        <w:t>4.4 联合体</w:t>
      </w:r>
      <w:bookmarkEnd w:id="83"/>
      <w:bookmarkEnd w:id="84"/>
      <w:bookmarkEnd w:id="85"/>
      <w:bookmarkEnd w:id="86"/>
    </w:p>
    <w:p w14:paraId="39038B91">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本款补充第4.4.4项：</w:t>
      </w:r>
    </w:p>
    <w:p w14:paraId="14036155">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4.4.4 未经发包人事先同意，联合体的组成与结构不得变动。</w:t>
      </w:r>
    </w:p>
    <w:p w14:paraId="1F117FB4">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87" w:name="_bookmark175"/>
      <w:bookmarkEnd w:id="87"/>
      <w:bookmarkStart w:id="88" w:name="_Toc120442996"/>
      <w:bookmarkStart w:id="89" w:name="_Toc139464305"/>
      <w:bookmarkStart w:id="90" w:name="_Toc139462741"/>
      <w:bookmarkStart w:id="91" w:name="_Toc139463540"/>
      <w:r>
        <w:rPr>
          <w:rFonts w:hint="eastAsia" w:ascii="宋体" w:hAnsi="宋体" w:eastAsia="宋体" w:cs="宋体"/>
          <w:color w:val="0C0C0C"/>
          <w:sz w:val="22"/>
          <w:szCs w:val="24"/>
        </w:rPr>
        <w:t>4.6 承包人人员的管理</w:t>
      </w:r>
      <w:bookmarkEnd w:id="88"/>
      <w:bookmarkEnd w:id="89"/>
      <w:bookmarkEnd w:id="90"/>
      <w:bookmarkEnd w:id="91"/>
    </w:p>
    <w:p w14:paraId="49DA0C04">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bookmarkStart w:id="92" w:name="_Toc6618"/>
      <w:r>
        <w:rPr>
          <w:rFonts w:hint="eastAsia" w:ascii="宋体" w:hAnsi="宋体" w:eastAsia="宋体" w:cs="宋体"/>
          <w:color w:val="0C0C0C"/>
          <w:szCs w:val="24"/>
        </w:rPr>
        <w:t>第4.6.3项细化为：</w:t>
      </w:r>
      <w:bookmarkEnd w:id="92"/>
    </w:p>
    <w:p w14:paraId="77066A93">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承包人安排在施工场地的主要管理人员和技术骨干应与承包人承诺的名单一致，并保持相对稳定。未经监理人批准，上述人员不应无故不到位或被替换；若确实无法到位或需替换，需经监理人审核并报发包人批准后，用同等资质和经历的人员替换。</w:t>
      </w:r>
    </w:p>
    <w:p w14:paraId="2A3FF624">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本款补充第4.6.5项：</w:t>
      </w:r>
    </w:p>
    <w:p w14:paraId="5307B72A">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4.6.5 尽管承包人已按承诺派遣了上述各类人员，但若这些人员仍不能满足合同进度计划和（或）质量要求时，监理人有权要求承包人继续增派或雇用这类人员， 并书面通知承包人和抄送发包人。承包人在接到上述通知后应立即执行监理人的上述指示，不得无故拖延，由此增加的费用和（或）工期延误由承包人承担。</w:t>
      </w:r>
    </w:p>
    <w:p w14:paraId="0ADF7035">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93" w:name="_bookmark176"/>
      <w:bookmarkEnd w:id="93"/>
      <w:bookmarkStart w:id="94" w:name="_Toc120442997"/>
      <w:bookmarkStart w:id="95" w:name="_Toc139463541"/>
      <w:bookmarkStart w:id="96" w:name="_Toc139464306"/>
      <w:bookmarkStart w:id="97" w:name="_Toc139462742"/>
      <w:r>
        <w:rPr>
          <w:rFonts w:hint="eastAsia" w:ascii="宋体" w:hAnsi="宋体" w:eastAsia="宋体" w:cs="宋体"/>
          <w:color w:val="0C0C0C"/>
          <w:sz w:val="22"/>
          <w:szCs w:val="24"/>
        </w:rPr>
        <w:t>4.7 撤换承包人项目经理和其他人员</w:t>
      </w:r>
      <w:bookmarkEnd w:id="94"/>
      <w:bookmarkEnd w:id="95"/>
      <w:bookmarkEnd w:id="96"/>
      <w:bookmarkEnd w:id="97"/>
    </w:p>
    <w:p w14:paraId="39CBFC1B">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本款细化为：</w:t>
      </w:r>
    </w:p>
    <w:p w14:paraId="7E756015">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承包人应对其项目经理和其他人员进行有效管理。监理人要求撤换不能胜任本职工作、行为不端或玩忽职守的承包人项目经理和其他人员的，承包人应予以撤换，同时委派经发包人与监理人同意的新的项目经理和其他人员。</w:t>
      </w:r>
    </w:p>
    <w:p w14:paraId="1164129C">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98" w:name="_bookmark177"/>
      <w:bookmarkEnd w:id="98"/>
      <w:bookmarkStart w:id="99" w:name="_Toc139462743"/>
      <w:bookmarkStart w:id="100" w:name="_Toc139463542"/>
      <w:bookmarkStart w:id="101" w:name="_Toc120442998"/>
      <w:bookmarkStart w:id="102" w:name="_Toc139464307"/>
      <w:r>
        <w:rPr>
          <w:rFonts w:hint="eastAsia" w:ascii="宋体" w:hAnsi="宋体" w:eastAsia="宋体" w:cs="宋体"/>
          <w:color w:val="0C0C0C"/>
          <w:sz w:val="22"/>
          <w:szCs w:val="24"/>
        </w:rPr>
        <w:t>4.9 工程价款应专款专用</w:t>
      </w:r>
      <w:bookmarkEnd w:id="99"/>
      <w:bookmarkEnd w:id="100"/>
      <w:bookmarkEnd w:id="101"/>
      <w:bookmarkEnd w:id="102"/>
    </w:p>
    <w:p w14:paraId="21D20708">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本款细化为：</w:t>
      </w:r>
    </w:p>
    <w:p w14:paraId="30A654F1">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发包人按合同约定支付给承包人的各项价款应专用于合同工程。承包人必须在发包人指定的银行开户，并与发包人、银行共同签订《工程资金监管协议》，接受发包人和银行对资金的监管。承包人应向发包人授权进行本合同工程开户银行工程资金的查询。发包人支付的工程进度款应为本工程的专款专用资金，不得转移或用于其他工程。发包人的期中支付款将转入该银行所设的专门账户，发包人及其派出机构有权不定期对承包人工程资金使用情况进行检查，发现问题及时责令承包人限期改正，否则，将终止月支付，直至承包人改正为止。</w:t>
      </w:r>
    </w:p>
    <w:p w14:paraId="34BB5BE8">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103" w:name="_bookmark178"/>
      <w:bookmarkEnd w:id="103"/>
      <w:bookmarkStart w:id="104" w:name="_Toc139464308"/>
      <w:bookmarkStart w:id="105" w:name="_Toc139462744"/>
      <w:bookmarkStart w:id="106" w:name="_Toc139463543"/>
      <w:bookmarkStart w:id="107" w:name="_Toc120442999"/>
      <w:r>
        <w:rPr>
          <w:rFonts w:hint="eastAsia" w:ascii="宋体" w:hAnsi="宋体" w:eastAsia="宋体" w:cs="宋体"/>
          <w:color w:val="0C0C0C"/>
          <w:sz w:val="22"/>
          <w:szCs w:val="24"/>
        </w:rPr>
        <w:t>4.10 承包人现场查勘</w:t>
      </w:r>
      <w:bookmarkEnd w:id="104"/>
      <w:bookmarkEnd w:id="105"/>
      <w:bookmarkEnd w:id="106"/>
      <w:bookmarkEnd w:id="107"/>
    </w:p>
    <w:p w14:paraId="4B171488">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bookmarkStart w:id="108" w:name="_Toc20865"/>
      <w:r>
        <w:rPr>
          <w:rFonts w:hint="eastAsia" w:ascii="宋体" w:hAnsi="宋体" w:eastAsia="宋体" w:cs="宋体"/>
          <w:color w:val="0C0C0C"/>
          <w:szCs w:val="24"/>
        </w:rPr>
        <w:t>第4.10.1项细化为：</w:t>
      </w:r>
      <w:bookmarkEnd w:id="108"/>
    </w:p>
    <w:p w14:paraId="4D022EA0">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发包人提供的本合同工程的水文、地质、气象和料场分布、取土场、弃土场位置等资料均属于参考资料，并不构成合同文件的组成部分，承包人应对自己就上述资料的解释、推论和应用负责，发包人不对承包人据此作出的判断和决策承担任何责任。</w:t>
      </w:r>
    </w:p>
    <w:p w14:paraId="76993CE9">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109" w:name="_bookmark179"/>
      <w:bookmarkEnd w:id="109"/>
      <w:bookmarkStart w:id="110" w:name="_Toc139463544"/>
      <w:bookmarkStart w:id="111" w:name="_Toc120443000"/>
      <w:bookmarkStart w:id="112" w:name="_Toc139464309"/>
      <w:bookmarkStart w:id="113" w:name="_Toc139462745"/>
      <w:r>
        <w:rPr>
          <w:rFonts w:hint="eastAsia" w:ascii="宋体" w:hAnsi="宋体" w:eastAsia="宋体" w:cs="宋体"/>
          <w:color w:val="0C0C0C"/>
          <w:sz w:val="22"/>
          <w:szCs w:val="24"/>
        </w:rPr>
        <w:t>4.11 不利物质条件</w:t>
      </w:r>
      <w:bookmarkEnd w:id="110"/>
      <w:bookmarkEnd w:id="111"/>
      <w:bookmarkEnd w:id="112"/>
      <w:bookmarkEnd w:id="113"/>
    </w:p>
    <w:p w14:paraId="01A46F46">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bookmarkStart w:id="114" w:name="_Toc19336"/>
      <w:r>
        <w:rPr>
          <w:rFonts w:hint="eastAsia" w:ascii="宋体" w:hAnsi="宋体" w:eastAsia="宋体" w:cs="宋体"/>
          <w:color w:val="0C0C0C"/>
          <w:szCs w:val="24"/>
        </w:rPr>
        <w:t>第4.11.2项细化为：</w:t>
      </w:r>
      <w:bookmarkEnd w:id="114"/>
    </w:p>
    <w:p w14:paraId="2809A57D">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4.11.2 承包人遇到不可预见的不利物质条件时，应采取适应不利物质条件的合理措施继续施工，并及时通知监理人。监理人应当及时发出指示，指示构成变更的， 按第 15 条约定办理。监理人没有发出指示的，承包人因采取合理措施而增加的费用和（或）工期延误，由发包人承担。</w:t>
      </w:r>
    </w:p>
    <w:p w14:paraId="082A3A19">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本款补充第4.11.3项：</w:t>
      </w:r>
    </w:p>
    <w:p w14:paraId="610A5620">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4.11.3可预见的不利物质条件</w:t>
      </w:r>
    </w:p>
    <w:p w14:paraId="20349AF9">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（1）对于项目专用合同条款中已经明确指出的不利物质条件无论承包人是否有其经历和经验均视为承包人在接受合同时已预见其影响，并已在签约合同价中计入因其影响而可能发生的一切费用。</w:t>
      </w:r>
    </w:p>
    <w:p w14:paraId="56CDBCA0">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（2）对于项目专用合同条款未明确指出，但是在不利物质条件发生之前，监理人已经指示承包人有可能发生，但承包人未能及时采取有效措施，而导致的损失和后果均由承包人承担。</w:t>
      </w:r>
    </w:p>
    <w:p w14:paraId="54DE369F">
      <w:pPr>
        <w:pStyle w:val="11"/>
        <w:widowControl w:val="0"/>
        <w:tabs>
          <w:tab w:val="left" w:pos="1901"/>
        </w:tabs>
        <w:autoSpaceDE w:val="0"/>
        <w:autoSpaceDN w:val="0"/>
        <w:spacing w:after="0"/>
        <w:ind w:left="0" w:firstLine="440" w:firstLineChars="200"/>
        <w:rPr>
          <w:rFonts w:hint="eastAsia" w:ascii="宋体" w:hAnsi="宋体" w:eastAsia="宋体" w:cs="宋体"/>
          <w:color w:val="0C0C0C"/>
        </w:rPr>
      </w:pPr>
      <w:r>
        <w:rPr>
          <w:rFonts w:hint="eastAsia" w:ascii="宋体" w:hAnsi="宋体" w:eastAsia="宋体" w:cs="宋体"/>
          <w:color w:val="0C0C0C"/>
          <w:szCs w:val="24"/>
        </w:rPr>
        <w:t>补充第4.12款、第4.13款</w:t>
      </w:r>
      <w:r>
        <w:rPr>
          <w:rFonts w:hint="eastAsia" w:ascii="宋体" w:hAnsi="宋体" w:eastAsia="宋体" w:cs="宋体"/>
          <w:color w:val="0C0C0C"/>
        </w:rPr>
        <w:t>：</w:t>
      </w:r>
    </w:p>
    <w:p w14:paraId="365A3354">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115" w:name="_bookmark180"/>
      <w:bookmarkEnd w:id="115"/>
      <w:bookmarkStart w:id="116" w:name="_Toc139463545"/>
      <w:bookmarkStart w:id="117" w:name="_Toc139464310"/>
      <w:bookmarkStart w:id="118" w:name="_Toc120443001"/>
      <w:bookmarkStart w:id="119" w:name="_Toc139462746"/>
      <w:r>
        <w:rPr>
          <w:rFonts w:hint="eastAsia" w:ascii="宋体" w:hAnsi="宋体" w:eastAsia="宋体" w:cs="宋体"/>
          <w:color w:val="0C0C0C"/>
          <w:sz w:val="22"/>
          <w:szCs w:val="24"/>
        </w:rPr>
        <w:t>4.12 投标文件的完备性</w:t>
      </w:r>
      <w:bookmarkEnd w:id="116"/>
      <w:bookmarkEnd w:id="117"/>
      <w:bookmarkEnd w:id="118"/>
      <w:bookmarkEnd w:id="119"/>
    </w:p>
    <w:p w14:paraId="4B7E0D8B">
      <w:pPr>
        <w:pStyle w:val="11"/>
        <w:widowControl w:val="0"/>
        <w:tabs>
          <w:tab w:val="left" w:pos="1901"/>
        </w:tabs>
        <w:autoSpaceDE w:val="0"/>
        <w:autoSpaceDN w:val="0"/>
        <w:spacing w:after="0"/>
        <w:ind w:left="0" w:firstLine="440" w:firstLineChars="200"/>
        <w:rPr>
          <w:rFonts w:hint="eastAsia" w:ascii="宋体" w:hAnsi="宋体" w:eastAsia="宋体" w:cs="宋体"/>
          <w:color w:val="0C0C0C"/>
        </w:rPr>
      </w:pPr>
      <w:r>
        <w:rPr>
          <w:rFonts w:hint="eastAsia" w:ascii="宋体" w:hAnsi="宋体" w:eastAsia="宋体" w:cs="宋体"/>
          <w:color w:val="0C0C0C"/>
          <w:szCs w:val="24"/>
        </w:rPr>
        <w:t>合同双方一致认为，承包人在递交投标文件前，对本合同工程的投标文件和已标价工程量清单中开列的单价和总额价已查明是正确的和完备的。投标的单价和总额价应已包括了合同中规定的承包人的全部义务（包括提供货物、材料、设备、服务的义务，并包括了暂列金额和暂估价范围内的额外工作的义务）以及为实施和完成本合同工程及其缺陷修复所必需的一切工作和条件。</w:t>
      </w:r>
    </w:p>
    <w:p w14:paraId="11CADBFB">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120" w:name="_bookmark181"/>
      <w:bookmarkEnd w:id="120"/>
      <w:bookmarkStart w:id="121" w:name="_Toc120443002"/>
      <w:bookmarkStart w:id="122" w:name="_Toc139464311"/>
      <w:bookmarkStart w:id="123" w:name="_Toc139463546"/>
      <w:bookmarkStart w:id="124" w:name="_Toc139462747"/>
      <w:r>
        <w:rPr>
          <w:rFonts w:hint="eastAsia" w:ascii="宋体" w:hAnsi="宋体" w:eastAsia="宋体" w:cs="宋体"/>
          <w:color w:val="0C0C0C"/>
          <w:sz w:val="22"/>
          <w:szCs w:val="24"/>
        </w:rPr>
        <w:t>4.13 开展党建工作要求</w:t>
      </w:r>
      <w:bookmarkEnd w:id="121"/>
      <w:bookmarkEnd w:id="122"/>
      <w:bookmarkEnd w:id="123"/>
      <w:bookmarkEnd w:id="124"/>
    </w:p>
    <w:p w14:paraId="4221A98C">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对于政府投资的国家高速公路项目，或承包人为国有控股或参股企业的，承包人应按规定在项目现场设立基层党组织。不满足上述情形的，承包人应创造条件使党员能够参加党组织生活并接受相应管理。</w:t>
      </w:r>
    </w:p>
    <w:p w14:paraId="28E75E0A">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承包人在项目现场设立基层党组织的，应明确党组织机构设置、党组织负责人及党务工作人员配备情况，编制党务工作开展预案，并按照预案要求在项目实施过程中同步开展党务工作，充分发挥基层党组织在项目实施中的作用。</w:t>
      </w:r>
    </w:p>
    <w:p w14:paraId="030BC589">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125" w:name="_bookmark182"/>
      <w:bookmarkEnd w:id="125"/>
      <w:bookmarkStart w:id="126" w:name="_Toc139462748"/>
      <w:bookmarkStart w:id="127" w:name="_Toc139463547"/>
      <w:bookmarkStart w:id="128" w:name="_Toc139464312"/>
      <w:bookmarkStart w:id="129" w:name="_Toc120443003"/>
      <w:r>
        <w:rPr>
          <w:rFonts w:hint="eastAsia" w:ascii="宋体" w:hAnsi="宋体" w:eastAsia="宋体" w:cs="宋体"/>
          <w:color w:val="0C0C0C"/>
          <w:sz w:val="22"/>
          <w:szCs w:val="24"/>
        </w:rPr>
        <w:t>5.材料和工程设备</w:t>
      </w:r>
      <w:bookmarkEnd w:id="126"/>
      <w:bookmarkEnd w:id="127"/>
      <w:bookmarkEnd w:id="128"/>
      <w:bookmarkEnd w:id="129"/>
    </w:p>
    <w:p w14:paraId="34128173">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130" w:name="_bookmark183"/>
      <w:bookmarkEnd w:id="130"/>
      <w:bookmarkStart w:id="131" w:name="_Toc139462749"/>
      <w:bookmarkStart w:id="132" w:name="_Toc139464313"/>
      <w:bookmarkStart w:id="133" w:name="_Toc139463548"/>
      <w:bookmarkStart w:id="134" w:name="_Toc120443004"/>
      <w:r>
        <w:rPr>
          <w:rFonts w:hint="eastAsia" w:ascii="宋体" w:hAnsi="宋体" w:eastAsia="宋体" w:cs="宋体"/>
          <w:color w:val="0C0C0C"/>
          <w:sz w:val="22"/>
          <w:szCs w:val="24"/>
        </w:rPr>
        <w:t>5.2 发包人提供的材料和工程设备</w:t>
      </w:r>
      <w:bookmarkEnd w:id="131"/>
      <w:bookmarkEnd w:id="132"/>
      <w:bookmarkEnd w:id="133"/>
      <w:bookmarkEnd w:id="134"/>
    </w:p>
    <w:p w14:paraId="32199C0A">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bookmarkStart w:id="135" w:name="_Toc11242"/>
      <w:r>
        <w:rPr>
          <w:rFonts w:hint="eastAsia" w:ascii="宋体" w:hAnsi="宋体" w:eastAsia="宋体" w:cs="宋体"/>
          <w:color w:val="0C0C0C"/>
          <w:szCs w:val="24"/>
        </w:rPr>
        <w:t>第5.2.3项补充：</w:t>
      </w:r>
      <w:bookmarkEnd w:id="135"/>
    </w:p>
    <w:p w14:paraId="27132290">
      <w:pPr>
        <w:pStyle w:val="11"/>
        <w:widowControl w:val="0"/>
        <w:tabs>
          <w:tab w:val="left" w:pos="1901"/>
        </w:tabs>
        <w:autoSpaceDE w:val="0"/>
        <w:autoSpaceDN w:val="0"/>
        <w:spacing w:after="0"/>
        <w:ind w:left="0" w:firstLine="440" w:firstLineChars="200"/>
        <w:rPr>
          <w:rFonts w:hint="eastAsia" w:ascii="宋体" w:hAnsi="宋体" w:eastAsia="宋体" w:cs="宋体"/>
          <w:color w:val="0C0C0C"/>
        </w:rPr>
      </w:pPr>
      <w:r>
        <w:rPr>
          <w:rFonts w:hint="eastAsia" w:ascii="宋体" w:hAnsi="宋体" w:eastAsia="宋体" w:cs="宋体"/>
          <w:color w:val="0C0C0C"/>
          <w:szCs w:val="24"/>
        </w:rPr>
        <w:t>承包人负责接收并按规定对材料进行抽样检验和对工程设备进行检验测试，若发现材料和工程设备存在缺陷，承包人应及时通知监理人，发包人应及时改正通知中指出的缺陷。承包人负责接收后的运输和保管，因承包人的原因发生丢失、损坏或进度拖延，由承包人承担相应责任。</w:t>
      </w:r>
    </w:p>
    <w:p w14:paraId="3DFF34A8">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136" w:name="_bookmark184"/>
      <w:bookmarkEnd w:id="136"/>
      <w:bookmarkStart w:id="137" w:name="_Toc139463549"/>
      <w:bookmarkStart w:id="138" w:name="_Toc139464314"/>
      <w:bookmarkStart w:id="139" w:name="_Toc139462750"/>
      <w:bookmarkStart w:id="140" w:name="_Toc120443005"/>
      <w:r>
        <w:rPr>
          <w:rFonts w:hint="eastAsia" w:ascii="宋体" w:hAnsi="宋体" w:eastAsia="宋体" w:cs="宋体"/>
          <w:color w:val="0C0C0C"/>
          <w:sz w:val="22"/>
          <w:szCs w:val="24"/>
        </w:rPr>
        <w:t>6.施工设备和临时设施</w:t>
      </w:r>
      <w:bookmarkEnd w:id="137"/>
      <w:bookmarkEnd w:id="138"/>
      <w:bookmarkEnd w:id="139"/>
      <w:bookmarkEnd w:id="140"/>
    </w:p>
    <w:p w14:paraId="2EA9B4D0">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141" w:name="_bookmark185"/>
      <w:bookmarkEnd w:id="141"/>
      <w:bookmarkStart w:id="142" w:name="_Toc139463550"/>
      <w:bookmarkStart w:id="143" w:name="_Toc120443006"/>
      <w:bookmarkStart w:id="144" w:name="_Toc139464315"/>
      <w:bookmarkStart w:id="145" w:name="_Toc139462751"/>
      <w:r>
        <w:rPr>
          <w:rFonts w:hint="eastAsia" w:ascii="宋体" w:hAnsi="宋体" w:eastAsia="宋体" w:cs="宋体"/>
          <w:color w:val="0C0C0C"/>
          <w:sz w:val="22"/>
          <w:szCs w:val="24"/>
        </w:rPr>
        <w:t>6.1 承包人提供的施工设备和临时设施</w:t>
      </w:r>
      <w:bookmarkEnd w:id="142"/>
      <w:bookmarkEnd w:id="143"/>
      <w:bookmarkEnd w:id="144"/>
      <w:bookmarkEnd w:id="145"/>
    </w:p>
    <w:p w14:paraId="3441A8FC">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bookmarkStart w:id="146" w:name="_Toc19214"/>
      <w:r>
        <w:rPr>
          <w:rFonts w:hint="eastAsia" w:ascii="宋体" w:hAnsi="宋体" w:eastAsia="宋体" w:cs="宋体"/>
          <w:color w:val="0C0C0C"/>
          <w:szCs w:val="24"/>
        </w:rPr>
        <w:t>第6.1.2项约定为：</w:t>
      </w:r>
      <w:bookmarkEnd w:id="146"/>
    </w:p>
    <w:p w14:paraId="5B486B5F">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承包人应自行承担修建临时设施的费用，需要临时占地的，应由承包人按第4.1.10项（1）目的规定办理。</w:t>
      </w:r>
    </w:p>
    <w:p w14:paraId="26AEBF4B">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147" w:name="_bookmark186"/>
      <w:bookmarkEnd w:id="147"/>
      <w:bookmarkStart w:id="148" w:name="_Toc139463551"/>
      <w:bookmarkStart w:id="149" w:name="_Toc139464316"/>
      <w:bookmarkStart w:id="150" w:name="_Toc120443007"/>
      <w:bookmarkStart w:id="151" w:name="_Toc139462752"/>
      <w:r>
        <w:rPr>
          <w:rFonts w:hint="eastAsia" w:ascii="宋体" w:hAnsi="宋体" w:eastAsia="宋体" w:cs="宋体"/>
          <w:color w:val="0C0C0C"/>
          <w:sz w:val="22"/>
          <w:szCs w:val="24"/>
        </w:rPr>
        <w:t>6.3 要求承包人增加或更换施工设备</w:t>
      </w:r>
      <w:bookmarkEnd w:id="148"/>
      <w:bookmarkEnd w:id="149"/>
      <w:bookmarkEnd w:id="150"/>
      <w:bookmarkEnd w:id="151"/>
    </w:p>
    <w:p w14:paraId="77002DF7">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本款细化为：</w:t>
      </w:r>
    </w:p>
    <w:p w14:paraId="20C3B67C">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承包人承诺的施工设备必须按时到达现场，不得拖延、缺短或任意更换。尽管承包人已按承诺提供了上述设备，但若承包人使用的施工设备不能满足合同进度计划和（或）质量要求时，监理人有权要求承包人增加或更换施工设备，承包人应及时增加或更换，由此增加的费用和（或）工期延误由承包人承担。</w:t>
      </w:r>
    </w:p>
    <w:p w14:paraId="71A8BE07">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152" w:name="_bookmark187"/>
      <w:bookmarkEnd w:id="152"/>
      <w:bookmarkStart w:id="153" w:name="_Toc139463552"/>
      <w:bookmarkStart w:id="154" w:name="_Toc139464317"/>
      <w:bookmarkStart w:id="155" w:name="_Toc120443008"/>
      <w:bookmarkStart w:id="156" w:name="_Toc139462753"/>
      <w:r>
        <w:rPr>
          <w:rFonts w:hint="eastAsia" w:ascii="宋体" w:hAnsi="宋体" w:eastAsia="宋体" w:cs="宋体"/>
          <w:color w:val="0C0C0C"/>
          <w:sz w:val="22"/>
          <w:szCs w:val="24"/>
        </w:rPr>
        <w:t>7.交通运输</w:t>
      </w:r>
      <w:bookmarkEnd w:id="153"/>
      <w:bookmarkEnd w:id="154"/>
      <w:bookmarkEnd w:id="155"/>
      <w:bookmarkEnd w:id="156"/>
    </w:p>
    <w:p w14:paraId="6EABD376">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157" w:name="_bookmark188"/>
      <w:bookmarkEnd w:id="157"/>
      <w:bookmarkStart w:id="158" w:name="_Toc139462754"/>
      <w:bookmarkStart w:id="159" w:name="_Toc120443009"/>
      <w:bookmarkStart w:id="160" w:name="_Toc139464318"/>
      <w:bookmarkStart w:id="161" w:name="_Toc139463553"/>
      <w:r>
        <w:rPr>
          <w:rFonts w:hint="eastAsia" w:ascii="宋体" w:hAnsi="宋体" w:eastAsia="宋体" w:cs="宋体"/>
          <w:color w:val="0C0C0C"/>
          <w:sz w:val="22"/>
          <w:szCs w:val="24"/>
        </w:rPr>
        <w:t>7.1 道路通行权和场外设施</w:t>
      </w:r>
      <w:bookmarkEnd w:id="158"/>
      <w:bookmarkEnd w:id="159"/>
      <w:bookmarkEnd w:id="160"/>
      <w:bookmarkEnd w:id="161"/>
    </w:p>
    <w:p w14:paraId="3E521F0A">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本款约定为：</w:t>
      </w:r>
    </w:p>
    <w:p w14:paraId="4BBFD16C">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承包人应根据合同工程的施工需要，负责办理取得出入施工场地的专用和临时道路的通行权，以及取得为工程建设所需修建场外设施的权利，并承担有关费用。需要发包人协调时，发包人应协助承包人办理相关手续。</w:t>
      </w:r>
    </w:p>
    <w:p w14:paraId="277035F1">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162" w:name="_bookmark189"/>
      <w:bookmarkEnd w:id="162"/>
      <w:bookmarkStart w:id="163" w:name="_Toc120443010"/>
      <w:bookmarkStart w:id="164" w:name="_Toc139463554"/>
      <w:bookmarkStart w:id="165" w:name="_Toc139462755"/>
      <w:bookmarkStart w:id="166" w:name="_Toc139464319"/>
      <w:r>
        <w:rPr>
          <w:rFonts w:hint="eastAsia" w:ascii="宋体" w:hAnsi="宋体" w:eastAsia="宋体" w:cs="宋体"/>
          <w:color w:val="0C0C0C"/>
          <w:sz w:val="22"/>
          <w:szCs w:val="24"/>
        </w:rPr>
        <w:t>8.测量放线</w:t>
      </w:r>
      <w:bookmarkEnd w:id="163"/>
      <w:bookmarkEnd w:id="164"/>
      <w:bookmarkEnd w:id="165"/>
      <w:bookmarkEnd w:id="166"/>
    </w:p>
    <w:p w14:paraId="1F3620D5">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167" w:name="_bookmark190"/>
      <w:bookmarkEnd w:id="167"/>
      <w:bookmarkStart w:id="168" w:name="_Toc139462756"/>
      <w:bookmarkStart w:id="169" w:name="_Toc139463555"/>
      <w:bookmarkStart w:id="170" w:name="_Toc139464320"/>
      <w:bookmarkStart w:id="171" w:name="_Toc120443011"/>
      <w:r>
        <w:rPr>
          <w:rFonts w:hint="eastAsia" w:ascii="宋体" w:hAnsi="宋体" w:eastAsia="宋体" w:cs="宋体"/>
          <w:color w:val="0C0C0C"/>
          <w:sz w:val="22"/>
          <w:szCs w:val="24"/>
        </w:rPr>
        <w:t>8.4 监理人使用施工控制网</w:t>
      </w:r>
      <w:bookmarkEnd w:id="168"/>
      <w:bookmarkEnd w:id="169"/>
      <w:bookmarkEnd w:id="170"/>
      <w:bookmarkEnd w:id="171"/>
    </w:p>
    <w:p w14:paraId="278A3D65">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本款补充：</w:t>
      </w:r>
    </w:p>
    <w:p w14:paraId="66B29FAA">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经监理人批准，其他相关承包人也可免费使用施工控制网。</w:t>
      </w:r>
    </w:p>
    <w:p w14:paraId="4B825FBE">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172" w:name="_bookmark191"/>
      <w:bookmarkEnd w:id="172"/>
      <w:bookmarkStart w:id="173" w:name="_Toc120443012"/>
      <w:bookmarkStart w:id="174" w:name="_Toc139462757"/>
      <w:bookmarkStart w:id="175" w:name="_Toc139463556"/>
      <w:bookmarkStart w:id="176" w:name="_Toc139464321"/>
      <w:r>
        <w:rPr>
          <w:rFonts w:hint="eastAsia" w:ascii="宋体" w:hAnsi="宋体" w:eastAsia="宋体" w:cs="宋体"/>
          <w:color w:val="0C0C0C"/>
          <w:sz w:val="22"/>
          <w:szCs w:val="24"/>
        </w:rPr>
        <w:t>9.施工安全、治安保卫和环境保护</w:t>
      </w:r>
      <w:bookmarkEnd w:id="173"/>
      <w:bookmarkEnd w:id="174"/>
      <w:bookmarkEnd w:id="175"/>
      <w:bookmarkEnd w:id="176"/>
    </w:p>
    <w:p w14:paraId="6569A6D5">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177" w:name="_bookmark192"/>
      <w:bookmarkEnd w:id="177"/>
      <w:bookmarkStart w:id="178" w:name="_Toc120443013"/>
      <w:bookmarkStart w:id="179" w:name="_Toc139463557"/>
      <w:bookmarkStart w:id="180" w:name="_Toc139462758"/>
      <w:bookmarkStart w:id="181" w:name="_Toc139464322"/>
      <w:r>
        <w:rPr>
          <w:rFonts w:hint="eastAsia" w:ascii="宋体" w:hAnsi="宋体" w:eastAsia="宋体" w:cs="宋体"/>
          <w:color w:val="0C0C0C"/>
          <w:sz w:val="22"/>
          <w:szCs w:val="24"/>
        </w:rPr>
        <w:t>9.2 承包人的施工安全责任</w:t>
      </w:r>
      <w:bookmarkEnd w:id="178"/>
      <w:bookmarkEnd w:id="179"/>
      <w:bookmarkEnd w:id="180"/>
      <w:bookmarkEnd w:id="181"/>
    </w:p>
    <w:p w14:paraId="1BEAA59D">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bookmarkStart w:id="182" w:name="_Toc27059"/>
      <w:r>
        <w:rPr>
          <w:rFonts w:hint="eastAsia" w:ascii="宋体" w:hAnsi="宋体" w:eastAsia="宋体" w:cs="宋体"/>
          <w:color w:val="0C0C0C"/>
          <w:szCs w:val="24"/>
        </w:rPr>
        <w:t>第9.2.1项细化为：</w:t>
      </w:r>
      <w:bookmarkEnd w:id="182"/>
    </w:p>
    <w:p w14:paraId="5ACE4024">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承包人应按合同约定履行安全职责，严格执行国家、地方政府有关施工安全管理方面的法律、法规及规章制度，同时严格执行发包人制订的本项目安全生产管理方面的规章制度、安全检查程序及施工安全管理要求，以及监理人有关安全工作的指示。</w:t>
      </w:r>
    </w:p>
    <w:p w14:paraId="357A24DA">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承包人应根据本工程的实际安全施工要求，编制施工安全技术措施，并在签订合同协议书后 28天内，报监理人和发包人批准。该施工安全技术措施包括（但不限于）施工安全保障体系，安全生产责任制，安全生产管理规章制度，安全防护施工方案，施工现场临时用电方案，施工安全评估，安全预控及保证措施方案，紧急应变措施，安全标识、警示和围护方案等。对影响安全的重要工序和下列危险性较大的工程应编制专项施工方案，并附安全验算结果，经承包人项目总工签字并报监理人和发包人批准后实施，由专职安全生产管理人员进行现场监督。</w:t>
      </w:r>
    </w:p>
    <w:p w14:paraId="188F5C3A">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本项目需要编制专项施工方案的工程包括但不限于以下内容：</w:t>
      </w:r>
    </w:p>
    <w:p w14:paraId="55825428">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（1）不良地质条件下有潜在危险性的土方、石方开挖；</w:t>
      </w:r>
    </w:p>
    <w:p w14:paraId="55D1DB86">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（2）滑坡和高边坡处理；</w:t>
      </w:r>
    </w:p>
    <w:p w14:paraId="6D3655FC">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（3）桩基础、挡墙基础、深水基础及围堰工程；</w:t>
      </w:r>
    </w:p>
    <w:p w14:paraId="4E7084CC">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（4）桥梁工程中的梁、拱、柱等构件施工等；</w:t>
      </w:r>
    </w:p>
    <w:p w14:paraId="47FDDAB4">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（5）隧道工程中的不良地质隧道、高瓦斯隧道等；</w:t>
      </w:r>
    </w:p>
    <w:p w14:paraId="30B16E82">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（6）水上工程中的打桩船作业、施工船作业、外海孤岛作业、边通航边施工作业等；</w:t>
      </w:r>
    </w:p>
    <w:p w14:paraId="7394ED40">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（7）水下工程中的水下焊接、混凝土浇筑、爆破工程等；</w:t>
      </w:r>
    </w:p>
    <w:p w14:paraId="32A67022">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（8）爆破工程；</w:t>
      </w:r>
    </w:p>
    <w:p w14:paraId="7A35ABC1">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（9）大型临时工程中的大型支架、模板、便桥的架设与拆除；桥梁、码头的加固与拆除；</w:t>
      </w:r>
    </w:p>
    <w:p w14:paraId="685590FC">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（10）其他危险性较大的工程。</w:t>
      </w:r>
    </w:p>
    <w:p w14:paraId="41D3C92C">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监理人和发包人在检查中发现有安全问题或有违反安全管理规章制度的情况时，可视为承包人违约，应按第22.1款的规定办理。</w:t>
      </w:r>
    </w:p>
    <w:p w14:paraId="2A605F10">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bookmarkStart w:id="183" w:name="_Toc8898"/>
      <w:r>
        <w:rPr>
          <w:rFonts w:hint="eastAsia" w:ascii="宋体" w:hAnsi="宋体" w:eastAsia="宋体" w:cs="宋体"/>
          <w:color w:val="0C0C0C"/>
          <w:szCs w:val="24"/>
        </w:rPr>
        <w:t>第9.2.5项细化为：</w:t>
      </w:r>
      <w:bookmarkEnd w:id="183"/>
    </w:p>
    <w:p w14:paraId="4FC8229C">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除项目专用合同条款另有约定外，</w:t>
      </w:r>
      <w:r>
        <w:rPr>
          <w:rFonts w:hint="eastAsia" w:ascii="宋体" w:hAnsi="宋体" w:eastAsia="宋体" w:cs="宋体"/>
          <w:color w:val="0C0C0C"/>
          <w:szCs w:val="24"/>
          <w:highlight w:val="none"/>
        </w:rPr>
        <w:t>安全生产费用应</w:t>
      </w:r>
      <w:r>
        <w:rPr>
          <w:rFonts w:hint="eastAsia" w:ascii="宋体" w:hAnsi="宋体" w:eastAsia="宋体" w:cs="宋体"/>
          <w:color w:val="0C0C0C"/>
          <w:szCs w:val="24"/>
          <w:highlight w:val="none"/>
          <w:lang w:val="en-US" w:eastAsia="zh-CN"/>
        </w:rPr>
        <w:t>为投标价（不含安全生产费及建筑工程一切险及第三者责任险的保险）的1.5%</w:t>
      </w:r>
      <w:r>
        <w:rPr>
          <w:rFonts w:hint="eastAsia" w:ascii="宋体" w:hAnsi="宋体" w:eastAsia="宋体" w:cs="宋体"/>
          <w:strike w:val="0"/>
          <w:dstrike w:val="0"/>
          <w:color w:val="0C0C0C"/>
          <w:szCs w:val="24"/>
          <w:highlight w:val="none"/>
          <w:lang w:val="en-US" w:eastAsia="zh-CN"/>
        </w:rPr>
        <w:t>（若发包人公布了最高投标限价时，按最高投标限价的1.5%计）</w:t>
      </w:r>
      <w:r>
        <w:rPr>
          <w:rFonts w:hint="eastAsia" w:ascii="宋体" w:hAnsi="宋体" w:eastAsia="宋体" w:cs="宋体"/>
          <w:strike w:val="0"/>
          <w:color w:val="0C0C0C"/>
          <w:szCs w:val="24"/>
          <w:highlight w:val="none"/>
        </w:rPr>
        <w:t>。安全生产费用应用于施工安全防护用具及设施的采购和更新、安全施工措施的落实、安全生产条件的改善，不得挪作他用</w:t>
      </w:r>
      <w:r>
        <w:rPr>
          <w:rFonts w:hint="eastAsia" w:ascii="宋体" w:hAnsi="宋体" w:eastAsia="宋体" w:cs="宋体"/>
          <w:strike w:val="0"/>
          <w:color w:val="0C0C0C"/>
          <w:szCs w:val="24"/>
          <w:highlight w:val="none"/>
          <w:lang w:eastAsia="zh-CN"/>
        </w:rPr>
        <w:t>。</w:t>
      </w:r>
      <w:r>
        <w:rPr>
          <w:rFonts w:hint="eastAsia" w:ascii="宋体" w:hAnsi="宋体" w:eastAsia="宋体" w:cs="宋体"/>
          <w:strike w:val="0"/>
          <w:color w:val="0C0C0C"/>
          <w:szCs w:val="24"/>
          <w:highlight w:val="none"/>
        </w:rPr>
        <w:t>如承</w:t>
      </w:r>
      <w:r>
        <w:rPr>
          <w:rFonts w:hint="eastAsia" w:ascii="宋体" w:hAnsi="宋体" w:eastAsia="宋体" w:cs="宋体"/>
          <w:color w:val="0C0C0C"/>
          <w:szCs w:val="24"/>
          <w:highlight w:val="none"/>
        </w:rPr>
        <w:t>包人在</w:t>
      </w:r>
      <w:r>
        <w:rPr>
          <w:rFonts w:hint="eastAsia" w:ascii="宋体" w:hAnsi="宋体" w:eastAsia="宋体" w:cs="宋体"/>
          <w:color w:val="0C0C0C"/>
          <w:szCs w:val="24"/>
        </w:rPr>
        <w:t>此基础上增加安全生产费用以满足项目施工需要，则承包人应在本项目工程量清单其他相关子目的单价或总额价中予以考虑，发包人不再另行支付。因采取合同未约定的特殊防护措施增加的费用，由监理人按第 3.5 款商定或确定。</w:t>
      </w:r>
    </w:p>
    <w:p w14:paraId="2E30DDC7">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本款补充第 9.2.8 项~第 9.2.11 项：</w:t>
      </w:r>
    </w:p>
    <w:p w14:paraId="40966DBB">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9.2.8承包人应充分关注和保障所有在现场工作的人员的安全，采取以下有效措施，使现场和本合同工程的实施保持有条不紊，以免使上述人员的安全受到威胁。</w:t>
      </w:r>
    </w:p>
    <w:p w14:paraId="084AD98D">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（1）按《公路水运工程安全生产监督管理办法》规定的最低数量和资质条件配备专职安全生产管理人员；</w:t>
      </w:r>
    </w:p>
    <w:p w14:paraId="47A4F8F6">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2）承包人的垂直运输机械作业人员、施工船舶作业人员、爆破作业人员、安装拆卸工、起重信号工、电工、焊工等国家规定的特种作业人员，必须按照国家规定经过专门的安全作业培训，并取得特种作业操作资格证书后，方可上岗作业；</w:t>
      </w:r>
    </w:p>
    <w:p w14:paraId="3AEE6699">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（3）所有施工机具设备和高空作业设备均应定期检查，并有安全员的签字记录；</w:t>
      </w:r>
    </w:p>
    <w:p w14:paraId="1EA03492">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（4）根据本合同各单位工程的施工特点，严格执行《公路水运工程安全生产监督管理办法》《公路工程施工安全技术规范》等有关规定。</w:t>
      </w:r>
    </w:p>
    <w:p w14:paraId="41DD4D22">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9.2.9 为了保护本合同工程免遭损坏，或为了现场附近和过往群众的安全与方便，在确有必要的时候和地方，或当监理人或有关主管部门要求时，承包人应自费提供照明、警卫、护栅、警告标志等安全防护设施。</w:t>
      </w:r>
    </w:p>
    <w:p w14:paraId="54E8F68A">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9.2.10 在通航水域施工时，承包人应与当地主管部门取得联系，设置必要的导航标志，及时发布航行通告，确保施工水域安全。</w:t>
      </w:r>
    </w:p>
    <w:p w14:paraId="0461711A">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9.2.11 在整个施工过程中对承包人采取的施工安全措施，发包人和监理人有权监督，并向承包人提出整改要求。如果由于承包人未能对其负责的上述事项采取各种必要的措施而导致或发生与此有关的人身伤亡、罚款、索赔、损失补偿、诉讼费用及其他一切责任应由承包人负责。</w:t>
      </w:r>
    </w:p>
    <w:p w14:paraId="3514A38A">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184" w:name="_bookmark193"/>
      <w:bookmarkEnd w:id="184"/>
      <w:bookmarkStart w:id="185" w:name="_Toc139464323"/>
      <w:bookmarkStart w:id="186" w:name="_Toc139462759"/>
      <w:bookmarkStart w:id="187" w:name="_Toc139463558"/>
      <w:bookmarkStart w:id="188" w:name="_Toc120443014"/>
      <w:r>
        <w:rPr>
          <w:rFonts w:hint="eastAsia" w:ascii="宋体" w:hAnsi="宋体" w:eastAsia="宋体" w:cs="宋体"/>
          <w:color w:val="0C0C0C"/>
          <w:sz w:val="22"/>
          <w:szCs w:val="24"/>
        </w:rPr>
        <w:t>9.4 环境保护</w:t>
      </w:r>
      <w:bookmarkEnd w:id="185"/>
      <w:bookmarkEnd w:id="186"/>
      <w:bookmarkEnd w:id="187"/>
      <w:bookmarkEnd w:id="188"/>
    </w:p>
    <w:p w14:paraId="29E91A64">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本款补充第 9.4.7 项~第 9.4.11 项，将绿色施工方案纳入施工组织要求，要严格落实生态环境保护措施：</w:t>
      </w:r>
    </w:p>
    <w:p w14:paraId="592B7205">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9.4.7 承包人应切实执行技术规范中有关环境保护方面的条款和规定。</w:t>
      </w:r>
    </w:p>
    <w:p w14:paraId="26486752">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1）对于来自施工机械和运输车辆的施工噪声，为保护施工人员的健康，应遵守《中华人民共和国环境噪声污染防治法》并依据《工业企业噪声卫生标准》合理安排工作人员轮流操作筑路机械，减少接触高噪声的时间，或间歇安排高噪声的工作。对距噪声源较近的施工人员，除采取使用防护耳塞或头盔等有效措施外，还应当缩短其劳动时间。同时，要注意对机械的经常性保养，尽量使其噪声降低到最低水平。为保护施工现场附近居民的夜间休息，对居民区 150m 以内的施工现场，施工时间应加以控制。</w:t>
      </w:r>
    </w:p>
    <w:p w14:paraId="58843A5F">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（2）对于公路施工中粉尘污染的主要污染源――灰土拌和、施工车辆和筑路机械运行及运输产生的扬尘，应采取有效措施减轻其对施工现场的大气污染，保护人民健康，如：</w:t>
      </w:r>
    </w:p>
    <w:p w14:paraId="20AA9D7B">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a.拌和设备应有较好的密封，或有防尘设备。</w:t>
      </w:r>
    </w:p>
    <w:p w14:paraId="4F82B246">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b.施工通道、沥青混凝土拌和站及灰土拌和站应经常进行洒水降尘。</w:t>
      </w:r>
    </w:p>
    <w:p w14:paraId="1FDA142F">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c.路面施工应注意保持水分，以免扬尘。</w:t>
      </w:r>
    </w:p>
    <w:p w14:paraId="061F2210">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d.隧道出渣和桥梁钻孔灌注桩施工时排出的泥浆要进行妥善处理，严禁向河流或农田排放。</w:t>
      </w:r>
    </w:p>
    <w:p w14:paraId="6A413BF2">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（3）采取可靠措施保证原有交通的正常通行，维持沿线村镇的居民饮水、农田灌溉、生产生活用电及通信等管线的正常使用。</w:t>
      </w:r>
    </w:p>
    <w:p w14:paraId="74F6CE21">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9.4.8 在整个施工过程中对承包人采取的环境保护措施，发包人和监理人有权监督，并向承包人提出整改要求。如果由于承包人未能对其负责的上述事项采取各种必要的措施而导致或发生与此有关的人身伤亡、罚款、索赔、损失补偿、诉讼费用及其他一切责任应由承包人负责。</w:t>
      </w:r>
    </w:p>
    <w:p w14:paraId="24EF87EE">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9.4.9 在施工期间，承包人应随时保持现场整洁，施工设备和材料、工程设备应整齐妥善存放和储存，废料与垃圾及不再需要的临时设施应及时从现场清除、拆除并运走。</w:t>
      </w:r>
    </w:p>
    <w:p w14:paraId="11AE2525">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9.4.10 在施工期间，承包人应严格遵守《关于在公路建设中实行最严格的耕地保护制度的若干意见》的相关规定，规范用地、科学用地、合理用地和节约用地。承包人应合理利用所占耕地地表的耕作层，用于重新造地；合理设置取土坑和弃土场，取土坑和弃土场的施工防护要符合要求，防止水土流失。承包人应严格控制临时占地数量，施工便道、各种料场、预制场要根据工程进度统筹考虑，尽可能设置在公路用地范围内或利用荒坡、废弃地解决，不得占用农田。施工过程中要采取有效措施防止污染农田，项目完工后承包人应将临时占地自费恢复到临时占地使用前的状况。</w:t>
      </w:r>
    </w:p>
    <w:p w14:paraId="26584E94">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9.4.11 承包人应严格按照国家有关法规要求，做好施工过程中的生态保护和水土保持工作。施工中要尽可能减少对原地面的扰动，减少对地面草木的破坏，需要爆破作业的，应按规定进行控爆设计。雨季填筑路基应随挖、随运、随填、随压， 要完善施工中的临时排水系统，加强施工便道的管理。取（弃）土场必须先挡后弃， 严禁在指定的取（弃）土场以外的地方乱挖乱弃。</w:t>
      </w:r>
    </w:p>
    <w:p w14:paraId="6CDFD67B">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189" w:name="_bookmark194"/>
      <w:bookmarkEnd w:id="189"/>
      <w:bookmarkStart w:id="190" w:name="_Toc139462760"/>
      <w:bookmarkStart w:id="191" w:name="_Toc120443015"/>
      <w:bookmarkStart w:id="192" w:name="_Toc139464324"/>
      <w:bookmarkStart w:id="193" w:name="_Toc139463559"/>
      <w:r>
        <w:rPr>
          <w:rFonts w:hint="eastAsia" w:ascii="宋体" w:hAnsi="宋体" w:eastAsia="宋体" w:cs="宋体"/>
          <w:color w:val="0C0C0C"/>
          <w:sz w:val="22"/>
          <w:szCs w:val="24"/>
        </w:rPr>
        <w:t>10 进度计划</w:t>
      </w:r>
      <w:bookmarkEnd w:id="190"/>
      <w:bookmarkEnd w:id="191"/>
      <w:bookmarkEnd w:id="192"/>
      <w:bookmarkEnd w:id="193"/>
    </w:p>
    <w:p w14:paraId="036E10E2">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194" w:name="_bookmark195"/>
      <w:bookmarkEnd w:id="194"/>
      <w:bookmarkStart w:id="195" w:name="_Toc139463560"/>
      <w:bookmarkStart w:id="196" w:name="_Toc139462761"/>
      <w:bookmarkStart w:id="197" w:name="_Toc139464325"/>
      <w:bookmarkStart w:id="198" w:name="_Toc120443016"/>
      <w:r>
        <w:rPr>
          <w:rFonts w:hint="eastAsia" w:ascii="宋体" w:hAnsi="宋体" w:eastAsia="宋体" w:cs="宋体"/>
          <w:color w:val="0C0C0C"/>
          <w:sz w:val="22"/>
          <w:szCs w:val="24"/>
        </w:rPr>
        <w:t>10.1 合同进度计划</w:t>
      </w:r>
      <w:bookmarkEnd w:id="195"/>
      <w:bookmarkEnd w:id="196"/>
      <w:bookmarkEnd w:id="197"/>
      <w:bookmarkEnd w:id="198"/>
    </w:p>
    <w:p w14:paraId="39D37F28">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本款补充：</w:t>
      </w:r>
    </w:p>
    <w:p w14:paraId="46249CBF">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承包人编制施工方案说明的内容见项目专用合同条款。</w:t>
      </w:r>
    </w:p>
    <w:p w14:paraId="7F6126E0">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承包人向监理人报送施工进度计划和施工方案说明的期限：签订合同协议书后28 天之内。</w:t>
      </w:r>
    </w:p>
    <w:p w14:paraId="24752E4C">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监理人应在14天内对承包人施工进度计划和施工方案说明予以批复或提出修改意见。</w:t>
      </w:r>
    </w:p>
    <w:p w14:paraId="3A6DFADB">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合同进度计划应按照关键线路网络图和主要工作横道图两种形式分别编绘，并应包括每月预计完成的工作量和形象进度。</w:t>
      </w:r>
    </w:p>
    <w:p w14:paraId="7A7D27E4">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199" w:name="_bookmark196"/>
      <w:bookmarkEnd w:id="199"/>
      <w:bookmarkStart w:id="200" w:name="_Toc139464326"/>
      <w:bookmarkStart w:id="201" w:name="_Toc139462762"/>
      <w:bookmarkStart w:id="202" w:name="_Toc120443017"/>
      <w:bookmarkStart w:id="203" w:name="_Toc139463561"/>
      <w:r>
        <w:rPr>
          <w:rFonts w:hint="eastAsia" w:ascii="宋体" w:hAnsi="宋体" w:eastAsia="宋体" w:cs="宋体"/>
          <w:color w:val="0C0C0C"/>
          <w:sz w:val="22"/>
          <w:szCs w:val="24"/>
        </w:rPr>
        <w:t>10.2 合同进度计划的修订</w:t>
      </w:r>
      <w:bookmarkEnd w:id="200"/>
      <w:bookmarkEnd w:id="201"/>
      <w:bookmarkEnd w:id="202"/>
      <w:bookmarkEnd w:id="203"/>
    </w:p>
    <w:p w14:paraId="64E21EF9">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本款补充：</w:t>
      </w:r>
    </w:p>
    <w:p w14:paraId="08BD79BB">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承包人提交合同进度计划修订申请报告，并附有关措施和相关资料的期限：实际进度发生滞后的当月25日前。</w:t>
      </w:r>
    </w:p>
    <w:p w14:paraId="5B923A5F">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监理人批复修订合同进度计划的期限：收到修订合同进度计划后 14 天内。</w:t>
      </w:r>
    </w:p>
    <w:p w14:paraId="25223531">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本条补充第10.3款、第10.4款：</w:t>
      </w:r>
    </w:p>
    <w:p w14:paraId="4025412A">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204" w:name="_bookmark197"/>
      <w:bookmarkEnd w:id="204"/>
      <w:bookmarkStart w:id="205" w:name="_Toc139464327"/>
      <w:bookmarkStart w:id="206" w:name="_Toc120443018"/>
      <w:bookmarkStart w:id="207" w:name="_Toc139462763"/>
      <w:bookmarkStart w:id="208" w:name="_Toc139463562"/>
      <w:r>
        <w:rPr>
          <w:rFonts w:hint="eastAsia" w:ascii="宋体" w:hAnsi="宋体" w:eastAsia="宋体" w:cs="宋体"/>
          <w:color w:val="0C0C0C"/>
          <w:sz w:val="22"/>
          <w:szCs w:val="24"/>
        </w:rPr>
        <w:t>10.3 年度施工计划</w:t>
      </w:r>
      <w:bookmarkEnd w:id="205"/>
      <w:bookmarkEnd w:id="206"/>
      <w:bookmarkEnd w:id="207"/>
      <w:bookmarkEnd w:id="208"/>
    </w:p>
    <w:p w14:paraId="46A3DB7A">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承包人应在每年 11 月底前，根据已同意的合同进度计划或其修订的计划，向监理人提交2份格式和内容符合监理人合理规定的下一年度的施工计划，以供审查。该计划应包括本年度估计完成的和下一年度预计完成的分项工程数量和工作量，以及为实施此计划将采取的措施。</w:t>
      </w:r>
    </w:p>
    <w:p w14:paraId="68AEAC9A">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209" w:name="_bookmark198"/>
      <w:bookmarkEnd w:id="209"/>
      <w:bookmarkStart w:id="210" w:name="_Toc139462764"/>
      <w:bookmarkStart w:id="211" w:name="_Toc139463563"/>
      <w:bookmarkStart w:id="212" w:name="_Toc139464328"/>
      <w:bookmarkStart w:id="213" w:name="_Toc120443019"/>
      <w:r>
        <w:rPr>
          <w:rFonts w:hint="eastAsia" w:ascii="宋体" w:hAnsi="宋体" w:eastAsia="宋体" w:cs="宋体"/>
          <w:color w:val="0C0C0C"/>
          <w:sz w:val="22"/>
          <w:szCs w:val="24"/>
        </w:rPr>
        <w:t>10.4 合同用款计划</w:t>
      </w:r>
      <w:bookmarkEnd w:id="210"/>
      <w:bookmarkEnd w:id="211"/>
      <w:bookmarkEnd w:id="212"/>
      <w:bookmarkEnd w:id="213"/>
    </w:p>
    <w:p w14:paraId="566F41B1">
      <w:pPr>
        <w:pStyle w:val="11"/>
        <w:widowControl w:val="0"/>
        <w:tabs>
          <w:tab w:val="left" w:pos="1901"/>
        </w:tabs>
        <w:autoSpaceDE w:val="0"/>
        <w:autoSpaceDN w:val="0"/>
        <w:spacing w:after="0"/>
        <w:ind w:left="0" w:firstLine="440" w:firstLineChars="200"/>
        <w:rPr>
          <w:rFonts w:hint="eastAsia" w:ascii="宋体" w:hAnsi="宋体" w:eastAsia="宋体" w:cs="宋体"/>
          <w:color w:val="0C0C0C"/>
        </w:rPr>
      </w:pPr>
      <w:r>
        <w:rPr>
          <w:rFonts w:hint="eastAsia" w:ascii="宋体" w:hAnsi="宋体" w:eastAsia="宋体" w:cs="宋体"/>
          <w:color w:val="0C0C0C"/>
          <w:szCs w:val="24"/>
        </w:rPr>
        <w:t>承包人应在签订本合同协议书后 28 天之内，按招标文件中规定的格式，向监理人提交 2 份按合同规定承包人有权得到支付的详细的季度合同用款计划，以备监理人查阅。如果监理人提出要求，承包人还应按季度提交修订的合同用款计划。</w:t>
      </w:r>
    </w:p>
    <w:p w14:paraId="4CD2A3CD">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214" w:name="_bookmark199"/>
      <w:bookmarkEnd w:id="214"/>
      <w:bookmarkStart w:id="215" w:name="_Toc139463564"/>
      <w:bookmarkStart w:id="216" w:name="_Toc139464329"/>
      <w:bookmarkStart w:id="217" w:name="_Toc120443020"/>
      <w:bookmarkStart w:id="218" w:name="_Toc139462765"/>
      <w:r>
        <w:rPr>
          <w:rFonts w:hint="eastAsia" w:ascii="宋体" w:hAnsi="宋体" w:eastAsia="宋体" w:cs="宋体"/>
          <w:color w:val="0C0C0C"/>
          <w:sz w:val="22"/>
          <w:szCs w:val="24"/>
        </w:rPr>
        <w:t>11.开工和交工</w:t>
      </w:r>
      <w:bookmarkEnd w:id="215"/>
      <w:bookmarkEnd w:id="216"/>
      <w:bookmarkEnd w:id="217"/>
      <w:bookmarkEnd w:id="218"/>
    </w:p>
    <w:p w14:paraId="2E8AAB1D">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219" w:name="_bookmark200"/>
      <w:bookmarkEnd w:id="219"/>
      <w:bookmarkStart w:id="220" w:name="_Toc139464330"/>
      <w:bookmarkStart w:id="221" w:name="_Toc139463565"/>
      <w:bookmarkStart w:id="222" w:name="_Toc120443021"/>
      <w:bookmarkStart w:id="223" w:name="_Toc139462766"/>
      <w:r>
        <w:rPr>
          <w:rFonts w:hint="eastAsia" w:ascii="宋体" w:hAnsi="宋体" w:eastAsia="宋体" w:cs="宋体"/>
          <w:color w:val="0C0C0C"/>
          <w:sz w:val="22"/>
          <w:szCs w:val="24"/>
        </w:rPr>
        <w:t>11.1 开工</w:t>
      </w:r>
      <w:bookmarkEnd w:id="220"/>
      <w:bookmarkEnd w:id="221"/>
      <w:bookmarkEnd w:id="222"/>
      <w:bookmarkEnd w:id="223"/>
    </w:p>
    <w:p w14:paraId="7B1626EA">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bookmarkStart w:id="224" w:name="_Toc23818"/>
      <w:r>
        <w:rPr>
          <w:rFonts w:hint="eastAsia" w:ascii="宋体" w:hAnsi="宋体" w:eastAsia="宋体" w:cs="宋体"/>
          <w:color w:val="0C0C0C"/>
          <w:szCs w:val="24"/>
        </w:rPr>
        <w:t>第11.1.2项补充：</w:t>
      </w:r>
      <w:bookmarkEnd w:id="224"/>
    </w:p>
    <w:p w14:paraId="22AF33FC">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承包人应在分部工程开工前14天向监理人提交分部工程开工报审表，若承包人的开工准备、工作计划和质量控制方法是可接受的且已获得批准，则经监理人书面同意，分部工程才能开工。</w:t>
      </w:r>
    </w:p>
    <w:p w14:paraId="574ABD18">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225" w:name="_bookmark201"/>
      <w:bookmarkEnd w:id="225"/>
      <w:bookmarkStart w:id="226" w:name="_Toc139464331"/>
      <w:bookmarkStart w:id="227" w:name="_Toc139462767"/>
      <w:bookmarkStart w:id="228" w:name="_Toc139463566"/>
      <w:bookmarkStart w:id="229" w:name="_Toc120443022"/>
      <w:r>
        <w:rPr>
          <w:rFonts w:hint="eastAsia" w:ascii="宋体" w:hAnsi="宋体" w:eastAsia="宋体" w:cs="宋体"/>
          <w:color w:val="0C0C0C"/>
          <w:sz w:val="22"/>
          <w:szCs w:val="24"/>
        </w:rPr>
        <w:t>11.3 发包人的工期延误</w:t>
      </w:r>
      <w:bookmarkEnd w:id="226"/>
      <w:bookmarkEnd w:id="227"/>
      <w:bookmarkEnd w:id="228"/>
      <w:bookmarkEnd w:id="229"/>
    </w:p>
    <w:p w14:paraId="67F7EF27">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本款补充：</w:t>
      </w:r>
    </w:p>
    <w:p w14:paraId="670619D8">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即使由于上述原因造成工期延误，如果受影响的工程并非处在工程施工进度网络计划的关键线路上，则承包人无权要求延长总工期。</w:t>
      </w:r>
    </w:p>
    <w:p w14:paraId="11530C1C">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230" w:name="_bookmark202"/>
      <w:bookmarkEnd w:id="230"/>
      <w:bookmarkStart w:id="231" w:name="_Toc139464332"/>
      <w:bookmarkStart w:id="232" w:name="_Toc139463567"/>
      <w:bookmarkStart w:id="233" w:name="_Toc139462768"/>
      <w:bookmarkStart w:id="234" w:name="_Toc120443023"/>
      <w:r>
        <w:rPr>
          <w:rFonts w:hint="eastAsia" w:ascii="宋体" w:hAnsi="宋体" w:eastAsia="宋体" w:cs="宋体"/>
          <w:color w:val="0C0C0C"/>
          <w:sz w:val="22"/>
          <w:szCs w:val="24"/>
        </w:rPr>
        <w:t>11.4 异常恶劣的气候条件</w:t>
      </w:r>
      <w:bookmarkEnd w:id="231"/>
      <w:bookmarkEnd w:id="232"/>
      <w:bookmarkEnd w:id="233"/>
      <w:bookmarkEnd w:id="234"/>
    </w:p>
    <w:p w14:paraId="5388B502">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本款补充：</w:t>
      </w:r>
    </w:p>
    <w:p w14:paraId="41A7F7E8">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异常气候是指项目所在地 30 年以上一遇的罕见气候现象</w:t>
      </w:r>
      <w:r>
        <w:rPr>
          <w:rFonts w:hint="eastAsia" w:ascii="宋体" w:hAnsi="宋体" w:eastAsia="宋体" w:cs="宋体"/>
        </w:rPr>
        <w:fldChar w:fldCharType="begin"/>
      </w:r>
      <w:r>
        <w:rPr>
          <w:rFonts w:hint="eastAsia" w:ascii="宋体" w:hAnsi="宋体" w:eastAsia="宋体" w:cs="宋体"/>
        </w:rPr>
        <w:instrText xml:space="preserve"> HYPERLINK "http://baike.baidu.com/view/8193.htm" \h </w:instrText>
      </w:r>
      <w:r>
        <w:rPr>
          <w:rFonts w:hint="eastAsia" w:ascii="宋体" w:hAnsi="宋体" w:eastAsia="宋体" w:cs="宋体"/>
        </w:rPr>
        <w:fldChar w:fldCharType="separate"/>
      </w:r>
      <w:r>
        <w:rPr>
          <w:rFonts w:hint="eastAsia" w:ascii="宋体" w:hAnsi="宋体" w:eastAsia="宋体" w:cs="宋体"/>
          <w:color w:val="0C0C0C"/>
          <w:szCs w:val="24"/>
        </w:rPr>
        <w:t>（包括温度</w:t>
      </w:r>
      <w:r>
        <w:rPr>
          <w:rFonts w:hint="eastAsia" w:ascii="宋体" w:hAnsi="宋体" w:eastAsia="宋体" w:cs="宋体"/>
          <w:color w:val="0C0C0C"/>
          <w:szCs w:val="24"/>
        </w:rPr>
        <w:fldChar w:fldCharType="end"/>
      </w:r>
      <w:r>
        <w:rPr>
          <w:rFonts w:hint="eastAsia" w:ascii="宋体" w:hAnsi="宋体" w:eastAsia="宋体" w:cs="宋体"/>
          <w:color w:val="0C0C0C"/>
          <w:szCs w:val="24"/>
        </w:rPr>
        <w:t>、降水、降雪、风等）。异常恶劣的气候条件在项目专用合同条款中作具体约定。</w:t>
      </w:r>
    </w:p>
    <w:p w14:paraId="3D01DB65">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235" w:name="_bookmark203"/>
      <w:bookmarkEnd w:id="235"/>
      <w:bookmarkStart w:id="236" w:name="_Toc139464333"/>
      <w:bookmarkStart w:id="237" w:name="_Toc139463568"/>
      <w:bookmarkStart w:id="238" w:name="_Toc139462769"/>
      <w:bookmarkStart w:id="239" w:name="_Toc120443024"/>
      <w:r>
        <w:rPr>
          <w:rFonts w:hint="eastAsia" w:ascii="宋体" w:hAnsi="宋体" w:eastAsia="宋体" w:cs="宋体"/>
          <w:color w:val="0C0C0C"/>
          <w:sz w:val="22"/>
          <w:szCs w:val="24"/>
        </w:rPr>
        <w:t>11.5 承包人的工期延误</w:t>
      </w:r>
      <w:bookmarkEnd w:id="236"/>
      <w:bookmarkEnd w:id="237"/>
      <w:bookmarkEnd w:id="238"/>
      <w:bookmarkEnd w:id="239"/>
    </w:p>
    <w:p w14:paraId="01F5EEE5">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本款细化为：</w:t>
      </w:r>
    </w:p>
    <w:p w14:paraId="4FCCB9E7">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1）承包人应严格执行监理人批准的合同进度计划，对工作量计划和形象进度计划分别控制。除第11.3款规定外，承包人的实际工程进度曲线应在合同进度管理曲线规定的安全区域之内。若承包人的实际工程进度曲线处在合同进度管理曲线规定的安全区域的下限之外时，则监理人有权认为本合同工程的进度过慢，并通知承包人应采取必要措施，以便加快工程进度，确保工程能在预定的工期内交工。承包人应采取措施加快进度，并承担加快进度所增加的费用。</w:t>
      </w:r>
    </w:p>
    <w:p w14:paraId="26BF2F9A">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2）如果承包人在接到监理人通知后的14天内，未能采取加快工程进度的措施，致使实际工程进度进一步滞后，或承包人虽采取了一些措施，仍无法按预计工期交工时，监理人应立即通知发包人。发包人在向承包人发出书面警告通知14天后，发包人可按第 22.1 款终止对承包人的雇用，也可将本合同工程中的一部分工作交由其他承包人或其他分包人完成。在不解除本合同规定的承包人责任和义务的同时，承包人应承担因此所增加的一切费用。</w:t>
      </w:r>
    </w:p>
    <w:p w14:paraId="5A162D7E">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3）由于承包人原因造成工期延误，承包人应支付逾期交工违约金。逾期交工违约金的计算方法在项目专用合同条款数据表中约定，时间自预定的交工日期起到交工验收证书中写明的实际交工日期止（扣除已批准的延长工期），按天计算。逾期交工违约金累计金额最高不超过项目专用合同条款数据表中写明的限额。发包人可以从应付或到期应付给承包人的任何款项中或采用其他方法扣除此违约金。</w:t>
      </w:r>
    </w:p>
    <w:p w14:paraId="3C38FE6B">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（4）承包人支付逾期交工违约金，不免除承包人完成工程及修补缺陷的义务。</w:t>
      </w:r>
    </w:p>
    <w:p w14:paraId="175E3F29">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5）如果在合同工程完工之前，已对合同工程内按时完工的单位工程签发了交工验收证书，则合同工程的逾期交工违约金，应按已签发交工验收证书的单位工程的价值占合同工程价值的比例予以减少，但本规定不应影响逾期交工违约金的规定限额。</w:t>
      </w:r>
    </w:p>
    <w:p w14:paraId="4F387C5C">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240" w:name="_bookmark204"/>
      <w:bookmarkEnd w:id="240"/>
      <w:bookmarkStart w:id="241" w:name="_Toc139464334"/>
      <w:bookmarkStart w:id="242" w:name="_Toc139462770"/>
      <w:bookmarkStart w:id="243" w:name="_Toc120443025"/>
      <w:bookmarkStart w:id="244" w:name="_Toc139463569"/>
      <w:r>
        <w:rPr>
          <w:rFonts w:hint="eastAsia" w:ascii="宋体" w:hAnsi="宋体" w:eastAsia="宋体" w:cs="宋体"/>
          <w:color w:val="0C0C0C"/>
          <w:sz w:val="22"/>
          <w:szCs w:val="24"/>
        </w:rPr>
        <w:t>11.6 工期提前</w:t>
      </w:r>
      <w:bookmarkEnd w:id="241"/>
      <w:bookmarkEnd w:id="242"/>
      <w:bookmarkEnd w:id="243"/>
      <w:bookmarkEnd w:id="244"/>
    </w:p>
    <w:p w14:paraId="693E0F5C">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本款补充：</w:t>
      </w:r>
    </w:p>
    <w:p w14:paraId="4B85519D">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发包人不得随意要求承包人提前交工，承包人也不得随意提出提前交工的建议。如遇特殊情况，确需将工期提前的，发包人和承包人必须采取有效措施，确保工程质量。</w:t>
      </w:r>
    </w:p>
    <w:p w14:paraId="3D00FE4B">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如果承包人提前交工，发包人支付奖金的计算方法在项目专用合同条款数据表中约定，时间自交工验收证书中写明的实际交工日期起至预定的交工日期止，按天计算。但奖金最高限额不超过项目专用合同条款数据表中写明的限额。</w:t>
      </w:r>
    </w:p>
    <w:p w14:paraId="3138B189">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本条补充第11.7款：</w:t>
      </w:r>
    </w:p>
    <w:p w14:paraId="07C466CC">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245" w:name="_bookmark205"/>
      <w:bookmarkEnd w:id="245"/>
      <w:bookmarkStart w:id="246" w:name="_Toc139464335"/>
      <w:bookmarkStart w:id="247" w:name="_Toc120443026"/>
      <w:bookmarkStart w:id="248" w:name="_Toc139463570"/>
      <w:bookmarkStart w:id="249" w:name="_Toc139462771"/>
      <w:r>
        <w:rPr>
          <w:rFonts w:hint="eastAsia" w:ascii="宋体" w:hAnsi="宋体" w:eastAsia="宋体" w:cs="宋体"/>
          <w:color w:val="0C0C0C"/>
          <w:sz w:val="22"/>
          <w:szCs w:val="24"/>
        </w:rPr>
        <w:t>11.7 工作时间的限制</w:t>
      </w:r>
      <w:bookmarkEnd w:id="246"/>
      <w:bookmarkEnd w:id="247"/>
      <w:bookmarkEnd w:id="248"/>
      <w:bookmarkEnd w:id="249"/>
    </w:p>
    <w:p w14:paraId="2B09DDF1">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承包人在夜间或国家规定的节假日进行永久工程的施工，应向监理人报告，以便监理人履行监理职责和义务。但是，为了抢救生命或保护财产，或为了工程的安全、质量而不可避免地短暂作业，则不必事先向监理人报告。但承包人应在事后立即向监理人报告。</w:t>
      </w:r>
    </w:p>
    <w:p w14:paraId="6CE98854">
      <w:pPr>
        <w:pStyle w:val="11"/>
        <w:widowControl w:val="0"/>
        <w:tabs>
          <w:tab w:val="left" w:pos="1901"/>
        </w:tabs>
        <w:autoSpaceDE w:val="0"/>
        <w:autoSpaceDN w:val="0"/>
        <w:spacing w:after="0"/>
        <w:ind w:left="0" w:firstLine="440" w:firstLineChars="200"/>
        <w:rPr>
          <w:rFonts w:hint="eastAsia" w:ascii="宋体" w:hAnsi="宋体" w:eastAsia="宋体" w:cs="宋体"/>
          <w:color w:val="0C0C0C"/>
        </w:rPr>
      </w:pPr>
      <w:r>
        <w:rPr>
          <w:rFonts w:hint="eastAsia" w:ascii="宋体" w:hAnsi="宋体" w:eastAsia="宋体" w:cs="宋体"/>
          <w:color w:val="0C0C0C"/>
          <w:szCs w:val="24"/>
        </w:rPr>
        <w:t>本款规定不适用于习惯上或施工本身要求实行连续生产的作业。</w:t>
      </w:r>
    </w:p>
    <w:p w14:paraId="68EF63CA">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250" w:name="_bookmark206"/>
      <w:bookmarkEnd w:id="250"/>
      <w:bookmarkStart w:id="251" w:name="_Toc139463571"/>
      <w:bookmarkStart w:id="252" w:name="_Toc139464336"/>
      <w:bookmarkStart w:id="253" w:name="_Toc139462772"/>
      <w:bookmarkStart w:id="254" w:name="_Toc120443027"/>
      <w:r>
        <w:rPr>
          <w:rFonts w:hint="eastAsia" w:ascii="宋体" w:hAnsi="宋体" w:eastAsia="宋体" w:cs="宋体"/>
          <w:color w:val="0C0C0C"/>
          <w:sz w:val="22"/>
          <w:szCs w:val="24"/>
        </w:rPr>
        <w:t>12.暂停施工</w:t>
      </w:r>
      <w:bookmarkEnd w:id="251"/>
      <w:bookmarkEnd w:id="252"/>
      <w:bookmarkEnd w:id="253"/>
      <w:bookmarkEnd w:id="254"/>
    </w:p>
    <w:p w14:paraId="67DE9DFB">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255" w:name="_bookmark207"/>
      <w:bookmarkEnd w:id="255"/>
      <w:bookmarkStart w:id="256" w:name="_Toc120443028"/>
      <w:bookmarkStart w:id="257" w:name="_Toc139462773"/>
      <w:bookmarkStart w:id="258" w:name="_Toc139464337"/>
      <w:bookmarkStart w:id="259" w:name="_Toc139463572"/>
      <w:r>
        <w:rPr>
          <w:rFonts w:hint="eastAsia" w:ascii="宋体" w:hAnsi="宋体" w:eastAsia="宋体" w:cs="宋体"/>
          <w:color w:val="0C0C0C"/>
          <w:sz w:val="22"/>
          <w:szCs w:val="24"/>
        </w:rPr>
        <w:t>12.1 承包人暂停施工的责任</w:t>
      </w:r>
      <w:bookmarkEnd w:id="256"/>
      <w:bookmarkEnd w:id="257"/>
      <w:bookmarkEnd w:id="258"/>
      <w:bookmarkEnd w:id="259"/>
    </w:p>
    <w:p w14:paraId="2CB79DA2">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本款第（5）项细化为：</w:t>
      </w:r>
    </w:p>
    <w:p w14:paraId="4E97675F">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（5）现场气候条件导致的必要停工（第 11.4 款约定的异常恶劣的气候条件除外）；</w:t>
      </w:r>
    </w:p>
    <w:p w14:paraId="74D7C885">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（6）项目专用合同条款可能约定的由承包人承担的其他暂停施工。</w:t>
      </w:r>
    </w:p>
    <w:p w14:paraId="4695C435">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260" w:name="_bookmark208"/>
      <w:bookmarkEnd w:id="260"/>
      <w:bookmarkStart w:id="261" w:name="_Toc120443029"/>
      <w:bookmarkStart w:id="262" w:name="_Toc139462774"/>
      <w:bookmarkStart w:id="263" w:name="_Toc139463573"/>
      <w:bookmarkStart w:id="264" w:name="_Toc139464338"/>
      <w:r>
        <w:rPr>
          <w:rFonts w:hint="eastAsia" w:ascii="宋体" w:hAnsi="宋体" w:eastAsia="宋体" w:cs="宋体"/>
          <w:color w:val="0C0C0C"/>
          <w:sz w:val="22"/>
          <w:szCs w:val="24"/>
        </w:rPr>
        <w:t>13. 工程质量</w:t>
      </w:r>
      <w:bookmarkEnd w:id="261"/>
      <w:bookmarkEnd w:id="262"/>
      <w:bookmarkEnd w:id="263"/>
      <w:bookmarkEnd w:id="264"/>
    </w:p>
    <w:p w14:paraId="36C7B7C9">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265" w:name="_bookmark209"/>
      <w:bookmarkEnd w:id="265"/>
      <w:bookmarkStart w:id="266" w:name="_Toc139462775"/>
      <w:bookmarkStart w:id="267" w:name="_Toc120443030"/>
      <w:bookmarkStart w:id="268" w:name="_Toc139464339"/>
      <w:bookmarkStart w:id="269" w:name="_Toc139463574"/>
      <w:r>
        <w:rPr>
          <w:rFonts w:hint="eastAsia" w:ascii="宋体" w:hAnsi="宋体" w:eastAsia="宋体" w:cs="宋体"/>
          <w:color w:val="0C0C0C"/>
          <w:sz w:val="22"/>
          <w:szCs w:val="24"/>
        </w:rPr>
        <w:t>13.1 工程质量要求</w:t>
      </w:r>
      <w:bookmarkEnd w:id="266"/>
      <w:bookmarkEnd w:id="267"/>
      <w:bookmarkEnd w:id="268"/>
      <w:bookmarkEnd w:id="269"/>
    </w:p>
    <w:p w14:paraId="1E7FCB4A">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bookmarkStart w:id="270" w:name="_Toc20613"/>
      <w:r>
        <w:rPr>
          <w:rFonts w:hint="eastAsia" w:ascii="宋体" w:hAnsi="宋体" w:eastAsia="宋体" w:cs="宋体"/>
          <w:color w:val="0C0C0C"/>
          <w:szCs w:val="24"/>
        </w:rPr>
        <w:t>第 13.1.1 项约定为：</w:t>
      </w:r>
      <w:bookmarkEnd w:id="270"/>
    </w:p>
    <w:p w14:paraId="6B7BE9AA">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lang w:val="en-US" w:eastAsia="zh-CN"/>
        </w:rPr>
      </w:pPr>
      <w:r>
        <w:rPr>
          <w:rFonts w:hint="eastAsia" w:ascii="宋体" w:hAnsi="宋体" w:eastAsia="宋体" w:cs="宋体"/>
          <w:color w:val="0C0C0C"/>
          <w:szCs w:val="24"/>
        </w:rPr>
        <w:t>工程质量验收按技术规范及</w:t>
      </w:r>
      <w:r>
        <w:rPr>
          <w:rFonts w:hint="eastAsia" w:ascii="宋体" w:hAnsi="宋体" w:eastAsia="宋体" w:cs="宋体"/>
          <w:color w:val="0C0C0C"/>
          <w:szCs w:val="24"/>
          <w:lang w:eastAsia="zh-CN"/>
        </w:rPr>
        <w:t>《</w:t>
      </w:r>
      <w:r>
        <w:rPr>
          <w:rFonts w:hint="eastAsia" w:ascii="宋体" w:hAnsi="宋体" w:eastAsia="宋体" w:cs="宋体"/>
          <w:color w:val="0C0C0C"/>
          <w:szCs w:val="24"/>
          <w:lang w:val="en-US" w:eastAsia="zh-CN"/>
        </w:rPr>
        <w:t>公路工程质量检验评定标准》执行。</w:t>
      </w:r>
    </w:p>
    <w:p w14:paraId="5FC31D45">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本款补充第 13.1.4 项、第 13.1.5 项：</w:t>
      </w:r>
    </w:p>
    <w:p w14:paraId="266DB8A0">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13.1.4 发包人和承包人应严格遵守《关于严格落实公路工程质量责任制的若干意见》的相关规定，认真执行工程质量责任登记制度并按要求填写工程质量责任登记表。</w:t>
      </w:r>
    </w:p>
    <w:p w14:paraId="1C933A33">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13.1.5 本项目严格执行质量责任追究制度。质量事故处理实行“四不放过”原则： 事故原因调查不清不放过；事故责任者没有受到教育不放过；没有防范措施不放过； 相关责任人没受到处理不放过。</w:t>
      </w:r>
    </w:p>
    <w:p w14:paraId="734302EA">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271" w:name="_bookmark210"/>
      <w:bookmarkEnd w:id="271"/>
      <w:bookmarkStart w:id="272" w:name="_Toc139464340"/>
      <w:bookmarkStart w:id="273" w:name="_Toc139462776"/>
      <w:bookmarkStart w:id="274" w:name="_Toc120443031"/>
      <w:bookmarkStart w:id="275" w:name="_Toc139463575"/>
      <w:r>
        <w:rPr>
          <w:rFonts w:hint="eastAsia" w:ascii="宋体" w:hAnsi="宋体" w:eastAsia="宋体" w:cs="宋体"/>
          <w:color w:val="0C0C0C"/>
          <w:sz w:val="22"/>
          <w:szCs w:val="24"/>
        </w:rPr>
        <w:t>13.2 承包人的质量管理</w:t>
      </w:r>
      <w:bookmarkEnd w:id="272"/>
      <w:bookmarkEnd w:id="273"/>
      <w:bookmarkEnd w:id="274"/>
      <w:bookmarkEnd w:id="275"/>
    </w:p>
    <w:p w14:paraId="09069DC7">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bookmarkStart w:id="276" w:name="_Toc22289"/>
      <w:r>
        <w:rPr>
          <w:rFonts w:hint="eastAsia" w:ascii="宋体" w:hAnsi="宋体" w:eastAsia="宋体" w:cs="宋体"/>
          <w:color w:val="0C0C0C"/>
          <w:szCs w:val="24"/>
        </w:rPr>
        <w:t>第13.2.1项补充：</w:t>
      </w:r>
      <w:bookmarkEnd w:id="276"/>
    </w:p>
    <w:p w14:paraId="4C7A24F1">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承包人提交工程质量保证措施文件的期限：签订合同协议书后 28 天之内。</w:t>
      </w:r>
    </w:p>
    <w:p w14:paraId="38943A0E">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本款补充第 13.2.3 项~第 13.2.10 项：</w:t>
      </w:r>
    </w:p>
    <w:p w14:paraId="7B124E31">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13.2.3 公路工程施行质量责任终身制。承包人应当书面明确相应的项目负责人和质量负责人。承包人的相关人员按照国家法律法规和有关规定在工程合理使用年限内承担相应的质量责任。</w:t>
      </w:r>
    </w:p>
    <w:p w14:paraId="05CFF6A9">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13.2.4 承包人应当建立健全工程质量保证体系，制定质量管理制度，强化工程质量管理措施，完善工程质量目标保障机制；严格遵守国家有关法律、法规和规章， 严格执行公路工程强制性技术标准、各类技术规范及规程，全面履行工程合同义务。</w:t>
      </w:r>
    </w:p>
    <w:p w14:paraId="210F3C99">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13.2.5 承包人对工程施工质量负责，应当按合同约定设立现场质量管理机构、配备工程技术人员和质量管理人员，落实工程施工质量责任制。</w:t>
      </w:r>
    </w:p>
    <w:p w14:paraId="5631447B">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13.2.6 承包人应当严格按照工程设计图纸、施工技术标准和合同约定施工，对原材料、混合料、构配件、工程实体、机电设备等进行检验；按规定施行班组自检、工序交接检、专职质检员检验的质量控制程序；对分项工程、分部工程和单位工程进行质量自评。检验或者自评不合格的，不得进入下道工序或者投入使用。</w:t>
      </w:r>
    </w:p>
    <w:p w14:paraId="1F680455">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13.2.7 承包人应当加强施工过程质量控制，并形成完整、可追溯的施工质量管理资料，主体工程的隐蔽部位施工还应当保留影像资料。对施工中出现的质量问题或者验收不合格的工程，应当负责返工处理；对在保修范围和保修期限内发生质量问题的工程，应当履行保修义务。</w:t>
      </w:r>
    </w:p>
    <w:p w14:paraId="6A8DCD5C">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13.2.8 承包人应当按照合同约定设立工地临时试验室，配齐检测和试验仪器、仪表，及时校正确保其精度；严格按照工程技术标准、检测规范和规程，在核定的试验检测参数范围内开展试验检测活动，并确保规范规定的检验、抽检频率。承包人应当对其设立的工地临时试验室所出具的试验检测数据和报告的真实性、客观性、准确性负责。</w:t>
      </w:r>
    </w:p>
    <w:p w14:paraId="3D841FCF">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13.2.9 承包人应当依法规范分包行为，并对承担的工程质量负总责，分包单位对分包合同范围内的工程质量负责。</w:t>
      </w:r>
    </w:p>
    <w:p w14:paraId="391C01AB">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13.2.10 承包人驻工程现场机构应在现场驻地和重要的分部、分项工程施工现场设置明显的工程质量责任登记表公示牌。</w:t>
      </w:r>
    </w:p>
    <w:p w14:paraId="74160E3C">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277" w:name="_bookmark211"/>
      <w:bookmarkEnd w:id="277"/>
      <w:bookmarkStart w:id="278" w:name="_Toc139464341"/>
      <w:bookmarkStart w:id="279" w:name="_Toc139463576"/>
      <w:bookmarkStart w:id="280" w:name="_Toc120443032"/>
      <w:bookmarkStart w:id="281" w:name="_Toc139462777"/>
      <w:r>
        <w:rPr>
          <w:rFonts w:hint="eastAsia" w:ascii="宋体" w:hAnsi="宋体" w:eastAsia="宋体" w:cs="宋体"/>
          <w:color w:val="0C0C0C"/>
          <w:sz w:val="22"/>
          <w:szCs w:val="24"/>
        </w:rPr>
        <w:t>13.4 监理人的质量检查</w:t>
      </w:r>
      <w:bookmarkEnd w:id="278"/>
      <w:bookmarkEnd w:id="279"/>
      <w:bookmarkEnd w:id="280"/>
      <w:bookmarkEnd w:id="281"/>
    </w:p>
    <w:p w14:paraId="6E4CD2B2">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本款补充：</w:t>
      </w:r>
    </w:p>
    <w:p w14:paraId="56052ED6">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监理人及其委派的检验人员，应能进入工程现场，以及材料或工程设备的制造、加工或制配的车间和场所，包括不属于承包人的车间或场所进行检查，承包人应为此提供便利和协助。</w:t>
      </w:r>
    </w:p>
    <w:p w14:paraId="2AB396B5">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监理人可以将材料或工程设备的检查和检验委托给一家独立的有质量检验认证资格的检验单位。该独立检验单位的检验结果应视为监理人完成的。监理人应将这种委托的通知书不少于7天前交给承包人。</w:t>
      </w:r>
    </w:p>
    <w:p w14:paraId="08D6F7F3">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282" w:name="_bookmark212"/>
      <w:bookmarkEnd w:id="282"/>
      <w:bookmarkStart w:id="283" w:name="_Toc139462778"/>
      <w:bookmarkStart w:id="284" w:name="_Toc120443033"/>
      <w:bookmarkStart w:id="285" w:name="_Toc139463577"/>
      <w:bookmarkStart w:id="286" w:name="_Toc139464342"/>
      <w:r>
        <w:rPr>
          <w:rFonts w:hint="eastAsia" w:ascii="宋体" w:hAnsi="宋体" w:eastAsia="宋体" w:cs="宋体"/>
          <w:color w:val="0C0C0C"/>
          <w:sz w:val="22"/>
          <w:szCs w:val="24"/>
        </w:rPr>
        <w:t>13.5 工程隐蔽部位覆盖前的检查</w:t>
      </w:r>
      <w:bookmarkEnd w:id="283"/>
      <w:bookmarkEnd w:id="284"/>
      <w:bookmarkEnd w:id="285"/>
      <w:bookmarkEnd w:id="286"/>
    </w:p>
    <w:p w14:paraId="0077B1AF">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bookmarkStart w:id="287" w:name="_Toc2215"/>
      <w:r>
        <w:rPr>
          <w:rFonts w:hint="eastAsia" w:ascii="宋体" w:hAnsi="宋体" w:eastAsia="宋体" w:cs="宋体"/>
          <w:color w:val="0C0C0C"/>
          <w:szCs w:val="24"/>
        </w:rPr>
        <w:t>第13.5.1项补充：</w:t>
      </w:r>
      <w:bookmarkEnd w:id="287"/>
    </w:p>
    <w:p w14:paraId="744147C8">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当监理人有指令时，承包人应对重要隐蔽工程进行拍摄或照相并应保证监理人有充分的机会对将要覆盖或掩蔽的工程进行检查和量测，特别是在基础以上的任一部分工程修筑之前，对该基础进行检查。</w:t>
      </w:r>
    </w:p>
    <w:p w14:paraId="368CFCC5">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288" w:name="_bookmark213"/>
      <w:bookmarkEnd w:id="288"/>
      <w:bookmarkStart w:id="289" w:name="_Toc120443034"/>
      <w:bookmarkStart w:id="290" w:name="_Toc139463578"/>
      <w:bookmarkStart w:id="291" w:name="_Toc139462779"/>
      <w:bookmarkStart w:id="292" w:name="_Toc139464343"/>
      <w:r>
        <w:rPr>
          <w:rFonts w:hint="eastAsia" w:ascii="宋体" w:hAnsi="宋体" w:eastAsia="宋体" w:cs="宋体"/>
          <w:color w:val="0C0C0C"/>
          <w:sz w:val="22"/>
          <w:szCs w:val="24"/>
        </w:rPr>
        <w:t>13.6 清除不合格工程</w:t>
      </w:r>
      <w:bookmarkEnd w:id="289"/>
      <w:bookmarkEnd w:id="290"/>
      <w:bookmarkEnd w:id="291"/>
      <w:bookmarkEnd w:id="292"/>
    </w:p>
    <w:p w14:paraId="69411C16">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bookmarkStart w:id="293" w:name="_Toc11172"/>
      <w:r>
        <w:rPr>
          <w:rFonts w:hint="eastAsia" w:ascii="宋体" w:hAnsi="宋体" w:eastAsia="宋体" w:cs="宋体"/>
          <w:color w:val="0C0C0C"/>
          <w:szCs w:val="24"/>
        </w:rPr>
        <w:t>第13.6.1项细化为：</w:t>
      </w:r>
      <w:bookmarkEnd w:id="293"/>
    </w:p>
    <w:p w14:paraId="15B8E12B">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1）承包人使用不合格材料、工程设备，或采用不适当的施工工艺，或施工不当，造成工程不合格的，监理人可以随时发出指示，要求承包人立即采取措施进行替换、补救或拆除重建，直至达到合同要求的质量标准，由此增加的费用和（或）工期延误由承包人承担。</w:t>
      </w:r>
    </w:p>
    <w:p w14:paraId="6B5317A1">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（2）如果承包人未在规定时间内执行监理人的指示，发包人有权雇用他人执行，由此增加的费用和（或）工期延误由承包人承担。</w:t>
      </w:r>
    </w:p>
    <w:p w14:paraId="3F0B79E8">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294" w:name="_bookmark214"/>
      <w:bookmarkEnd w:id="294"/>
      <w:bookmarkStart w:id="295" w:name="_Toc139463579"/>
      <w:bookmarkStart w:id="296" w:name="_Toc120443035"/>
      <w:bookmarkStart w:id="297" w:name="_Toc139464344"/>
      <w:bookmarkStart w:id="298" w:name="_Toc139462780"/>
      <w:r>
        <w:rPr>
          <w:rFonts w:hint="eastAsia" w:ascii="宋体" w:hAnsi="宋体" w:eastAsia="宋体" w:cs="宋体"/>
          <w:color w:val="0C0C0C"/>
          <w:sz w:val="22"/>
          <w:szCs w:val="24"/>
        </w:rPr>
        <w:t>14. 试验和检验</w:t>
      </w:r>
      <w:bookmarkEnd w:id="295"/>
      <w:bookmarkEnd w:id="296"/>
      <w:bookmarkEnd w:id="297"/>
      <w:bookmarkEnd w:id="298"/>
    </w:p>
    <w:p w14:paraId="7D8ED6C0">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本条补充第14.4款：</w:t>
      </w:r>
    </w:p>
    <w:p w14:paraId="6ECCEDD6">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299" w:name="_bookmark215"/>
      <w:bookmarkEnd w:id="299"/>
      <w:bookmarkStart w:id="300" w:name="_Toc120443036"/>
      <w:bookmarkStart w:id="301" w:name="_Toc139462781"/>
      <w:bookmarkStart w:id="302" w:name="_Toc139464345"/>
      <w:bookmarkStart w:id="303" w:name="_Toc139463580"/>
      <w:r>
        <w:rPr>
          <w:rFonts w:hint="eastAsia" w:ascii="宋体" w:hAnsi="宋体" w:eastAsia="宋体" w:cs="宋体"/>
          <w:color w:val="0C0C0C"/>
          <w:sz w:val="22"/>
          <w:szCs w:val="24"/>
        </w:rPr>
        <w:t>14.4 试验和检验费用</w:t>
      </w:r>
      <w:bookmarkEnd w:id="300"/>
      <w:bookmarkEnd w:id="301"/>
      <w:bookmarkEnd w:id="302"/>
      <w:bookmarkEnd w:id="303"/>
    </w:p>
    <w:p w14:paraId="294DD207">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（1）承包人应负责提供合同和技术规范规定的试验和检验所需的全部样品，并承担其费用。</w:t>
      </w:r>
    </w:p>
    <w:p w14:paraId="6879FBB0">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（2）在合同中明确规定的试验和检验，包括无须在工程量清单中单独列项和已在工程量清单中单独列项的试验和检验，其试验和检验的费用由承包人承担。</w:t>
      </w:r>
    </w:p>
    <w:p w14:paraId="3D042C75">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3）如果监理人所要求做的试验和检验为合同未规定的或是在该材料或工程设备的制造、加工、制配场地以外的场所进行的，则检验结束后，如表明操作工艺或材料、工程设备未能符合合同规定，其费用应由承包人承担，否则，其费用应由发包人承担。</w:t>
      </w:r>
    </w:p>
    <w:p w14:paraId="7B6088F4">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304" w:name="_bookmark216"/>
      <w:bookmarkEnd w:id="304"/>
      <w:bookmarkStart w:id="305" w:name="_Toc120443037"/>
      <w:bookmarkStart w:id="306" w:name="_Toc139463581"/>
      <w:bookmarkStart w:id="307" w:name="_Toc139464346"/>
      <w:bookmarkStart w:id="308" w:name="_Toc139462782"/>
      <w:r>
        <w:rPr>
          <w:rFonts w:hint="eastAsia" w:ascii="宋体" w:hAnsi="宋体" w:eastAsia="宋体" w:cs="宋体"/>
          <w:color w:val="0C0C0C"/>
          <w:sz w:val="22"/>
          <w:szCs w:val="24"/>
        </w:rPr>
        <w:t>15. 变更</w:t>
      </w:r>
      <w:bookmarkEnd w:id="305"/>
      <w:bookmarkEnd w:id="306"/>
      <w:bookmarkEnd w:id="307"/>
      <w:bookmarkEnd w:id="308"/>
    </w:p>
    <w:p w14:paraId="341A4F0B">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309" w:name="_bookmark217"/>
      <w:bookmarkEnd w:id="309"/>
      <w:bookmarkStart w:id="310" w:name="_Toc139463582"/>
      <w:bookmarkStart w:id="311" w:name="_Toc139464347"/>
      <w:bookmarkStart w:id="312" w:name="_Toc139462783"/>
      <w:bookmarkStart w:id="313" w:name="_Toc120443038"/>
      <w:r>
        <w:rPr>
          <w:rFonts w:hint="eastAsia" w:ascii="宋体" w:hAnsi="宋体" w:eastAsia="宋体" w:cs="宋体"/>
          <w:color w:val="0C0C0C"/>
          <w:sz w:val="22"/>
          <w:szCs w:val="24"/>
        </w:rPr>
        <w:t>15.1 变更的范围和内容</w:t>
      </w:r>
      <w:bookmarkEnd w:id="310"/>
      <w:bookmarkEnd w:id="311"/>
      <w:bookmarkEnd w:id="312"/>
      <w:bookmarkEnd w:id="313"/>
    </w:p>
    <w:p w14:paraId="5FD9FDDD">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本款第（1）项细化为：</w:t>
      </w:r>
    </w:p>
    <w:p w14:paraId="2412F694">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（1）取消合同中任何一项工作，但被取消的工作不能转由发包人或其他人实施，由于承包人违约造成的情况除外；</w:t>
      </w:r>
    </w:p>
    <w:p w14:paraId="4461116C">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314" w:name="_bookmark218"/>
      <w:bookmarkEnd w:id="314"/>
      <w:bookmarkStart w:id="315" w:name="_Toc139462784"/>
      <w:bookmarkStart w:id="316" w:name="_Toc139464348"/>
      <w:bookmarkStart w:id="317" w:name="_Toc139463583"/>
      <w:bookmarkStart w:id="318" w:name="_Toc120443039"/>
      <w:r>
        <w:rPr>
          <w:rFonts w:hint="eastAsia" w:ascii="宋体" w:hAnsi="宋体" w:eastAsia="宋体" w:cs="宋体"/>
          <w:color w:val="0C0C0C"/>
          <w:sz w:val="22"/>
          <w:szCs w:val="24"/>
        </w:rPr>
        <w:t>15.3 变更程序</w:t>
      </w:r>
      <w:bookmarkEnd w:id="315"/>
      <w:bookmarkEnd w:id="316"/>
      <w:bookmarkEnd w:id="317"/>
      <w:bookmarkEnd w:id="318"/>
    </w:p>
    <w:p w14:paraId="6A3532A6">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本款补充第15.3.4项：</w:t>
      </w:r>
    </w:p>
    <w:p w14:paraId="041ADA91">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15.3.4 设计变更程序应执行《公路工程设计变更管理办法》的相关规定。</w:t>
      </w:r>
    </w:p>
    <w:p w14:paraId="2908F19E">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bookmarkStart w:id="319" w:name="_bookmark219"/>
      <w:bookmarkEnd w:id="319"/>
      <w:bookmarkStart w:id="320" w:name="_Toc120443040"/>
      <w:r>
        <w:rPr>
          <w:rFonts w:hint="eastAsia" w:ascii="宋体" w:hAnsi="宋体" w:eastAsia="宋体" w:cs="宋体"/>
          <w:color w:val="0C0C0C"/>
          <w:szCs w:val="24"/>
        </w:rPr>
        <w:t>15.4 变更的估价原则</w:t>
      </w:r>
      <w:bookmarkEnd w:id="320"/>
    </w:p>
    <w:p w14:paraId="08B32E34">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本款细化为：</w:t>
      </w:r>
    </w:p>
    <w:p w14:paraId="17396386">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除项目专用合同条款另有约定外，因变更引起的价格调整按照本款约定处理。</w:t>
      </w:r>
    </w:p>
    <w:p w14:paraId="3ED7A6B5">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15.4.1 如果取消某项工作，则该项工作的总额价不予支付。</w:t>
      </w:r>
    </w:p>
    <w:p w14:paraId="18AED8C0">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15.4.2 已标价工程量清单中有适用于变更工作的子目的，采用该子目的单价。</w:t>
      </w:r>
    </w:p>
    <w:p w14:paraId="1BD638BA">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15.4.3 已标价工程量清单中无适用于变更工作的子目，但有类似子目的，可在合理范围内参照类似子目的单价，由监理人按第 3.5 款商定或确定变更工作的单价。</w:t>
      </w:r>
    </w:p>
    <w:p w14:paraId="21834CBE">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15.4.4 已标价工程量清单中无适用或类似子目的单价，可在综合考虑承包人在投标时所提供的单价分析表的基础上，由监理人按第 3.5 款商定或确定变更工作的单价。</w:t>
      </w:r>
    </w:p>
    <w:p w14:paraId="70DC23C4">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15.4.5 如果本工程的变更指示是因承包人过错、承包人违反合同或承包人责任造成的，则这种违约引起的任何额外费用应由承包人承担。</w:t>
      </w:r>
    </w:p>
    <w:p w14:paraId="721496FE">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321" w:name="_bookmark220"/>
      <w:bookmarkEnd w:id="321"/>
      <w:bookmarkStart w:id="322" w:name="_Toc139464349"/>
      <w:bookmarkStart w:id="323" w:name="_Toc139463584"/>
      <w:bookmarkStart w:id="324" w:name="_Toc139462785"/>
      <w:bookmarkStart w:id="325" w:name="_Toc120443041"/>
      <w:r>
        <w:rPr>
          <w:rFonts w:hint="eastAsia" w:ascii="宋体" w:hAnsi="宋体" w:eastAsia="宋体" w:cs="宋体"/>
          <w:color w:val="0C0C0C"/>
          <w:sz w:val="22"/>
          <w:szCs w:val="24"/>
        </w:rPr>
        <w:t>15.5 承包人的合理化建议</w:t>
      </w:r>
      <w:bookmarkEnd w:id="322"/>
      <w:bookmarkEnd w:id="323"/>
      <w:bookmarkEnd w:id="324"/>
      <w:bookmarkEnd w:id="325"/>
    </w:p>
    <w:p w14:paraId="2843E344">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bookmarkStart w:id="326" w:name="_Toc17695"/>
      <w:r>
        <w:rPr>
          <w:rFonts w:hint="eastAsia" w:ascii="宋体" w:hAnsi="宋体" w:eastAsia="宋体" w:cs="宋体"/>
          <w:color w:val="0C0C0C"/>
          <w:szCs w:val="24"/>
        </w:rPr>
        <w:t>第15.5.2项约定为：</w:t>
      </w:r>
      <w:bookmarkEnd w:id="326"/>
    </w:p>
    <w:p w14:paraId="7CB2D5E3">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承包人提出的合理化建议缩短了工期，发包人按第 11.6 款的规定给予奖励。</w:t>
      </w:r>
    </w:p>
    <w:p w14:paraId="0B8CC229">
      <w:pPr>
        <w:pStyle w:val="11"/>
        <w:widowControl w:val="0"/>
        <w:tabs>
          <w:tab w:val="left" w:pos="1901"/>
        </w:tabs>
        <w:autoSpaceDE w:val="0"/>
        <w:autoSpaceDN w:val="0"/>
        <w:spacing w:after="0"/>
        <w:ind w:left="0" w:firstLine="440" w:firstLineChars="200"/>
        <w:rPr>
          <w:rFonts w:hint="eastAsia" w:ascii="宋体" w:hAnsi="宋体" w:eastAsia="宋体" w:cs="宋体"/>
          <w:color w:val="0C0C0C"/>
        </w:rPr>
      </w:pPr>
      <w:r>
        <w:rPr>
          <w:rFonts w:hint="eastAsia" w:ascii="宋体" w:hAnsi="宋体" w:eastAsia="宋体" w:cs="宋体"/>
          <w:color w:val="0C0C0C"/>
          <w:szCs w:val="24"/>
        </w:rPr>
        <w:t>承包人提出的合理化建议降低了合同价格或者提高了工程经济效益的，发包人按项目专用合同条款数据表中规定的金额给予奖励。</w:t>
      </w:r>
    </w:p>
    <w:p w14:paraId="1635D076">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327" w:name="_bookmark221"/>
      <w:bookmarkEnd w:id="327"/>
      <w:bookmarkStart w:id="328" w:name="_Toc120443042"/>
      <w:bookmarkStart w:id="329" w:name="_Toc139462786"/>
      <w:bookmarkStart w:id="330" w:name="_Toc139464350"/>
      <w:bookmarkStart w:id="331" w:name="_Toc139463585"/>
      <w:r>
        <w:rPr>
          <w:rFonts w:hint="eastAsia" w:ascii="宋体" w:hAnsi="宋体" w:eastAsia="宋体" w:cs="宋体"/>
          <w:color w:val="0C0C0C"/>
          <w:sz w:val="22"/>
          <w:szCs w:val="24"/>
        </w:rPr>
        <w:t>15.6 暂列金额</w:t>
      </w:r>
      <w:bookmarkEnd w:id="328"/>
      <w:bookmarkEnd w:id="329"/>
      <w:bookmarkEnd w:id="330"/>
      <w:bookmarkEnd w:id="331"/>
    </w:p>
    <w:p w14:paraId="1F1DBFA2">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本款细化为：</w:t>
      </w:r>
    </w:p>
    <w:p w14:paraId="0A5F5A88">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15.6.1 暂列金额应由监理人报发包人批准后指令全部或部分地使用，或者根本不予动用。</w:t>
      </w:r>
    </w:p>
    <w:p w14:paraId="4F975176">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15.6.2 对于经发包人批准的每一笔暂列金额，监理人有权向承包人发出实施工程或提供材料、工程设备或服务的指令。这些指令应由承包人完成，监理人应根据第15.4款约定的变更估价原则和第15.7款的规定，对合同价格进行相应调整。</w:t>
      </w:r>
    </w:p>
    <w:p w14:paraId="090A734E">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15.6.3 当监理人提出要求时，承包人应提供有关暂列金额支出的所有报价单、发票、凭证和账单或收据，除非该工作是根据已标价工程量清单列明的单价或总额价进行的估价。</w:t>
      </w:r>
    </w:p>
    <w:p w14:paraId="3CC261D0">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332" w:name="_bookmark222"/>
      <w:bookmarkEnd w:id="332"/>
      <w:bookmarkStart w:id="333" w:name="_Toc139463586"/>
      <w:bookmarkStart w:id="334" w:name="_Toc120443043"/>
      <w:bookmarkStart w:id="335" w:name="_Toc139462787"/>
      <w:bookmarkStart w:id="336" w:name="_Toc139464351"/>
      <w:r>
        <w:rPr>
          <w:rFonts w:hint="eastAsia" w:ascii="宋体" w:hAnsi="宋体" w:eastAsia="宋体" w:cs="宋体"/>
          <w:color w:val="0C0C0C"/>
          <w:sz w:val="22"/>
          <w:szCs w:val="24"/>
        </w:rPr>
        <w:t>16. 价格调整</w:t>
      </w:r>
      <w:bookmarkEnd w:id="333"/>
      <w:bookmarkEnd w:id="334"/>
      <w:bookmarkEnd w:id="335"/>
      <w:bookmarkEnd w:id="336"/>
    </w:p>
    <w:p w14:paraId="4A1179F6">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337" w:name="_bookmark223"/>
      <w:bookmarkEnd w:id="337"/>
      <w:bookmarkStart w:id="338" w:name="_Toc139463587"/>
      <w:bookmarkStart w:id="339" w:name="_Toc139464352"/>
      <w:bookmarkStart w:id="340" w:name="_Toc120443044"/>
      <w:bookmarkStart w:id="341" w:name="_Toc139462788"/>
      <w:r>
        <w:rPr>
          <w:rFonts w:hint="eastAsia" w:ascii="宋体" w:hAnsi="宋体" w:eastAsia="宋体" w:cs="宋体"/>
          <w:color w:val="0C0C0C"/>
          <w:sz w:val="22"/>
          <w:szCs w:val="24"/>
        </w:rPr>
        <w:t>16.1 物价波动引起的价格调整</w:t>
      </w:r>
      <w:bookmarkEnd w:id="338"/>
      <w:bookmarkEnd w:id="339"/>
      <w:bookmarkEnd w:id="340"/>
      <w:bookmarkEnd w:id="341"/>
    </w:p>
    <w:p w14:paraId="08F9BFCE">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本款约定为：</w:t>
      </w:r>
    </w:p>
    <w:p w14:paraId="532554A1">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（1）除项目专用合同条款另有约定外，因物价波动引起的价格调整应按项目专用合同条款数据表的规定，按照第 16.1.1 项或第 16.1.2 项约定的原则处理；或者</w:t>
      </w:r>
    </w:p>
    <w:p w14:paraId="0E130705">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（2）在合同执行期间（包括工期拖延期间）由于人工、材料和设备价格的上涨而引起工程施工成本增加的风险由承包人自行承担，合同价格不会因此而调整。</w:t>
      </w:r>
    </w:p>
    <w:p w14:paraId="19AB6EA8">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16.1.1 采用价格指数调整价格差额</w:t>
      </w:r>
    </w:p>
    <w:p w14:paraId="507B084C">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16.1.1.1 价格调整公式</w:t>
      </w:r>
    </w:p>
    <w:p w14:paraId="0DB667E8">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价格调整公式后增加备注如下：</w:t>
      </w:r>
    </w:p>
    <w:p w14:paraId="5B5B5612">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式中，A=1－（B1＋B2＋B3＋……＋Bn）。</w:t>
      </w:r>
    </w:p>
    <w:p w14:paraId="06553EDE">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本目最后一段文字细化为：</w:t>
      </w:r>
    </w:p>
    <w:p w14:paraId="6C164022">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在采用价格调整公式进行调价时，还应遵守以下规定：</w:t>
      </w:r>
    </w:p>
    <w:p w14:paraId="12784134">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1）以上价格调整公式中的各可调因子、定值权重，以及基本价格指数及其来源由发包人在投标函附录价格指数和权重表中约定。价格指数应首先采用国家或省、自治区、直辖市价格部门或统计部门提供的价格指数，缺乏上述价格指数时，可采用上述部门提供的价格代替。</w:t>
      </w:r>
    </w:p>
    <w:p w14:paraId="503E43C5">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2）价格调整公式中的变值权重，由发包人根据项目实际情况测算确定范围，并在投标函附录价格指数和权重表中约定范围；承包人在投标时在此范围内填写各可调因子的权重，合同实施期间将按此权重进行调价。</w:t>
      </w:r>
    </w:p>
    <w:p w14:paraId="78352955">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342" w:name="_bookmark224"/>
      <w:bookmarkEnd w:id="342"/>
      <w:bookmarkStart w:id="343" w:name="_Toc139463588"/>
      <w:bookmarkStart w:id="344" w:name="_Toc120443045"/>
      <w:bookmarkStart w:id="345" w:name="_Toc139462789"/>
      <w:bookmarkStart w:id="346" w:name="_Toc139464353"/>
      <w:r>
        <w:rPr>
          <w:rFonts w:hint="eastAsia" w:ascii="宋体" w:hAnsi="宋体" w:eastAsia="宋体" w:cs="宋体"/>
          <w:color w:val="0C0C0C"/>
          <w:sz w:val="22"/>
          <w:szCs w:val="24"/>
        </w:rPr>
        <w:t>17. 计量与支付</w:t>
      </w:r>
      <w:bookmarkEnd w:id="343"/>
      <w:bookmarkEnd w:id="344"/>
      <w:bookmarkEnd w:id="345"/>
      <w:bookmarkEnd w:id="346"/>
    </w:p>
    <w:p w14:paraId="53AA2D65">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347" w:name="_bookmark225"/>
      <w:bookmarkEnd w:id="347"/>
      <w:bookmarkStart w:id="348" w:name="_Toc139463589"/>
      <w:bookmarkStart w:id="349" w:name="_Toc120443046"/>
      <w:bookmarkStart w:id="350" w:name="_Toc139464354"/>
      <w:bookmarkStart w:id="351" w:name="_Toc139462790"/>
      <w:r>
        <w:rPr>
          <w:rFonts w:hint="eastAsia" w:ascii="宋体" w:hAnsi="宋体" w:eastAsia="宋体" w:cs="宋体"/>
          <w:color w:val="0C0C0C"/>
          <w:sz w:val="22"/>
          <w:szCs w:val="24"/>
        </w:rPr>
        <w:t>17.1 计量</w:t>
      </w:r>
      <w:bookmarkEnd w:id="348"/>
      <w:bookmarkEnd w:id="349"/>
      <w:bookmarkEnd w:id="350"/>
      <w:bookmarkEnd w:id="351"/>
    </w:p>
    <w:p w14:paraId="6BAF2CD5">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17.1.2 计量方法</w:t>
      </w:r>
    </w:p>
    <w:p w14:paraId="7F3101FD">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本项约定为：</w:t>
      </w:r>
    </w:p>
    <w:p w14:paraId="4B9D8D07">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工程的计量应以净值为准，除非项目专用合同条款另有约定。工程量清单中各个子目的具体计量方法按本合同文件工程量清单计量规则中的规定执行。</w:t>
      </w:r>
    </w:p>
    <w:p w14:paraId="1F71CF91">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17.1.4 单价子目的计量</w:t>
      </w:r>
    </w:p>
    <w:p w14:paraId="0B02FC9D">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本项补充：</w:t>
      </w:r>
    </w:p>
    <w:p w14:paraId="4D77DD0A">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（7）承包人未在已标价工程量清单中填入单价或总额价的工程子目，将被认为其已包含在本合同的其他子目的单价和总额价中，发包人将不另行支付。</w:t>
      </w:r>
    </w:p>
    <w:p w14:paraId="61B93F4A">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17.1.5 总价子目的计量</w:t>
      </w:r>
    </w:p>
    <w:p w14:paraId="76AFF9FB">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本项补充：</w:t>
      </w:r>
    </w:p>
    <w:p w14:paraId="7BA66394">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本项目工程量清单中要求承包人以“总额”方式报价的子目，各子目的支付原则和支付进度按项目专用合同条款的规定执行。</w:t>
      </w:r>
    </w:p>
    <w:p w14:paraId="14216395">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352" w:name="_bookmark226"/>
      <w:bookmarkEnd w:id="352"/>
      <w:bookmarkStart w:id="353" w:name="_Toc139464355"/>
      <w:bookmarkStart w:id="354" w:name="_Toc139463590"/>
      <w:bookmarkStart w:id="355" w:name="_Toc120443047"/>
      <w:bookmarkStart w:id="356" w:name="_Toc139462791"/>
      <w:r>
        <w:rPr>
          <w:rFonts w:hint="eastAsia" w:ascii="宋体" w:hAnsi="宋体" w:eastAsia="宋体" w:cs="宋体"/>
          <w:color w:val="0C0C0C"/>
          <w:sz w:val="22"/>
          <w:szCs w:val="24"/>
        </w:rPr>
        <w:t>17.2 预付款</w:t>
      </w:r>
      <w:bookmarkEnd w:id="353"/>
      <w:bookmarkEnd w:id="354"/>
      <w:bookmarkEnd w:id="355"/>
      <w:bookmarkEnd w:id="356"/>
    </w:p>
    <w:p w14:paraId="7B79B170">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17.2.1 预付款</w:t>
      </w:r>
    </w:p>
    <w:p w14:paraId="097919B1">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 xml:space="preserve">本项约定为： </w:t>
      </w:r>
    </w:p>
    <w:p w14:paraId="0FB47A1F">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预付款包括开工预付款和材料、设备预付款。具体额度和预付办法如下：</w:t>
      </w:r>
    </w:p>
    <w:p w14:paraId="73AAB3C6">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（1）开工预付款的金额在项目专用合同条款数据表中约定。在承包人签订了合同协议书且承包人承诺的主要设备进场后，监理人应在当期进度付款证书中向承包人支付开工预付款。</w:t>
      </w:r>
    </w:p>
    <w:p w14:paraId="100C815D">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承包人不得将该预付款用于与本工程无关的支出，监理人有权监督承包人对该项费用的使用，如经查实承包人滥用开工预付款，发包人有权立即向银行索赔履约保证金，并解除合同。</w:t>
      </w:r>
    </w:p>
    <w:p w14:paraId="73EBC180">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（2）材料、设备预付款按项目专用合同条款数据表中所列主要材料、设备单据费用（进口的材料、设备为到岸价，国内采购的为出厂价或销售价，地方材料为堆场价）的百分比支付。其预付条件为：</w:t>
      </w:r>
    </w:p>
    <w:p w14:paraId="4A7643E6">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a.材料、设备符合规范要求并经监理人认可；</w:t>
      </w:r>
    </w:p>
    <w:p w14:paraId="381533C2">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b.承包人已出具材料、设备费用凭证或支付单据；</w:t>
      </w:r>
    </w:p>
    <w:p w14:paraId="6414FE79">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c.材料、设备已在现场交货，且存储良好，监理人认为材料、设备的存储方法符合要求。则监理人应将此项金额作为材料、设备预付款计入下一次的进度付款证书中。在预计交工前 3 个月，将不再支付材料、设备预付款。</w:t>
      </w:r>
    </w:p>
    <w:p w14:paraId="351F2D58">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17.2.2 预付款保函</w:t>
      </w:r>
    </w:p>
    <w:p w14:paraId="2755D9C2">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本项细化为：</w:t>
      </w:r>
    </w:p>
    <w:p w14:paraId="5DE46C30">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承包人无须向发包人提交预付款保函。发包人向承包人支付的预付款，应按照本合同第17.2.1项规定使用，承包人提交的履约保证金对预付款的正常使用承担保证责任。</w:t>
      </w:r>
    </w:p>
    <w:p w14:paraId="369875FD">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17.2.3 预付款的扣回与还清</w:t>
      </w:r>
    </w:p>
    <w:p w14:paraId="74688C3A">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本项约定为：</w:t>
      </w:r>
    </w:p>
    <w:p w14:paraId="366FBCCF">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（1）开工预付款在进度付款证书的累计金额未达到签约合同价的 30%之前不予扣回，在达到签约合同价 30%之后，开始按工程进度以固定比例（即每完成签约合同价的 1%，扣回开工预付款的 2%）分期从各月的进度付款证书中扣回，全部金额在进度付款证书的累计金额达到签约合同价的 80%时扣完。</w:t>
      </w:r>
    </w:p>
    <w:p w14:paraId="1F2489BE">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（2）当材料、设备已用于或安装在永久工程之中时，材料、设备预付款应从进度付款证书中扣回，扣回期不超过 3 个月。已经支付材料、设备预付款的材料、设备的所有权应属于发包人。</w:t>
      </w:r>
    </w:p>
    <w:p w14:paraId="762735C9">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357" w:name="_bookmark227"/>
      <w:bookmarkEnd w:id="357"/>
      <w:bookmarkStart w:id="358" w:name="_Toc139464356"/>
      <w:bookmarkStart w:id="359" w:name="_Toc139462792"/>
      <w:bookmarkStart w:id="360" w:name="_Toc120443048"/>
      <w:bookmarkStart w:id="361" w:name="_Toc139463591"/>
      <w:r>
        <w:rPr>
          <w:rFonts w:hint="eastAsia" w:ascii="宋体" w:hAnsi="宋体" w:eastAsia="宋体" w:cs="宋体"/>
          <w:color w:val="0C0C0C"/>
          <w:sz w:val="22"/>
          <w:szCs w:val="24"/>
        </w:rPr>
        <w:t>17.3 工程进度付款</w:t>
      </w:r>
      <w:bookmarkEnd w:id="358"/>
      <w:bookmarkEnd w:id="359"/>
      <w:bookmarkEnd w:id="360"/>
      <w:bookmarkEnd w:id="361"/>
    </w:p>
    <w:p w14:paraId="0293F65D">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17.3.3 进度付款证书和支付时间</w:t>
      </w:r>
    </w:p>
    <w:p w14:paraId="34FB81FF">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本项（1）目补充：</w:t>
      </w:r>
    </w:p>
    <w:p w14:paraId="237E818B">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如果该付款周期应结算的价款经扣留和扣回后的款额少于项目专用合同条款数据表中列明的进度付款证书的最低金额，则该付款周期监理人可不核证支付，上述款额将按付款周期结转，直至累计应支付的款额达到项目专用合同条款数据表中列明的进度付款证书的最低金额为止。</w:t>
      </w:r>
    </w:p>
    <w:p w14:paraId="60A78BFA">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本项（2）目细化为：</w:t>
      </w:r>
    </w:p>
    <w:p w14:paraId="0FF755A3">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发包人应在监理人收到进度付款申请单且承包人提交了合格的增值税专用发票后的28天内，将进度应付款支付给承包人。</w:t>
      </w:r>
    </w:p>
    <w:p w14:paraId="222AE959">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发包人不按期支付的，按项目专用合同条款数据表中约定的利率向承包人支付逾期付款违约金。违约金计算基数为发包人的全部未付款额，时间从应付而未付该款额之日算起（不计复利）。</w:t>
      </w:r>
    </w:p>
    <w:p w14:paraId="3C3FA046">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本款补充第17.3.5项：</w:t>
      </w:r>
    </w:p>
    <w:p w14:paraId="5A331BF9">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17.3.5 农民工工资保证金</w:t>
      </w:r>
    </w:p>
    <w:p w14:paraId="07D4A5EC">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（1）为确保施工过程中农民工工资实时、足额发放到位，承包人应按照项目专用合同条款约定的时间和金额缴存农民工工资保证金。</w:t>
      </w:r>
    </w:p>
    <w:p w14:paraId="7BB74356">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（2）农民工工资保证金可采用银行保函或现金、支票形式。采用银行保函时， 出具保函的银行须具有相应担保能力，且按照发包人批准的格式出具，所需费用由承包人承担。</w:t>
      </w:r>
    </w:p>
    <w:p w14:paraId="1BFFE124">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（3）农民工工资保证金的扣留条件、返还时间按照项目专用合同条款的约定执行。</w:t>
      </w:r>
    </w:p>
    <w:p w14:paraId="250FE5CF">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362" w:name="_bookmark228"/>
      <w:bookmarkEnd w:id="362"/>
      <w:bookmarkStart w:id="363" w:name="_Toc139463592"/>
      <w:bookmarkStart w:id="364" w:name="_Toc139462793"/>
      <w:bookmarkStart w:id="365" w:name="_Toc139464357"/>
      <w:bookmarkStart w:id="366" w:name="_Toc120443049"/>
      <w:r>
        <w:rPr>
          <w:rFonts w:hint="eastAsia" w:ascii="宋体" w:hAnsi="宋体" w:eastAsia="宋体" w:cs="宋体"/>
          <w:color w:val="0C0C0C"/>
          <w:sz w:val="22"/>
          <w:szCs w:val="24"/>
        </w:rPr>
        <w:t>17.4 质量保证金</w:t>
      </w:r>
      <w:bookmarkEnd w:id="363"/>
      <w:bookmarkEnd w:id="364"/>
      <w:bookmarkEnd w:id="365"/>
      <w:bookmarkEnd w:id="366"/>
    </w:p>
    <w:p w14:paraId="38DE3C21">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bookmarkStart w:id="367" w:name="_Toc13379"/>
      <w:r>
        <w:rPr>
          <w:rFonts w:hint="eastAsia" w:ascii="宋体" w:hAnsi="宋体" w:eastAsia="宋体" w:cs="宋体"/>
          <w:color w:val="0C0C0C"/>
          <w:szCs w:val="24"/>
        </w:rPr>
        <w:t>第17.4.1项、第17.4.2项细化为：</w:t>
      </w:r>
      <w:bookmarkEnd w:id="367"/>
    </w:p>
    <w:p w14:paraId="051F2843">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17.4.1 交工验收证书签发后14天内，承包人应向发包人缴纳质量保证金。质量保证金可采用银行保函或现金、支票形式，金额应符合项目专用合同条款数据表的规定。采用银行保函时，出具保函的银行须具有相应担保能力，且按照发包人批准的格式出具，所需费用由承包人承担。</w:t>
      </w:r>
    </w:p>
    <w:p w14:paraId="3B39F378">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 xml:space="preserve">质量保证金采用现金、支票形式提交的，发包人应在项目专用合同条款数据表中明确是否计付利息以及利息的计算方式。 </w:t>
      </w:r>
    </w:p>
    <w:p w14:paraId="02B6116E">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17.4.2 在第1.1.4.5目约定的缺陷责任期满，且质量监督机构已按规定对工程质量检测鉴定合格，承包人向发包人申请到期应返还承包人剩余的质量保证金金额，发包人应在14天内会同承包人按照合同约定的内容核实承包人是否完成缺陷责任。如无异议，发包人应当在核实后将剩余保证金返还承包人。</w:t>
      </w:r>
    </w:p>
    <w:p w14:paraId="47456DF1">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368" w:name="_bookmark229"/>
      <w:bookmarkEnd w:id="368"/>
      <w:bookmarkStart w:id="369" w:name="_Toc139464358"/>
      <w:bookmarkStart w:id="370" w:name="_Toc139463593"/>
      <w:bookmarkStart w:id="371" w:name="_Toc120443050"/>
      <w:bookmarkStart w:id="372" w:name="_Toc139462794"/>
      <w:r>
        <w:rPr>
          <w:rFonts w:hint="eastAsia" w:ascii="宋体" w:hAnsi="宋体" w:eastAsia="宋体" w:cs="宋体"/>
          <w:color w:val="0C0C0C"/>
          <w:sz w:val="22"/>
          <w:szCs w:val="24"/>
        </w:rPr>
        <w:t>17.5 交工结算</w:t>
      </w:r>
      <w:bookmarkEnd w:id="369"/>
      <w:bookmarkEnd w:id="370"/>
      <w:bookmarkEnd w:id="371"/>
      <w:bookmarkEnd w:id="372"/>
    </w:p>
    <w:p w14:paraId="0DCB82C2">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17.5.1 交工付款申请单</w:t>
      </w:r>
    </w:p>
    <w:p w14:paraId="7BC680A3">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本项（1）目约定为：</w:t>
      </w:r>
    </w:p>
    <w:p w14:paraId="33422D81">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承包人向监理人提交交工付款申请单（包括相关证明材料）的份数在项目专用合同条款数据表中约定；期限：交工验收证书签发后42天内。</w:t>
      </w:r>
    </w:p>
    <w:p w14:paraId="26DA9E38">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17.5.2 交工付款证书及支付时间</w:t>
      </w:r>
    </w:p>
    <w:p w14:paraId="12F59A08">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本项（2）目细化为：</w:t>
      </w:r>
    </w:p>
    <w:p w14:paraId="1FE40613">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发包人应在监理人出具交工付款证书且承包人提交了合格的增值税专用发票后的14天内，将应支付款支付给承包人。发包人不按期支付的，按第17.3.3（2）目的约定，将逾期付款违约金支付给承包人。</w:t>
      </w:r>
    </w:p>
    <w:p w14:paraId="1E8390C0">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373" w:name="_bookmark230"/>
      <w:bookmarkEnd w:id="373"/>
      <w:bookmarkStart w:id="374" w:name="_Toc139464359"/>
      <w:bookmarkStart w:id="375" w:name="_Toc139462795"/>
      <w:bookmarkStart w:id="376" w:name="_Toc139463594"/>
      <w:bookmarkStart w:id="377" w:name="_Toc120443051"/>
      <w:r>
        <w:rPr>
          <w:rFonts w:hint="eastAsia" w:ascii="宋体" w:hAnsi="宋体" w:eastAsia="宋体" w:cs="宋体"/>
          <w:color w:val="0C0C0C"/>
          <w:sz w:val="22"/>
          <w:szCs w:val="24"/>
        </w:rPr>
        <w:t>17.6 最终结清</w:t>
      </w:r>
      <w:bookmarkEnd w:id="374"/>
      <w:bookmarkEnd w:id="375"/>
      <w:bookmarkEnd w:id="376"/>
      <w:bookmarkEnd w:id="377"/>
    </w:p>
    <w:p w14:paraId="475E8493">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17.6.1 最终结清申请单</w:t>
      </w:r>
    </w:p>
    <w:p w14:paraId="0085D057">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本项（1）目约定为：</w:t>
      </w:r>
    </w:p>
    <w:p w14:paraId="2BD175F5">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承包人向监理人提交最终结清申请单（包括相关证明材料）的份数在项目专用合同条款数据表中约定；期限：缺陷责任期终止证书签发后 28 天内。</w:t>
      </w:r>
    </w:p>
    <w:p w14:paraId="5ED3ABEB">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最终结清申请单中的总金额应认为是代表了根据合同规定应付给承包人的全部款项的最后结算。</w:t>
      </w:r>
    </w:p>
    <w:p w14:paraId="7D6ABB70">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17.6.2 最终结清证书和支付时间</w:t>
      </w:r>
    </w:p>
    <w:p w14:paraId="63C40116">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本项（2）目细化为：</w:t>
      </w:r>
    </w:p>
    <w:p w14:paraId="39DEF0FB">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（2）发包人应在监理人出具最终结清证书且承包人提交了合格的增值税专用发票后的 14 天内，将应支付款支付给承包人。发包人不按期支付的，按第 17.3.3（2）目的约定，将逾期付款违约金支付给承包人。</w:t>
      </w:r>
    </w:p>
    <w:p w14:paraId="6A870EEB">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378" w:name="_bookmark231"/>
      <w:bookmarkEnd w:id="378"/>
      <w:bookmarkStart w:id="379" w:name="_Toc139463595"/>
      <w:bookmarkStart w:id="380" w:name="_Toc120443052"/>
      <w:bookmarkStart w:id="381" w:name="_Toc139464360"/>
      <w:bookmarkStart w:id="382" w:name="_Toc139462796"/>
      <w:r>
        <w:rPr>
          <w:rFonts w:hint="eastAsia" w:ascii="宋体" w:hAnsi="宋体" w:eastAsia="宋体" w:cs="宋体"/>
          <w:color w:val="0C0C0C"/>
          <w:sz w:val="22"/>
          <w:szCs w:val="24"/>
        </w:rPr>
        <w:t>18.交工验收</w:t>
      </w:r>
      <w:bookmarkEnd w:id="379"/>
      <w:bookmarkEnd w:id="380"/>
      <w:bookmarkEnd w:id="381"/>
      <w:bookmarkEnd w:id="382"/>
    </w:p>
    <w:p w14:paraId="57DAEF07">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383" w:name="_bookmark232"/>
      <w:bookmarkEnd w:id="383"/>
      <w:bookmarkStart w:id="384" w:name="_Toc139462797"/>
      <w:bookmarkStart w:id="385" w:name="_Toc139463596"/>
      <w:bookmarkStart w:id="386" w:name="_Toc120443053"/>
      <w:bookmarkStart w:id="387" w:name="_Toc139464361"/>
      <w:r>
        <w:rPr>
          <w:rFonts w:hint="eastAsia" w:ascii="宋体" w:hAnsi="宋体" w:eastAsia="宋体" w:cs="宋体"/>
          <w:color w:val="0C0C0C"/>
          <w:sz w:val="22"/>
          <w:szCs w:val="24"/>
        </w:rPr>
        <w:t>18.2 交工验收申请报告</w:t>
      </w:r>
      <w:bookmarkEnd w:id="384"/>
      <w:bookmarkEnd w:id="385"/>
      <w:bookmarkEnd w:id="386"/>
      <w:bookmarkEnd w:id="387"/>
    </w:p>
    <w:p w14:paraId="3052A013">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本款第（2）项约定为：</w:t>
      </w:r>
    </w:p>
    <w:p w14:paraId="4AF82318">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竣工资料的内容：承包人应按照《公路工程竣（交）工验收办法》和相关规定编制竣工资料。</w:t>
      </w:r>
    </w:p>
    <w:p w14:paraId="31ADEFB1">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竣工资料的份数在项目专用合同条款数据表中约定。</w:t>
      </w:r>
    </w:p>
    <w:p w14:paraId="5A13DD29">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388" w:name="_bookmark233"/>
      <w:bookmarkEnd w:id="388"/>
      <w:bookmarkStart w:id="389" w:name="_Toc139462798"/>
      <w:bookmarkStart w:id="390" w:name="_Toc139463597"/>
      <w:bookmarkStart w:id="391" w:name="_Toc120443054"/>
      <w:bookmarkStart w:id="392" w:name="_Toc139464362"/>
      <w:r>
        <w:rPr>
          <w:rFonts w:hint="eastAsia" w:ascii="宋体" w:hAnsi="宋体" w:eastAsia="宋体" w:cs="宋体"/>
          <w:color w:val="0C0C0C"/>
          <w:sz w:val="22"/>
          <w:szCs w:val="24"/>
        </w:rPr>
        <w:t>18.3 验收</w:t>
      </w:r>
      <w:bookmarkEnd w:id="389"/>
      <w:bookmarkEnd w:id="390"/>
      <w:bookmarkEnd w:id="391"/>
      <w:bookmarkEnd w:id="392"/>
    </w:p>
    <w:p w14:paraId="3DC47D71">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bookmarkStart w:id="393" w:name="_Toc11084"/>
      <w:r>
        <w:rPr>
          <w:rFonts w:hint="eastAsia" w:ascii="宋体" w:hAnsi="宋体" w:eastAsia="宋体" w:cs="宋体"/>
          <w:color w:val="0C0C0C"/>
          <w:szCs w:val="24"/>
        </w:rPr>
        <w:t>第18.3.2项补充：</w:t>
      </w:r>
      <w:bookmarkEnd w:id="393"/>
    </w:p>
    <w:p w14:paraId="3DEE1CDF">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交工验收由发包人主持，由发包人、监理人、质监、设计、施工、运营、管理养护等有关部门代表组成交工验收小组，对本项目的工程质量进行评定，并写出交工验收报告报交通运输主管部门备案。承包人应按发包人的要求提交竣工资料，完成交工验收准备工作。</w:t>
      </w:r>
    </w:p>
    <w:p w14:paraId="3C0BA4AB">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bookmarkStart w:id="394" w:name="_Toc21316"/>
      <w:r>
        <w:rPr>
          <w:rFonts w:hint="eastAsia" w:ascii="宋体" w:hAnsi="宋体" w:eastAsia="宋体" w:cs="宋体"/>
          <w:color w:val="0C0C0C"/>
          <w:szCs w:val="24"/>
        </w:rPr>
        <w:t>第18.3.5项约定为：</w:t>
      </w:r>
      <w:bookmarkEnd w:id="394"/>
    </w:p>
    <w:p w14:paraId="6345852D">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经验收合格工程的实际交工日期，以最终提交交工验收申请报告的日期为准， 并在交工验收证书中写明。</w:t>
      </w:r>
    </w:p>
    <w:p w14:paraId="276C4FCB">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本款补充第18.3.7项：</w:t>
      </w:r>
    </w:p>
    <w:p w14:paraId="1E1DB64A">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组织办理交工验收和签发交工验收证书的费用由发包人承担。但按照第 18.3.4项规定达不到合格标准的交工验收费用由承包人承担。</w:t>
      </w:r>
    </w:p>
    <w:p w14:paraId="0214EFE7">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本条补充第18.9款：</w:t>
      </w:r>
    </w:p>
    <w:p w14:paraId="0EBC1586">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395" w:name="_bookmark234"/>
      <w:bookmarkEnd w:id="395"/>
      <w:bookmarkStart w:id="396" w:name="_Toc139463598"/>
      <w:bookmarkStart w:id="397" w:name="_Toc139464363"/>
      <w:bookmarkStart w:id="398" w:name="_Toc139462799"/>
      <w:bookmarkStart w:id="399" w:name="_Toc120443055"/>
      <w:r>
        <w:rPr>
          <w:rFonts w:hint="eastAsia" w:ascii="宋体" w:hAnsi="宋体" w:eastAsia="宋体" w:cs="宋体"/>
          <w:color w:val="0C0C0C"/>
          <w:sz w:val="22"/>
          <w:szCs w:val="24"/>
        </w:rPr>
        <w:t>18.9 竣工文件</w:t>
      </w:r>
      <w:bookmarkEnd w:id="396"/>
      <w:bookmarkEnd w:id="397"/>
      <w:bookmarkEnd w:id="398"/>
      <w:bookmarkEnd w:id="399"/>
    </w:p>
    <w:p w14:paraId="4B38B39F">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承包人应按照《公路工程竣（交）工验收办法》的相关规定，在缺陷责任期内为竣工验收补充竣工资料，并在签发缺陷责任期终止证书之前提交。</w:t>
      </w:r>
    </w:p>
    <w:p w14:paraId="474FEDEC">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400" w:name="_bookmark235"/>
      <w:bookmarkEnd w:id="400"/>
      <w:bookmarkStart w:id="401" w:name="_Toc120443056"/>
      <w:bookmarkStart w:id="402" w:name="_Toc139464364"/>
      <w:bookmarkStart w:id="403" w:name="_Toc139463599"/>
      <w:bookmarkStart w:id="404" w:name="_Toc139462800"/>
      <w:r>
        <w:rPr>
          <w:rFonts w:hint="eastAsia" w:ascii="宋体" w:hAnsi="宋体" w:eastAsia="宋体" w:cs="宋体"/>
          <w:color w:val="0C0C0C"/>
          <w:sz w:val="22"/>
          <w:szCs w:val="24"/>
        </w:rPr>
        <w:t>19.缺陷责任与保修责任</w:t>
      </w:r>
      <w:bookmarkEnd w:id="401"/>
      <w:bookmarkEnd w:id="402"/>
      <w:bookmarkEnd w:id="403"/>
      <w:bookmarkEnd w:id="404"/>
    </w:p>
    <w:p w14:paraId="0FEC0235">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405" w:name="_bookmark236"/>
      <w:bookmarkEnd w:id="405"/>
      <w:bookmarkStart w:id="406" w:name="_Toc139464365"/>
      <w:bookmarkStart w:id="407" w:name="_Toc139463600"/>
      <w:bookmarkStart w:id="408" w:name="_Toc139462801"/>
      <w:bookmarkStart w:id="409" w:name="_Toc120443057"/>
      <w:r>
        <w:rPr>
          <w:rFonts w:hint="eastAsia" w:ascii="宋体" w:hAnsi="宋体" w:eastAsia="宋体" w:cs="宋体"/>
          <w:color w:val="0C0C0C"/>
          <w:sz w:val="22"/>
          <w:szCs w:val="24"/>
        </w:rPr>
        <w:t>19.2 缺陷责任</w:t>
      </w:r>
      <w:bookmarkEnd w:id="406"/>
      <w:bookmarkEnd w:id="407"/>
      <w:bookmarkEnd w:id="408"/>
      <w:bookmarkEnd w:id="409"/>
    </w:p>
    <w:p w14:paraId="44EC4086">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bookmarkStart w:id="410" w:name="_Toc25807"/>
      <w:r>
        <w:rPr>
          <w:rFonts w:hint="eastAsia" w:ascii="宋体" w:hAnsi="宋体" w:eastAsia="宋体" w:cs="宋体"/>
          <w:color w:val="0C0C0C"/>
          <w:szCs w:val="24"/>
        </w:rPr>
        <w:t>第19.2.2项补充：</w:t>
      </w:r>
      <w:bookmarkEnd w:id="410"/>
    </w:p>
    <w:p w14:paraId="26C325C2">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在缺陷责任期内，承包人应尽快完成在交工验收证书中写明的未完成工作，并完成对本工程缺陷的修复或监理人指令的修补工作。</w:t>
      </w:r>
    </w:p>
    <w:p w14:paraId="795B8F0E">
      <w:pPr>
        <w:pStyle w:val="11"/>
        <w:widowControl w:val="0"/>
        <w:tabs>
          <w:tab w:val="left" w:pos="1901"/>
        </w:tabs>
        <w:autoSpaceDE w:val="0"/>
        <w:autoSpaceDN w:val="0"/>
        <w:spacing w:after="0"/>
        <w:ind w:left="0" w:firstLine="442" w:firstLineChars="200"/>
        <w:rPr>
          <w:rFonts w:hint="eastAsia" w:ascii="宋体" w:hAnsi="宋体" w:eastAsia="宋体" w:cs="宋体"/>
          <w:b/>
          <w:bCs/>
          <w:color w:val="0C0C0C"/>
          <w:szCs w:val="24"/>
        </w:rPr>
      </w:pPr>
      <w:bookmarkStart w:id="411" w:name="_bookmark237"/>
      <w:bookmarkEnd w:id="411"/>
      <w:bookmarkStart w:id="412" w:name="_Toc120443058"/>
      <w:r>
        <w:rPr>
          <w:rFonts w:hint="eastAsia" w:ascii="宋体" w:hAnsi="宋体" w:eastAsia="宋体" w:cs="宋体"/>
          <w:b/>
          <w:bCs/>
          <w:color w:val="0C0C0C"/>
          <w:szCs w:val="24"/>
        </w:rPr>
        <w:t>19.5 承包人的进入权</w:t>
      </w:r>
      <w:bookmarkEnd w:id="412"/>
    </w:p>
    <w:p w14:paraId="1A3E1CF2">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本款补充：</w:t>
      </w:r>
    </w:p>
    <w:p w14:paraId="783A563B">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承包人在缺陷修复施工过程中，应服从管养单位的有关安全管理规定，由于承包人自身原因造成的人员伤亡、设备和材料的损毁及罚款等责任由承包人自负。</w:t>
      </w:r>
    </w:p>
    <w:p w14:paraId="2803BA6F">
      <w:pPr>
        <w:pStyle w:val="11"/>
        <w:widowControl w:val="0"/>
        <w:tabs>
          <w:tab w:val="left" w:pos="1901"/>
        </w:tabs>
        <w:autoSpaceDE w:val="0"/>
        <w:autoSpaceDN w:val="0"/>
        <w:spacing w:after="0"/>
        <w:ind w:left="0" w:firstLine="442" w:firstLineChars="200"/>
        <w:rPr>
          <w:rFonts w:hint="eastAsia" w:ascii="宋体" w:hAnsi="宋体" w:eastAsia="宋体" w:cs="宋体"/>
          <w:b/>
          <w:bCs/>
          <w:color w:val="0C0C0C"/>
          <w:szCs w:val="24"/>
        </w:rPr>
      </w:pPr>
      <w:bookmarkStart w:id="413" w:name="_bookmark238"/>
      <w:bookmarkEnd w:id="413"/>
      <w:bookmarkStart w:id="414" w:name="_Toc120443059"/>
      <w:r>
        <w:rPr>
          <w:rFonts w:hint="eastAsia" w:ascii="宋体" w:hAnsi="宋体" w:eastAsia="宋体" w:cs="宋体"/>
          <w:b/>
          <w:bCs/>
          <w:color w:val="0C0C0C"/>
          <w:szCs w:val="24"/>
        </w:rPr>
        <w:t>19.7 保修责任</w:t>
      </w:r>
      <w:bookmarkEnd w:id="414"/>
    </w:p>
    <w:p w14:paraId="49248424">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本款细化为：</w:t>
      </w:r>
    </w:p>
    <w:p w14:paraId="0470C9FC">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1）保修期自实际交工日期起计算，具体期限在项目专用合同条款数据表中约定。保修期与缺陷责任期重叠的期间内，承包人的保修责任同缺陷责任。在缺陷责任期满后的保修期内，承包人可不在工地留有办事人员和机械设备，但必须随时与发包人保持联系，在保修期内承包人应对由于施工质量原因造成的损坏自费进行修复。</w:t>
      </w:r>
    </w:p>
    <w:p w14:paraId="664C49F9">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（2）在全部工程交工验收前，已经发包人提前验收的单位工程，其保修期的起算日期相应提前。</w:t>
      </w:r>
    </w:p>
    <w:p w14:paraId="344A903E">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（3）工程保修期终止后 28 天内，监理人签发保修期终止证书。</w:t>
      </w:r>
    </w:p>
    <w:p w14:paraId="74024E5E">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（4）若承包人不履行保修义务和责任，则承包人应承担由于违约造成的法律后果，并由发包人将其违约行为上报省级交通运输主管部门，作为不良记录纳入公路建设市场信用信息管理系统。</w:t>
      </w:r>
    </w:p>
    <w:p w14:paraId="3C5FA376">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415" w:name="_bookmark239"/>
      <w:bookmarkEnd w:id="415"/>
      <w:bookmarkStart w:id="416" w:name="_Toc139463601"/>
      <w:bookmarkStart w:id="417" w:name="_Toc139462802"/>
      <w:bookmarkStart w:id="418" w:name="_Toc139464366"/>
      <w:bookmarkStart w:id="419" w:name="_Toc120443060"/>
      <w:r>
        <w:rPr>
          <w:rFonts w:hint="eastAsia" w:ascii="宋体" w:hAnsi="宋体" w:eastAsia="宋体" w:cs="宋体"/>
          <w:color w:val="0C0C0C"/>
          <w:sz w:val="22"/>
          <w:szCs w:val="24"/>
        </w:rPr>
        <w:t>20. 保险</w:t>
      </w:r>
      <w:bookmarkEnd w:id="416"/>
      <w:bookmarkEnd w:id="417"/>
      <w:bookmarkEnd w:id="418"/>
      <w:bookmarkEnd w:id="419"/>
    </w:p>
    <w:p w14:paraId="59AAFEB8">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420" w:name="_bookmark240"/>
      <w:bookmarkEnd w:id="420"/>
      <w:bookmarkStart w:id="421" w:name="_Toc139462803"/>
      <w:bookmarkStart w:id="422" w:name="_Toc139464367"/>
      <w:bookmarkStart w:id="423" w:name="_Toc120443061"/>
      <w:bookmarkStart w:id="424" w:name="_Toc139463602"/>
      <w:r>
        <w:rPr>
          <w:rFonts w:hint="eastAsia" w:ascii="宋体" w:hAnsi="宋体" w:eastAsia="宋体" w:cs="宋体"/>
          <w:color w:val="0C0C0C"/>
          <w:sz w:val="22"/>
          <w:szCs w:val="24"/>
        </w:rPr>
        <w:t>20.1 工程保险</w:t>
      </w:r>
      <w:bookmarkEnd w:id="421"/>
      <w:bookmarkEnd w:id="422"/>
      <w:bookmarkEnd w:id="423"/>
      <w:bookmarkEnd w:id="424"/>
    </w:p>
    <w:p w14:paraId="40AE5D9F">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本款约定为：</w:t>
      </w:r>
    </w:p>
    <w:p w14:paraId="57F63649">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建筑工程一切险的投保内容：为本合同工程的永久工程、临时工程和设备及已运至施工工地用于永久工程的材料和设备所投的保险。</w:t>
      </w:r>
    </w:p>
    <w:p w14:paraId="4DBFC726">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保险金额：工程量清单第100章（不含建筑工程一切险及第三者责任险的保险费）至第700章的合计金额。</w:t>
      </w:r>
    </w:p>
    <w:p w14:paraId="7672CB1C">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保险费率：在项目专用合同条款数据表中约定。</w:t>
      </w:r>
    </w:p>
    <w:p w14:paraId="1C68AE1A">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保险期限：开工日起直至本合同工程签发缺陷责任期终止证书止（即合同工期+缺陷责任期）。</w:t>
      </w:r>
    </w:p>
    <w:p w14:paraId="66314D58">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承包人应以发包人和承包人的共同名义投保建筑工程一切险。建筑工程一切险的保险费由承包人报价时列入工程量清单第100章内。发包人在接到保险单后，将按照保险单的费用直接向承包人支付。</w:t>
      </w:r>
    </w:p>
    <w:p w14:paraId="5EB39282">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425" w:name="_bookmark241"/>
      <w:bookmarkEnd w:id="425"/>
      <w:bookmarkStart w:id="426" w:name="_Toc139463603"/>
      <w:bookmarkStart w:id="427" w:name="_Toc139464368"/>
      <w:bookmarkStart w:id="428" w:name="_Toc120443062"/>
      <w:bookmarkStart w:id="429" w:name="_Toc139462804"/>
      <w:r>
        <w:rPr>
          <w:rFonts w:hint="eastAsia" w:ascii="宋体" w:hAnsi="宋体" w:eastAsia="宋体" w:cs="宋体"/>
          <w:color w:val="0C0C0C"/>
          <w:sz w:val="22"/>
          <w:szCs w:val="24"/>
        </w:rPr>
        <w:t>20.4 第三者责任险</w:t>
      </w:r>
      <w:bookmarkEnd w:id="426"/>
      <w:bookmarkEnd w:id="427"/>
      <w:bookmarkEnd w:id="428"/>
      <w:bookmarkEnd w:id="429"/>
    </w:p>
    <w:p w14:paraId="6BE74C80">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bookmarkStart w:id="430" w:name="_Toc16838"/>
      <w:r>
        <w:rPr>
          <w:rFonts w:hint="eastAsia" w:ascii="宋体" w:hAnsi="宋体" w:eastAsia="宋体" w:cs="宋体"/>
          <w:color w:val="0C0C0C"/>
          <w:szCs w:val="24"/>
        </w:rPr>
        <w:t>第20.4.2项补充：</w:t>
      </w:r>
      <w:bookmarkEnd w:id="430"/>
    </w:p>
    <w:p w14:paraId="750E2707">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第三者责任险的保险费由承包人报价时列入工程量清单第 100 章内。发包人在接到保险单后，将按照保险单的费用直接向承包人支付。</w:t>
      </w:r>
    </w:p>
    <w:p w14:paraId="65D978A8">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431" w:name="_bookmark242"/>
      <w:bookmarkEnd w:id="431"/>
      <w:bookmarkStart w:id="432" w:name="_Toc139463604"/>
      <w:bookmarkStart w:id="433" w:name="_Toc139462805"/>
      <w:bookmarkStart w:id="434" w:name="_Toc139464369"/>
      <w:bookmarkStart w:id="435" w:name="_Toc120443063"/>
      <w:r>
        <w:rPr>
          <w:rFonts w:hint="eastAsia" w:ascii="宋体" w:hAnsi="宋体" w:eastAsia="宋体" w:cs="宋体"/>
          <w:color w:val="0C0C0C"/>
          <w:sz w:val="22"/>
          <w:szCs w:val="24"/>
        </w:rPr>
        <w:t>20.5 其他保险</w:t>
      </w:r>
      <w:bookmarkEnd w:id="432"/>
      <w:bookmarkEnd w:id="433"/>
      <w:bookmarkEnd w:id="434"/>
      <w:bookmarkEnd w:id="435"/>
    </w:p>
    <w:p w14:paraId="773BAB2D">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本款约定为：</w:t>
      </w:r>
    </w:p>
    <w:p w14:paraId="6CE2B98D">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承包人应为其施工设备等办理保险，其投保金额应足以现场重置。办理本款保险的一切费用均由承包人承担，并包括在工程量清单的单价及总额价中，发包人不单独支付。</w:t>
      </w:r>
    </w:p>
    <w:p w14:paraId="7F6F2950">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436" w:name="_bookmark243"/>
      <w:bookmarkEnd w:id="436"/>
      <w:bookmarkStart w:id="437" w:name="_Toc139462806"/>
      <w:bookmarkStart w:id="438" w:name="_Toc139463605"/>
      <w:bookmarkStart w:id="439" w:name="_Toc120443064"/>
      <w:bookmarkStart w:id="440" w:name="_Toc139464370"/>
      <w:r>
        <w:rPr>
          <w:rFonts w:hint="eastAsia" w:ascii="宋体" w:hAnsi="宋体" w:eastAsia="宋体" w:cs="宋体"/>
          <w:color w:val="0C0C0C"/>
          <w:sz w:val="22"/>
          <w:szCs w:val="24"/>
        </w:rPr>
        <w:t>20.6 对各项保险的一般要求</w:t>
      </w:r>
      <w:bookmarkEnd w:id="437"/>
      <w:bookmarkEnd w:id="438"/>
      <w:bookmarkEnd w:id="439"/>
      <w:bookmarkEnd w:id="440"/>
    </w:p>
    <w:p w14:paraId="49FAF8D8">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20.6.1 保险凭证</w:t>
      </w:r>
    </w:p>
    <w:p w14:paraId="536F1C88">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本项约定为：</w:t>
      </w:r>
    </w:p>
    <w:p w14:paraId="14335131">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承包人向发包人提交各项保险生效的证据和保险单副本的期限：开工后 56 天内。</w:t>
      </w:r>
    </w:p>
    <w:p w14:paraId="7F19E9C7">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20.6.3 持续保险</w:t>
      </w:r>
    </w:p>
    <w:p w14:paraId="33F338A1">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本项补充：</w:t>
      </w:r>
    </w:p>
    <w:p w14:paraId="37F1E33C">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在整个合同期内，承包人应按合同条款规定保证足够的保险额。</w:t>
      </w:r>
    </w:p>
    <w:p w14:paraId="7E5F30B1">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20.6.4 保险金不足的补偿</w:t>
      </w:r>
    </w:p>
    <w:p w14:paraId="7ACE5E40">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本项细化为：</w:t>
      </w:r>
    </w:p>
    <w:p w14:paraId="13DAB774">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保险金不足以补偿损失的（包括免赔额和超过赔偿限额的部分），应由承包人和（或）发包人按合同约定负责补偿。</w:t>
      </w:r>
    </w:p>
    <w:p w14:paraId="00B4F376">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20.6.5 未按约定投保的补救</w:t>
      </w:r>
    </w:p>
    <w:p w14:paraId="01DDD115">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本项（2）目细化为：</w:t>
      </w:r>
    </w:p>
    <w:p w14:paraId="7A8CE9F6">
      <w:pPr>
        <w:pStyle w:val="11"/>
        <w:widowControl w:val="0"/>
        <w:tabs>
          <w:tab w:val="left" w:pos="1901"/>
        </w:tabs>
        <w:autoSpaceDE w:val="0"/>
        <w:autoSpaceDN w:val="0"/>
        <w:spacing w:after="0"/>
        <w:ind w:left="0" w:firstLine="440" w:firstLineChars="200"/>
        <w:rPr>
          <w:rFonts w:hint="eastAsia" w:ascii="宋体" w:hAnsi="宋体" w:eastAsia="宋体" w:cs="宋体"/>
          <w:color w:val="0C0C0C"/>
        </w:rPr>
      </w:pPr>
      <w:r>
        <w:rPr>
          <w:rFonts w:hint="eastAsia" w:ascii="宋体" w:hAnsi="宋体" w:eastAsia="宋体" w:cs="宋体"/>
          <w:color w:val="0C0C0C"/>
          <w:szCs w:val="24"/>
        </w:rPr>
        <w:t>（2）由于负有投保义务的一方当事人未按合同约定办理某项保险，或未按保险单规定的条件和期限及时向保险人报告事故情况，或未按要求的保险期限进行投保，或未按要求投保足够的保险金额，导致受益人未能或未能全部得到保险人的赔偿，原应从该项保险得到的保险金应由负有投保义务的一方当事人支付。</w:t>
      </w:r>
    </w:p>
    <w:p w14:paraId="66A25EBC">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441" w:name="_bookmark244"/>
      <w:bookmarkEnd w:id="441"/>
      <w:bookmarkStart w:id="442" w:name="_Toc139462807"/>
      <w:bookmarkStart w:id="443" w:name="_Toc139464371"/>
      <w:bookmarkStart w:id="444" w:name="_Toc120443065"/>
      <w:bookmarkStart w:id="445" w:name="_Toc139463606"/>
      <w:r>
        <w:rPr>
          <w:rFonts w:hint="eastAsia" w:ascii="宋体" w:hAnsi="宋体" w:eastAsia="宋体" w:cs="宋体"/>
          <w:color w:val="0C0C0C"/>
          <w:sz w:val="22"/>
          <w:szCs w:val="24"/>
        </w:rPr>
        <w:t>21.不可抗力</w:t>
      </w:r>
      <w:bookmarkEnd w:id="442"/>
      <w:bookmarkEnd w:id="443"/>
      <w:bookmarkEnd w:id="444"/>
      <w:bookmarkEnd w:id="445"/>
    </w:p>
    <w:p w14:paraId="30147445">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446" w:name="_bookmark245"/>
      <w:bookmarkEnd w:id="446"/>
      <w:bookmarkStart w:id="447" w:name="_Toc120443066"/>
      <w:bookmarkStart w:id="448" w:name="_Toc139463607"/>
      <w:bookmarkStart w:id="449" w:name="_Toc139464372"/>
      <w:bookmarkStart w:id="450" w:name="_Toc139462808"/>
      <w:r>
        <w:rPr>
          <w:rFonts w:hint="eastAsia" w:ascii="宋体" w:hAnsi="宋体" w:eastAsia="宋体" w:cs="宋体"/>
          <w:color w:val="0C0C0C"/>
          <w:sz w:val="22"/>
          <w:szCs w:val="24"/>
        </w:rPr>
        <w:t>21.1 不可抗力的确认</w:t>
      </w:r>
      <w:bookmarkEnd w:id="447"/>
      <w:bookmarkEnd w:id="448"/>
      <w:bookmarkEnd w:id="449"/>
      <w:bookmarkEnd w:id="450"/>
    </w:p>
    <w:p w14:paraId="35DCBFEF">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bookmarkStart w:id="451" w:name="_Toc11339"/>
      <w:r>
        <w:rPr>
          <w:rFonts w:hint="eastAsia" w:ascii="宋体" w:hAnsi="宋体" w:eastAsia="宋体" w:cs="宋体"/>
          <w:color w:val="0C0C0C"/>
          <w:szCs w:val="24"/>
        </w:rPr>
        <w:t>第 21.1.1 项细化为：</w:t>
      </w:r>
      <w:bookmarkEnd w:id="451"/>
    </w:p>
    <w:p w14:paraId="611DD3D6">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不可抗力是指承包人和发包人在订立合同时不可预见，在工程施工过程中不可避免发生并不能克服的自然灾害和社会性突发事件。包括但不限于：</w:t>
      </w:r>
    </w:p>
    <w:p w14:paraId="06E1ECD9">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（1）地震、海啸、火山爆发、泥石流、暴雨（雪）、台风、龙卷风、水灾等自然灾害；</w:t>
      </w:r>
    </w:p>
    <w:p w14:paraId="4C4149DE">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（2）战争、骚乱、暴动，但纯属承包人或其分包人派遣与雇用的人员由于本合同工程施工原因引起者除外；</w:t>
      </w:r>
    </w:p>
    <w:p w14:paraId="798F4BF3">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（3）核反应、辐射或放射性污染；</w:t>
      </w:r>
    </w:p>
    <w:p w14:paraId="7508296C">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（4）空中飞行物体坠落或非发包人或承包人责任造成的爆炸、火灾；</w:t>
      </w:r>
    </w:p>
    <w:p w14:paraId="60BAAEF7">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（5）瘟疫；</w:t>
      </w:r>
    </w:p>
    <w:p w14:paraId="6DE1BA57">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（6）项目专用合同条款约定的其他情形。</w:t>
      </w:r>
    </w:p>
    <w:p w14:paraId="79E55B23">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452" w:name="_bookmark246"/>
      <w:bookmarkEnd w:id="452"/>
      <w:bookmarkStart w:id="453" w:name="_Toc139462809"/>
      <w:bookmarkStart w:id="454" w:name="_Toc120443067"/>
      <w:bookmarkStart w:id="455" w:name="_Toc139463608"/>
      <w:bookmarkStart w:id="456" w:name="_Toc139464373"/>
      <w:r>
        <w:rPr>
          <w:rFonts w:hint="eastAsia" w:ascii="宋体" w:hAnsi="宋体" w:eastAsia="宋体" w:cs="宋体"/>
          <w:color w:val="0C0C0C"/>
          <w:sz w:val="22"/>
          <w:szCs w:val="24"/>
        </w:rPr>
        <w:t>21.3 不可抗力后果及其处理</w:t>
      </w:r>
      <w:bookmarkEnd w:id="453"/>
      <w:bookmarkEnd w:id="454"/>
      <w:bookmarkEnd w:id="455"/>
      <w:bookmarkEnd w:id="456"/>
    </w:p>
    <w:p w14:paraId="148E56D5">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21.3.4 因不可抗力解除合同</w:t>
      </w:r>
    </w:p>
    <w:p w14:paraId="5B8BF829">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本项细化为：</w:t>
      </w:r>
    </w:p>
    <w:p w14:paraId="5C8CC291">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合同一方当事人因不可抗力不能履行合同的，应当及时通知对方解除合同。合同解除后，承包人应按照第 22.2.5 项约定撤离施工场地。已经订货的材料、设备由订货方负责退货或解除订货合同，不能退还的货款和因退货、解除订货合同发生的费用，由发包人承担，因未及时退货造成的损失由责任方承担。合同解除后的付款， 参照第 22.2.4 项约定，由监理人按第 3.5 款商定或确定，但由于解除合同应赔偿的承包人损失不予考虑。</w:t>
      </w:r>
    </w:p>
    <w:p w14:paraId="4624BF91">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457" w:name="_bookmark247"/>
      <w:bookmarkEnd w:id="457"/>
      <w:bookmarkStart w:id="458" w:name="_Toc139463609"/>
      <w:bookmarkStart w:id="459" w:name="_Toc139464374"/>
      <w:bookmarkStart w:id="460" w:name="_Toc139462810"/>
      <w:bookmarkStart w:id="461" w:name="_Toc120443068"/>
      <w:r>
        <w:rPr>
          <w:rFonts w:hint="eastAsia" w:ascii="宋体" w:hAnsi="宋体" w:eastAsia="宋体" w:cs="宋体"/>
          <w:color w:val="0C0C0C"/>
          <w:sz w:val="22"/>
          <w:szCs w:val="24"/>
        </w:rPr>
        <w:t>22.违约</w:t>
      </w:r>
      <w:bookmarkEnd w:id="458"/>
      <w:bookmarkEnd w:id="459"/>
      <w:bookmarkEnd w:id="460"/>
      <w:bookmarkEnd w:id="461"/>
    </w:p>
    <w:p w14:paraId="1383E449">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462" w:name="_bookmark248"/>
      <w:bookmarkEnd w:id="462"/>
      <w:bookmarkStart w:id="463" w:name="_Toc139462811"/>
      <w:bookmarkStart w:id="464" w:name="_Toc120443069"/>
      <w:bookmarkStart w:id="465" w:name="_Toc139463610"/>
      <w:bookmarkStart w:id="466" w:name="_Toc139464375"/>
      <w:r>
        <w:rPr>
          <w:rFonts w:hint="eastAsia" w:ascii="宋体" w:hAnsi="宋体" w:eastAsia="宋体" w:cs="宋体"/>
          <w:color w:val="0C0C0C"/>
          <w:sz w:val="22"/>
          <w:szCs w:val="24"/>
        </w:rPr>
        <w:t>22.1 承包人违约</w:t>
      </w:r>
      <w:bookmarkEnd w:id="463"/>
      <w:bookmarkEnd w:id="464"/>
      <w:bookmarkEnd w:id="465"/>
      <w:bookmarkEnd w:id="466"/>
    </w:p>
    <w:p w14:paraId="29A13CD0">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22.1.1 承包人违约的情形</w:t>
      </w:r>
    </w:p>
    <w:p w14:paraId="4BD8DBBD">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本项（2）目细化为：</w:t>
      </w:r>
    </w:p>
    <w:p w14:paraId="6FB21411">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（2）承包人违反第5.3款或第6.4款的约定，未经监理人批准，私自将已按合同约定进入施工场地的施工设备、临时设施、材料或工程设备撤离施工场地；</w:t>
      </w:r>
    </w:p>
    <w:p w14:paraId="36F856D6">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本项（7）目细化为：</w:t>
      </w:r>
    </w:p>
    <w:p w14:paraId="5085DCA1">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（7）承包人未能按期开工；</w:t>
      </w:r>
    </w:p>
    <w:p w14:paraId="369338DE">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（8）承包人违反第 4.6 款或第 6.3 款的规定，未按承诺或未按监理人的要求及时配备称职的主要管理人员、技术骨干或关键施工设备；</w:t>
      </w:r>
    </w:p>
    <w:p w14:paraId="7D191F2B">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（9）经监理人和发包人检查，发现承包人有安全问题或有违反安全管理规章制度的情况；</w:t>
      </w:r>
    </w:p>
    <w:p w14:paraId="2072E935">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（10）承包人不按合同约定履行义务的其他情况。</w:t>
      </w:r>
    </w:p>
    <w:p w14:paraId="5F53DB79">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22.1.2 对承包人违约的处理</w:t>
      </w:r>
    </w:p>
    <w:p w14:paraId="7D6D837A">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本项补充：</w:t>
      </w:r>
    </w:p>
    <w:p w14:paraId="14D40B8F">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（4）承包人发生第 22.1.1 项约定的违约情况时，无论发包人是否解除合同，发包人均有权向承包人课以项目专用合同条款中规定的违约金，并由发包人将其违约行为上报省级交通运输主管部门，作为不良记录纳入公路建设市场信用信息管理系统。</w:t>
      </w:r>
    </w:p>
    <w:p w14:paraId="3E0911A1">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467" w:name="_bookmark249"/>
      <w:bookmarkEnd w:id="467"/>
      <w:bookmarkStart w:id="468" w:name="_Toc139462812"/>
      <w:bookmarkStart w:id="469" w:name="_Toc120443070"/>
      <w:bookmarkStart w:id="470" w:name="_Toc139464376"/>
      <w:bookmarkStart w:id="471" w:name="_Toc139463611"/>
      <w:r>
        <w:rPr>
          <w:rFonts w:hint="eastAsia" w:ascii="宋体" w:hAnsi="宋体" w:eastAsia="宋体" w:cs="宋体"/>
          <w:color w:val="0C0C0C"/>
          <w:sz w:val="22"/>
          <w:szCs w:val="24"/>
        </w:rPr>
        <w:t>22.2 发包人违约</w:t>
      </w:r>
      <w:bookmarkEnd w:id="468"/>
      <w:bookmarkEnd w:id="469"/>
      <w:bookmarkEnd w:id="470"/>
      <w:bookmarkEnd w:id="471"/>
    </w:p>
    <w:p w14:paraId="41FDED13">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22.2.1 发包人违约的情形</w:t>
      </w:r>
    </w:p>
    <w:p w14:paraId="56BD33EB">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本项（5）目细化为：</w:t>
      </w:r>
    </w:p>
    <w:p w14:paraId="327F7D20">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（5）发包人无正当理由不按时返还履约保证金、质量保证金或农民工工资保证金的；</w:t>
      </w:r>
    </w:p>
    <w:p w14:paraId="29EFB09D">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（6）发包人不履行合同约定其他义务的。</w:t>
      </w:r>
    </w:p>
    <w:p w14:paraId="4B58D846">
      <w:pPr>
        <w:pStyle w:val="11"/>
        <w:widowControl w:val="0"/>
        <w:tabs>
          <w:tab w:val="left" w:pos="1901"/>
        </w:tabs>
        <w:autoSpaceDE w:val="0"/>
        <w:autoSpaceDN w:val="0"/>
        <w:spacing w:after="0"/>
        <w:ind w:left="0" w:firstLine="442" w:firstLineChars="200"/>
        <w:rPr>
          <w:rFonts w:hint="eastAsia" w:ascii="宋体" w:hAnsi="宋体" w:eastAsia="宋体" w:cs="宋体"/>
          <w:color w:val="0C0C0C"/>
          <w:szCs w:val="24"/>
        </w:rPr>
      </w:pPr>
      <w:r>
        <w:rPr>
          <w:rFonts w:hint="eastAsia" w:ascii="宋体" w:hAnsi="宋体" w:eastAsia="宋体" w:cs="宋体"/>
          <w:b/>
          <w:bCs/>
          <w:color w:val="0C0C0C"/>
          <w:szCs w:val="24"/>
          <w:lang w:val="en-US" w:eastAsia="zh-CN"/>
        </w:rPr>
        <w:t xml:space="preserve">22.2.2 </w:t>
      </w:r>
      <w:r>
        <w:rPr>
          <w:rFonts w:hint="eastAsia" w:ascii="宋体" w:hAnsi="宋体" w:eastAsia="宋体" w:cs="宋体"/>
          <w:color w:val="0C0C0C"/>
          <w:szCs w:val="24"/>
        </w:rPr>
        <w:t>承包人有权暂停施工</w:t>
      </w:r>
    </w:p>
    <w:p w14:paraId="2D343F8A">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本项细化为：</w:t>
      </w:r>
    </w:p>
    <w:p w14:paraId="400AF46B">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发包人发生除第 22.2.1（4）、（5）目以外的违约情况时，承包人可向发包人发出通知，要求发包人采取有效措施纠正违约行为。发包人收到承包人通知后的 28 天内仍不履行合同义务，承包人有权暂停施工，并通知监理人，发包人应承担由此增加的费用和（或）工期延误，并支付承包人合理利润。</w:t>
      </w:r>
    </w:p>
    <w:p w14:paraId="73D95B48">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发包人发生第 22.2.1（5）目的违约情况时，承包人可向发包人发出通知，要求发包人采取有效措施纠正违约行为。发包人收到承包人通知后的 28 天内仍不返还履约保证金、质量保证金或农民工工资保证金的，发包人应按项目专用合同条款的约定向承包人支付逾期返还保证金的违约金。</w:t>
      </w:r>
    </w:p>
    <w:p w14:paraId="0F5694C2">
      <w:pPr>
        <w:pStyle w:val="11"/>
        <w:widowControl w:val="0"/>
        <w:tabs>
          <w:tab w:val="left" w:pos="1901"/>
        </w:tabs>
        <w:autoSpaceDE w:val="0"/>
        <w:autoSpaceDN w:val="0"/>
        <w:spacing w:after="0"/>
        <w:ind w:left="0" w:firstLine="442" w:firstLineChars="200"/>
        <w:rPr>
          <w:rFonts w:hint="eastAsia" w:ascii="宋体" w:hAnsi="宋体" w:eastAsia="宋体" w:cs="宋体"/>
          <w:b/>
          <w:bCs/>
          <w:color w:val="0C0C0C"/>
          <w:szCs w:val="24"/>
        </w:rPr>
      </w:pPr>
      <w:r>
        <w:rPr>
          <w:rFonts w:hint="eastAsia" w:ascii="宋体" w:hAnsi="宋体" w:eastAsia="宋体" w:cs="宋体"/>
          <w:b/>
          <w:bCs/>
          <w:color w:val="0C0C0C"/>
          <w:szCs w:val="24"/>
        </w:rPr>
        <w:t>22.2.4 解除合同后的付款</w:t>
      </w:r>
    </w:p>
    <w:p w14:paraId="6197724E">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本项（2）目细化为：</w:t>
      </w:r>
    </w:p>
    <w:p w14:paraId="34B2149A">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（2）承包人为该工程施工订购并已付款的材料、工程设备和其他物品的金额。发包人付款后，该材料、工程设备和其他物品归发包人所有；</w:t>
      </w:r>
    </w:p>
    <w:p w14:paraId="19377972">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472" w:name="_bookmark250"/>
      <w:bookmarkEnd w:id="472"/>
      <w:bookmarkStart w:id="473" w:name="_Toc139464377"/>
      <w:bookmarkStart w:id="474" w:name="_Toc120443071"/>
      <w:bookmarkStart w:id="475" w:name="_Toc139463612"/>
      <w:bookmarkStart w:id="476" w:name="_Toc139462813"/>
      <w:r>
        <w:rPr>
          <w:rFonts w:hint="eastAsia" w:ascii="宋体" w:hAnsi="宋体" w:eastAsia="宋体" w:cs="宋体"/>
          <w:color w:val="0C0C0C"/>
          <w:sz w:val="22"/>
          <w:szCs w:val="24"/>
        </w:rPr>
        <w:t>23.索赔</w:t>
      </w:r>
      <w:bookmarkEnd w:id="473"/>
      <w:bookmarkEnd w:id="474"/>
      <w:bookmarkEnd w:id="475"/>
      <w:bookmarkEnd w:id="476"/>
    </w:p>
    <w:p w14:paraId="6921B0C9">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477" w:name="_bookmark251"/>
      <w:bookmarkEnd w:id="477"/>
      <w:bookmarkStart w:id="478" w:name="_Toc120443072"/>
      <w:bookmarkStart w:id="479" w:name="_Toc139462814"/>
      <w:bookmarkStart w:id="480" w:name="_Toc139463613"/>
      <w:bookmarkStart w:id="481" w:name="_Toc139464378"/>
      <w:r>
        <w:rPr>
          <w:rFonts w:hint="eastAsia" w:ascii="宋体" w:hAnsi="宋体" w:eastAsia="宋体" w:cs="宋体"/>
          <w:color w:val="0C0C0C"/>
          <w:sz w:val="22"/>
          <w:szCs w:val="24"/>
        </w:rPr>
        <w:t>23.1 承包人索赔的提出</w:t>
      </w:r>
      <w:bookmarkEnd w:id="478"/>
      <w:bookmarkEnd w:id="479"/>
      <w:bookmarkEnd w:id="480"/>
      <w:bookmarkEnd w:id="481"/>
    </w:p>
    <w:p w14:paraId="0C0EFDB6">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本款第（4）项细化为：</w:t>
      </w:r>
    </w:p>
    <w:p w14:paraId="2FCFA811">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（4）在索赔事件影响结束后的 28 天内，承包人应向监理人递交最终索赔通知书，说明最终要求索赔的追加付款金额和（或）延长的工期，并附必要的记录和证明材料。</w:t>
      </w:r>
    </w:p>
    <w:p w14:paraId="76D7E9F7">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482" w:name="_bookmark252"/>
      <w:bookmarkEnd w:id="482"/>
      <w:bookmarkStart w:id="483" w:name="_Toc120443073"/>
      <w:bookmarkStart w:id="484" w:name="_Toc139462815"/>
      <w:bookmarkStart w:id="485" w:name="_Toc139464379"/>
      <w:bookmarkStart w:id="486" w:name="_Toc139463614"/>
      <w:r>
        <w:rPr>
          <w:rFonts w:hint="eastAsia" w:ascii="宋体" w:hAnsi="宋体" w:eastAsia="宋体" w:cs="宋体"/>
          <w:color w:val="0C0C0C"/>
          <w:sz w:val="22"/>
          <w:szCs w:val="24"/>
        </w:rPr>
        <w:t>23.2 承包人索赔处理程序</w:t>
      </w:r>
      <w:bookmarkEnd w:id="483"/>
      <w:bookmarkEnd w:id="484"/>
      <w:bookmarkEnd w:id="485"/>
      <w:bookmarkEnd w:id="486"/>
    </w:p>
    <w:p w14:paraId="463A89E1">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本款第（2）项细化为：</w:t>
      </w:r>
    </w:p>
    <w:p w14:paraId="59F692A6">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（2）监理人应按第 3.5 款商定或确定追加的付款和（或）延长的工期，并在收到上述索赔通知书或有关索赔的进一步证明材料后的 42 天内，将索赔处理结果报发包人批准后答复承包人。如果承包人提出的索赔要求未能遵守第 23.1（2）~（4）项的规定，则承包人只限于索赔由监理人按当时记录予以核实的那部分款额和（或） 工期延长天数。</w:t>
      </w:r>
    </w:p>
    <w:p w14:paraId="1791F858">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487" w:name="_bookmark253"/>
      <w:bookmarkEnd w:id="487"/>
      <w:bookmarkStart w:id="488" w:name="_Toc139462816"/>
      <w:bookmarkStart w:id="489" w:name="_Toc139464380"/>
      <w:bookmarkStart w:id="490" w:name="_Toc120443074"/>
      <w:bookmarkStart w:id="491" w:name="_Toc139463615"/>
      <w:r>
        <w:rPr>
          <w:rFonts w:hint="eastAsia" w:ascii="宋体" w:hAnsi="宋体" w:eastAsia="宋体" w:cs="宋体"/>
          <w:color w:val="0C0C0C"/>
          <w:sz w:val="22"/>
          <w:szCs w:val="24"/>
        </w:rPr>
        <w:t>24.争议的解决</w:t>
      </w:r>
      <w:bookmarkEnd w:id="488"/>
      <w:bookmarkEnd w:id="489"/>
      <w:bookmarkEnd w:id="490"/>
      <w:bookmarkEnd w:id="491"/>
    </w:p>
    <w:p w14:paraId="4ECB68B2">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492" w:name="_bookmark254"/>
      <w:bookmarkEnd w:id="492"/>
      <w:bookmarkStart w:id="493" w:name="_Toc120443075"/>
      <w:bookmarkStart w:id="494" w:name="_Toc139463616"/>
      <w:bookmarkStart w:id="495" w:name="_Toc139462817"/>
      <w:bookmarkStart w:id="496" w:name="_Toc139464381"/>
      <w:r>
        <w:rPr>
          <w:rFonts w:hint="eastAsia" w:ascii="宋体" w:hAnsi="宋体" w:eastAsia="宋体" w:cs="宋体"/>
          <w:color w:val="0C0C0C"/>
          <w:sz w:val="22"/>
          <w:szCs w:val="24"/>
        </w:rPr>
        <w:t>24.3 争议评审</w:t>
      </w:r>
      <w:bookmarkEnd w:id="493"/>
      <w:bookmarkEnd w:id="494"/>
      <w:bookmarkEnd w:id="495"/>
      <w:bookmarkEnd w:id="496"/>
    </w:p>
    <w:p w14:paraId="5BE9F11F">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bookmarkStart w:id="497" w:name="_Toc1523"/>
      <w:r>
        <w:rPr>
          <w:rFonts w:hint="eastAsia" w:ascii="宋体" w:hAnsi="宋体" w:eastAsia="宋体" w:cs="宋体"/>
          <w:color w:val="0C0C0C"/>
          <w:szCs w:val="24"/>
        </w:rPr>
        <w:t>第 24.3.1 项补充：</w:t>
      </w:r>
      <w:bookmarkEnd w:id="497"/>
    </w:p>
    <w:p w14:paraId="4480902C">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争议评审组由 3 人或 5 人组成，专家的聘请方法可由发包人和承包人共同协商确定，亦可请政府主管部门推荐或通过合同争议调解机构聘请，并经双方认同。争议评审组成员应与合同双方均无利害关系。争议评审组的各项费用由发包人和承包人平均分担。</w:t>
      </w:r>
    </w:p>
    <w:p w14:paraId="4A0C6667">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本条补充第 24.4 款、第 24.5 款（适用于采用仲裁方式最终解决争议的项目）：</w:t>
      </w:r>
    </w:p>
    <w:p w14:paraId="5DD72E27">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498" w:name="_bookmark255"/>
      <w:bookmarkEnd w:id="498"/>
      <w:bookmarkStart w:id="499" w:name="_Toc139463617"/>
      <w:bookmarkStart w:id="500" w:name="_Toc139462818"/>
      <w:bookmarkStart w:id="501" w:name="_Toc139464382"/>
      <w:bookmarkStart w:id="502" w:name="_Toc120443076"/>
      <w:r>
        <w:rPr>
          <w:rFonts w:hint="eastAsia" w:ascii="宋体" w:hAnsi="宋体" w:eastAsia="宋体" w:cs="宋体"/>
          <w:color w:val="0C0C0C"/>
          <w:sz w:val="22"/>
          <w:szCs w:val="24"/>
        </w:rPr>
        <w:t>24.4 仲裁</w:t>
      </w:r>
      <w:bookmarkEnd w:id="499"/>
      <w:bookmarkEnd w:id="500"/>
      <w:bookmarkEnd w:id="501"/>
      <w:bookmarkEnd w:id="502"/>
    </w:p>
    <w:p w14:paraId="7069083C">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（1）对于未能友好解决或未能通过争议评审解决的争议，发包人或承包人任一方均有权提交给第 24.1 款约定的仲裁委员会仲裁。</w:t>
      </w:r>
    </w:p>
    <w:p w14:paraId="377CCF84">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（2）仲裁可在交工之前或之后进行，但发包人、监理人和承包人各自的义务不得因在工程实施期间进行仲裁而有所改变。如果仲裁是在终止合同的情况下进行， 则对合同工程应采取保护措施，措施费由败诉方承担。</w:t>
      </w:r>
    </w:p>
    <w:p w14:paraId="4D72F14F">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（3）仲裁裁决是终局性的并对发包人和承包人双方具有约束力。</w:t>
      </w:r>
    </w:p>
    <w:p w14:paraId="27354B17">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（4）全部仲裁费用应由败诉方承担；或按仲裁委员会裁决的比例分担。</w:t>
      </w:r>
    </w:p>
    <w:p w14:paraId="6EA26EE8">
      <w:pPr>
        <w:pStyle w:val="3"/>
        <w:snapToGrid w:val="0"/>
        <w:spacing w:before="0" w:after="0" w:line="300" w:lineRule="auto"/>
        <w:ind w:firstLine="440"/>
        <w:contextualSpacing/>
        <w:jc w:val="left"/>
        <w:rPr>
          <w:rFonts w:hint="eastAsia" w:ascii="宋体" w:hAnsi="宋体" w:eastAsia="宋体" w:cs="宋体"/>
          <w:color w:val="0C0C0C"/>
          <w:sz w:val="22"/>
          <w:szCs w:val="24"/>
        </w:rPr>
      </w:pPr>
      <w:bookmarkStart w:id="503" w:name="_bookmark256"/>
      <w:bookmarkEnd w:id="503"/>
      <w:bookmarkStart w:id="504" w:name="_Toc139462819"/>
      <w:bookmarkStart w:id="505" w:name="_Toc120443077"/>
      <w:bookmarkStart w:id="506" w:name="_Toc139464383"/>
      <w:bookmarkStart w:id="507" w:name="_Toc139463618"/>
      <w:r>
        <w:rPr>
          <w:rFonts w:hint="eastAsia" w:ascii="宋体" w:hAnsi="宋体" w:eastAsia="宋体" w:cs="宋体"/>
          <w:color w:val="0C0C0C"/>
          <w:sz w:val="22"/>
          <w:szCs w:val="24"/>
        </w:rPr>
        <w:t>24.5 仲裁的执行</w:t>
      </w:r>
      <w:bookmarkEnd w:id="504"/>
      <w:bookmarkEnd w:id="505"/>
      <w:bookmarkEnd w:id="506"/>
      <w:bookmarkEnd w:id="507"/>
    </w:p>
    <w:p w14:paraId="58EF6AC5">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rPr>
        <w:t>（</w:t>
      </w:r>
      <w:r>
        <w:rPr>
          <w:rFonts w:hint="eastAsia" w:ascii="宋体" w:hAnsi="宋体" w:eastAsia="宋体" w:cs="宋体"/>
          <w:color w:val="0C0C0C"/>
          <w:szCs w:val="24"/>
        </w:rPr>
        <w:t>1）任何一方不履行仲裁机构的裁决的，对方可以向有管辖权的人民法院申请执行。</w:t>
      </w:r>
    </w:p>
    <w:p w14:paraId="4197FC61">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2）任何一方提出证据证明裁决有《中华人民共和国仲裁法》第五十八条规定情形之一的，可以向仲裁委员会所在地的中级人民法院申请撤销裁决。人民法院认定执行该裁决违背社会公共利益的，裁定不予执行。仲裁裁决被人民法院裁定不予执行的，当事人可以根据双方达成的书面仲裁协议重新申请仲裁，也可以向人民法院起诉。</w:t>
      </w:r>
    </w:p>
    <w:p w14:paraId="5D9CB027">
      <w:pPr>
        <w:autoSpaceDE w:val="0"/>
        <w:autoSpaceDN w:val="0"/>
        <w:spacing w:line="360" w:lineRule="auto"/>
        <w:ind w:firstLine="526" w:firstLineChars="200"/>
        <w:outlineLvl w:val="5"/>
        <w:rPr>
          <w:rFonts w:hint="eastAsia" w:ascii="宋体" w:hAnsi="宋体" w:eastAsia="宋体" w:cs="宋体"/>
          <w:b/>
          <w:bCs/>
          <w:color w:val="000000"/>
          <w:spacing w:val="-9"/>
          <w:kern w:val="0"/>
          <w:sz w:val="28"/>
          <w:szCs w:val="28"/>
        </w:rPr>
      </w:pPr>
    </w:p>
    <w:p w14:paraId="1D60B5D1">
      <w:pPr>
        <w:autoSpaceDE w:val="0"/>
        <w:autoSpaceDN w:val="0"/>
        <w:spacing w:line="360" w:lineRule="auto"/>
        <w:ind w:firstLine="526" w:firstLineChars="200"/>
        <w:outlineLvl w:val="5"/>
        <w:rPr>
          <w:rFonts w:hint="eastAsia" w:ascii="宋体" w:hAnsi="宋体" w:eastAsia="宋体" w:cs="宋体"/>
          <w:b/>
          <w:bCs/>
          <w:color w:val="000000"/>
          <w:spacing w:val="-9"/>
          <w:kern w:val="0"/>
          <w:sz w:val="28"/>
          <w:szCs w:val="28"/>
        </w:rPr>
      </w:pPr>
    </w:p>
    <w:p w14:paraId="6102BA7E">
      <w:pPr>
        <w:autoSpaceDE w:val="0"/>
        <w:autoSpaceDN w:val="0"/>
        <w:spacing w:line="360" w:lineRule="auto"/>
        <w:ind w:firstLine="526" w:firstLineChars="200"/>
        <w:outlineLvl w:val="5"/>
        <w:rPr>
          <w:rFonts w:hint="eastAsia" w:ascii="宋体" w:hAnsi="宋体" w:eastAsia="宋体" w:cs="宋体"/>
          <w:b/>
          <w:bCs/>
          <w:color w:val="000000"/>
          <w:spacing w:val="-9"/>
          <w:kern w:val="0"/>
          <w:sz w:val="28"/>
          <w:szCs w:val="28"/>
        </w:rPr>
      </w:pPr>
    </w:p>
    <w:p w14:paraId="34E58EE8">
      <w:pPr>
        <w:autoSpaceDE w:val="0"/>
        <w:autoSpaceDN w:val="0"/>
        <w:spacing w:line="360" w:lineRule="auto"/>
        <w:ind w:firstLine="526" w:firstLineChars="200"/>
        <w:outlineLvl w:val="5"/>
        <w:rPr>
          <w:rFonts w:hint="eastAsia" w:ascii="宋体" w:hAnsi="宋体" w:eastAsia="宋体" w:cs="宋体"/>
          <w:b/>
          <w:bCs/>
          <w:color w:val="000000"/>
          <w:spacing w:val="-9"/>
          <w:kern w:val="0"/>
          <w:sz w:val="28"/>
          <w:szCs w:val="28"/>
        </w:rPr>
      </w:pPr>
    </w:p>
    <w:p w14:paraId="29C45AA2">
      <w:pPr>
        <w:autoSpaceDE w:val="0"/>
        <w:autoSpaceDN w:val="0"/>
        <w:spacing w:line="360" w:lineRule="auto"/>
        <w:ind w:firstLine="526" w:firstLineChars="200"/>
        <w:outlineLvl w:val="5"/>
        <w:rPr>
          <w:rFonts w:hint="eastAsia" w:ascii="宋体" w:hAnsi="宋体" w:eastAsia="宋体" w:cs="宋体"/>
          <w:b/>
          <w:bCs/>
          <w:color w:val="000000"/>
          <w:spacing w:val="-9"/>
          <w:kern w:val="0"/>
          <w:sz w:val="28"/>
          <w:szCs w:val="28"/>
        </w:rPr>
      </w:pPr>
    </w:p>
    <w:p w14:paraId="5AFDFC20">
      <w:pPr>
        <w:autoSpaceDE w:val="0"/>
        <w:autoSpaceDN w:val="0"/>
        <w:spacing w:line="360" w:lineRule="auto"/>
        <w:ind w:firstLine="526" w:firstLineChars="200"/>
        <w:outlineLvl w:val="5"/>
        <w:rPr>
          <w:rFonts w:hint="eastAsia" w:ascii="宋体" w:hAnsi="宋体" w:eastAsia="宋体" w:cs="宋体"/>
          <w:b/>
          <w:bCs/>
          <w:color w:val="000000"/>
          <w:spacing w:val="-9"/>
          <w:kern w:val="0"/>
          <w:sz w:val="28"/>
          <w:szCs w:val="28"/>
        </w:rPr>
      </w:pPr>
    </w:p>
    <w:p w14:paraId="3E25D116">
      <w:pPr>
        <w:autoSpaceDE w:val="0"/>
        <w:autoSpaceDN w:val="0"/>
        <w:spacing w:line="360" w:lineRule="auto"/>
        <w:ind w:firstLine="526" w:firstLineChars="200"/>
        <w:outlineLvl w:val="5"/>
        <w:rPr>
          <w:rFonts w:hint="eastAsia" w:ascii="宋体" w:hAnsi="宋体" w:eastAsia="宋体" w:cs="宋体"/>
          <w:b/>
          <w:bCs/>
          <w:color w:val="000000"/>
          <w:spacing w:val="-9"/>
          <w:kern w:val="0"/>
          <w:sz w:val="28"/>
          <w:szCs w:val="28"/>
        </w:rPr>
      </w:pPr>
    </w:p>
    <w:p w14:paraId="3613956B">
      <w:pPr>
        <w:autoSpaceDE w:val="0"/>
        <w:autoSpaceDN w:val="0"/>
        <w:spacing w:line="360" w:lineRule="auto"/>
        <w:ind w:firstLine="526" w:firstLineChars="200"/>
        <w:outlineLvl w:val="5"/>
        <w:rPr>
          <w:rFonts w:hint="eastAsia" w:ascii="宋体" w:hAnsi="宋体" w:eastAsia="宋体" w:cs="宋体"/>
          <w:b/>
          <w:bCs/>
          <w:color w:val="000000"/>
          <w:spacing w:val="-9"/>
          <w:kern w:val="0"/>
          <w:sz w:val="28"/>
          <w:szCs w:val="28"/>
        </w:rPr>
      </w:pPr>
    </w:p>
    <w:p w14:paraId="2B585294">
      <w:pPr>
        <w:autoSpaceDE w:val="0"/>
        <w:autoSpaceDN w:val="0"/>
        <w:spacing w:line="360" w:lineRule="auto"/>
        <w:ind w:firstLine="526" w:firstLineChars="200"/>
        <w:outlineLvl w:val="5"/>
        <w:rPr>
          <w:rFonts w:hint="eastAsia" w:ascii="宋体" w:hAnsi="宋体" w:eastAsia="宋体" w:cs="宋体"/>
          <w:b/>
          <w:bCs/>
          <w:color w:val="000000"/>
          <w:spacing w:val="-9"/>
          <w:kern w:val="0"/>
          <w:sz w:val="28"/>
          <w:szCs w:val="28"/>
        </w:rPr>
      </w:pPr>
    </w:p>
    <w:p w14:paraId="0697E40E">
      <w:pPr>
        <w:autoSpaceDE w:val="0"/>
        <w:autoSpaceDN w:val="0"/>
        <w:spacing w:line="360" w:lineRule="auto"/>
        <w:ind w:firstLine="526" w:firstLineChars="200"/>
        <w:outlineLvl w:val="5"/>
        <w:rPr>
          <w:rFonts w:hint="eastAsia" w:ascii="宋体" w:hAnsi="宋体" w:eastAsia="宋体" w:cs="宋体"/>
          <w:b/>
          <w:bCs/>
          <w:color w:val="000000"/>
          <w:spacing w:val="-9"/>
          <w:kern w:val="0"/>
          <w:sz w:val="28"/>
          <w:szCs w:val="28"/>
        </w:rPr>
      </w:pPr>
      <w:r>
        <w:rPr>
          <w:rFonts w:hint="eastAsia" w:ascii="宋体" w:hAnsi="宋体" w:eastAsia="宋体" w:cs="宋体"/>
          <w:b/>
          <w:bCs/>
          <w:color w:val="000000"/>
          <w:spacing w:val="-9"/>
          <w:kern w:val="0"/>
          <w:sz w:val="28"/>
          <w:szCs w:val="28"/>
        </w:rPr>
        <w:t>B. 项目专用合同条款</w:t>
      </w:r>
    </w:p>
    <w:p w14:paraId="7607D331">
      <w:pPr>
        <w:autoSpaceDE w:val="0"/>
        <w:autoSpaceDN w:val="0"/>
        <w:snapToGrid w:val="0"/>
        <w:ind w:firstLine="444" w:firstLineChars="200"/>
        <w:rPr>
          <w:rFonts w:hint="eastAsia" w:ascii="宋体" w:hAnsi="宋体" w:eastAsia="宋体" w:cs="宋体"/>
          <w:color w:val="000000"/>
          <w:spacing w:val="-9"/>
          <w:kern w:val="0"/>
          <w:sz w:val="24"/>
        </w:rPr>
      </w:pPr>
      <w:r>
        <w:rPr>
          <w:rFonts w:hint="eastAsia" w:ascii="宋体" w:hAnsi="宋体" w:eastAsia="宋体" w:cs="宋体"/>
          <w:color w:val="000000"/>
          <w:spacing w:val="-9"/>
          <w:kern w:val="0"/>
          <w:sz w:val="24"/>
        </w:rPr>
        <w:t>说明：</w:t>
      </w:r>
    </w:p>
    <w:p w14:paraId="5054BF2D">
      <w:pPr>
        <w:numPr>
          <w:ilvl w:val="0"/>
          <w:numId w:val="2"/>
        </w:numPr>
        <w:autoSpaceDE w:val="0"/>
        <w:autoSpaceDN w:val="0"/>
        <w:snapToGrid w:val="0"/>
        <w:ind w:firstLine="480" w:firstLineChars="200"/>
        <w:jc w:val="left"/>
        <w:rPr>
          <w:rFonts w:hint="eastAsia" w:ascii="宋体" w:hAnsi="宋体" w:eastAsia="宋体" w:cs="宋体"/>
          <w:color w:val="000000"/>
          <w:spacing w:val="0"/>
          <w:kern w:val="0"/>
          <w:sz w:val="24"/>
        </w:rPr>
      </w:pPr>
      <w:r>
        <w:rPr>
          <w:rFonts w:hint="eastAsia" w:ascii="宋体" w:hAnsi="宋体" w:eastAsia="宋体" w:cs="宋体"/>
          <w:color w:val="000000"/>
          <w:spacing w:val="0"/>
          <w:kern w:val="0"/>
          <w:sz w:val="24"/>
        </w:rPr>
        <w:t>招标人在根据《公路工程标准施工招标文件》编制项目招标文件中的“项目专用合同条款”时，可根据招标项目的具体特点和实际需要，对“通用合同条款”及“公路工程专用合同条款”进行补充和细化，除“通用合同条款”明确“专用合同条款”可作出不同约定以及“公路工程专用合同条款”明确“项目专用合同条款”可作出不同约定外，补充和细化的内容不得与“通用合同条款”及“公路工程专用合同条款”强制性规定相抵触。同时，补充、细化或约定的内容，不得违反法律、行政法规的强制性规定和平等、自愿、公平和诚实信用原则。</w:t>
      </w:r>
    </w:p>
    <w:p w14:paraId="379BAF34">
      <w:pPr>
        <w:autoSpaceDE w:val="0"/>
        <w:autoSpaceDN w:val="0"/>
        <w:snapToGrid w:val="0"/>
        <w:spacing w:before="119"/>
        <w:ind w:firstLine="480" w:firstLineChars="200"/>
        <w:jc w:val="left"/>
        <w:rPr>
          <w:rFonts w:hint="eastAsia" w:ascii="宋体" w:hAnsi="宋体" w:eastAsia="宋体" w:cs="宋体"/>
          <w:color w:val="000000"/>
          <w:spacing w:val="0"/>
          <w:kern w:val="0"/>
          <w:sz w:val="24"/>
        </w:rPr>
      </w:pPr>
      <w:r>
        <w:rPr>
          <w:rFonts w:hint="eastAsia" w:ascii="宋体" w:hAnsi="宋体" w:eastAsia="宋体" w:cs="宋体"/>
          <w:color w:val="000000"/>
          <w:spacing w:val="0"/>
          <w:kern w:val="0"/>
          <w:sz w:val="24"/>
        </w:rPr>
        <w:t>2.项目专用合同条款的编号应与通用合同条款和公路工程专用合同条款一致。</w:t>
      </w:r>
    </w:p>
    <w:p w14:paraId="1ABBDA0D">
      <w:pPr>
        <w:autoSpaceDE w:val="0"/>
        <w:autoSpaceDN w:val="0"/>
        <w:snapToGrid w:val="0"/>
        <w:ind w:firstLine="480" w:firstLineChars="200"/>
        <w:rPr>
          <w:rFonts w:hint="eastAsia" w:ascii="宋体" w:hAnsi="宋体" w:eastAsia="宋体" w:cs="宋体"/>
          <w:color w:val="000000"/>
          <w:spacing w:val="0"/>
          <w:kern w:val="0"/>
          <w:sz w:val="24"/>
        </w:rPr>
      </w:pPr>
      <w:r>
        <w:rPr>
          <w:rFonts w:hint="eastAsia" w:ascii="宋体" w:hAnsi="宋体" w:eastAsia="宋体" w:cs="宋体"/>
          <w:color w:val="000000"/>
          <w:spacing w:val="0"/>
          <w:kern w:val="0"/>
          <w:sz w:val="24"/>
        </w:rPr>
        <w:t>3.项目专用合同条款可对下列内容进行补充和细化：</w:t>
      </w:r>
    </w:p>
    <w:p w14:paraId="51814198">
      <w:pPr>
        <w:autoSpaceDE w:val="0"/>
        <w:autoSpaceDN w:val="0"/>
        <w:snapToGrid w:val="0"/>
        <w:ind w:firstLine="480" w:firstLineChars="200"/>
        <w:rPr>
          <w:rFonts w:hint="eastAsia" w:ascii="宋体" w:hAnsi="宋体" w:eastAsia="宋体" w:cs="宋体"/>
          <w:color w:val="000000"/>
          <w:spacing w:val="0"/>
          <w:kern w:val="0"/>
          <w:sz w:val="24"/>
        </w:rPr>
      </w:pPr>
      <w:r>
        <w:rPr>
          <w:rFonts w:hint="eastAsia" w:ascii="宋体" w:hAnsi="宋体" w:eastAsia="宋体" w:cs="宋体"/>
          <w:color w:val="000000"/>
          <w:spacing w:val="0"/>
          <w:kern w:val="0"/>
          <w:sz w:val="24"/>
        </w:rPr>
        <w:t>（1）“通用合同条款”中明确指出“专用合同条款”可对“通用合同条款”进行修改的内容（在“通用合同条用“应按合同约定”“应按专用合同条款约定”“除合同另有约定外”“除专用合同条款另有约定外”“在专用合同条款中约定”等多种文字形式表达）；</w:t>
      </w:r>
    </w:p>
    <w:p w14:paraId="7351DB0E">
      <w:pPr>
        <w:autoSpaceDE w:val="0"/>
        <w:autoSpaceDN w:val="0"/>
        <w:snapToGrid w:val="0"/>
        <w:ind w:firstLine="480" w:firstLineChars="200"/>
        <w:jc w:val="left"/>
        <w:rPr>
          <w:rFonts w:hint="eastAsia" w:ascii="宋体" w:hAnsi="宋体" w:eastAsia="宋体" w:cs="宋体"/>
          <w:color w:val="000000"/>
          <w:spacing w:val="0"/>
          <w:kern w:val="0"/>
          <w:sz w:val="24"/>
        </w:rPr>
      </w:pPr>
      <w:r>
        <w:rPr>
          <w:rFonts w:hint="eastAsia" w:ascii="宋体" w:hAnsi="宋体" w:eastAsia="宋体" w:cs="宋体"/>
          <w:color w:val="000000"/>
          <w:spacing w:val="0"/>
          <w:kern w:val="0"/>
          <w:sz w:val="24"/>
        </w:rPr>
        <w:t>（2）“公路工程专用合同条款”中明确指出“项目专用合同条款”可对“公路工程专用合同条款”进行修改的内容（在“公路工程专用合同条款”中用“除项目专用合同条  款另有约定外”“项目专用合同条款可能约定的”“项目专用合同条款约定的其他情形”等多种文字形式表达）。</w:t>
      </w:r>
    </w:p>
    <w:p w14:paraId="1EA6363A">
      <w:pPr>
        <w:autoSpaceDE w:val="0"/>
        <w:autoSpaceDN w:val="0"/>
        <w:snapToGrid w:val="0"/>
        <w:ind w:firstLine="480" w:firstLineChars="200"/>
        <w:rPr>
          <w:rFonts w:hint="eastAsia" w:ascii="宋体" w:hAnsi="宋体" w:eastAsia="宋体" w:cs="宋体"/>
          <w:color w:val="000000"/>
          <w:spacing w:val="0"/>
          <w:kern w:val="0"/>
          <w:sz w:val="24"/>
        </w:rPr>
      </w:pPr>
      <w:r>
        <w:rPr>
          <w:rFonts w:hint="eastAsia" w:ascii="宋体" w:hAnsi="宋体" w:eastAsia="宋体" w:cs="宋体"/>
          <w:color w:val="000000"/>
          <w:spacing w:val="0"/>
          <w:kern w:val="0"/>
          <w:sz w:val="24"/>
        </w:rPr>
        <w:t>（3）其他需要补充、细化的内容。</w:t>
      </w:r>
    </w:p>
    <w:p w14:paraId="4EDF2E0A">
      <w:pPr>
        <w:pStyle w:val="11"/>
        <w:widowControl w:val="0"/>
        <w:tabs>
          <w:tab w:val="left" w:pos="1901"/>
        </w:tabs>
        <w:autoSpaceDE w:val="0"/>
        <w:autoSpaceDN w:val="0"/>
        <w:spacing w:after="0"/>
        <w:ind w:left="0" w:firstLine="442" w:firstLineChars="200"/>
        <w:jc w:val="center"/>
        <w:rPr>
          <w:rFonts w:hint="eastAsia" w:ascii="宋体" w:hAnsi="宋体" w:eastAsia="宋体" w:cs="宋体"/>
          <w:b/>
          <w:color w:val="0C0C0C"/>
          <w:szCs w:val="24"/>
        </w:rPr>
      </w:pPr>
    </w:p>
    <w:p w14:paraId="41D1043C">
      <w:pPr>
        <w:pStyle w:val="11"/>
        <w:widowControl w:val="0"/>
        <w:tabs>
          <w:tab w:val="left" w:pos="1901"/>
        </w:tabs>
        <w:autoSpaceDE w:val="0"/>
        <w:autoSpaceDN w:val="0"/>
        <w:spacing w:after="0"/>
        <w:ind w:left="0" w:firstLine="442" w:firstLineChars="200"/>
        <w:jc w:val="center"/>
        <w:rPr>
          <w:rFonts w:hint="eastAsia" w:ascii="宋体" w:hAnsi="宋体" w:eastAsia="宋体" w:cs="宋体"/>
          <w:b/>
          <w:color w:val="0C0C0C"/>
          <w:szCs w:val="24"/>
        </w:rPr>
      </w:pPr>
    </w:p>
    <w:p w14:paraId="20C105AE">
      <w:pPr>
        <w:pStyle w:val="11"/>
        <w:widowControl w:val="0"/>
        <w:tabs>
          <w:tab w:val="left" w:pos="1901"/>
        </w:tabs>
        <w:autoSpaceDE w:val="0"/>
        <w:autoSpaceDN w:val="0"/>
        <w:spacing w:after="0"/>
        <w:ind w:left="0" w:firstLine="442" w:firstLineChars="200"/>
        <w:jc w:val="center"/>
        <w:rPr>
          <w:rFonts w:hint="eastAsia" w:ascii="宋体" w:hAnsi="宋体" w:eastAsia="宋体" w:cs="宋体"/>
          <w:b/>
          <w:color w:val="0C0C0C"/>
          <w:szCs w:val="24"/>
        </w:rPr>
      </w:pPr>
    </w:p>
    <w:p w14:paraId="58C5ABD2">
      <w:pPr>
        <w:pStyle w:val="11"/>
        <w:widowControl w:val="0"/>
        <w:tabs>
          <w:tab w:val="left" w:pos="1901"/>
        </w:tabs>
        <w:autoSpaceDE w:val="0"/>
        <w:autoSpaceDN w:val="0"/>
        <w:spacing w:after="0"/>
        <w:ind w:left="0" w:firstLine="442" w:firstLineChars="200"/>
        <w:jc w:val="center"/>
        <w:rPr>
          <w:rFonts w:hint="eastAsia" w:ascii="宋体" w:hAnsi="宋体" w:eastAsia="宋体" w:cs="宋体"/>
          <w:b/>
          <w:color w:val="0C0C0C"/>
          <w:szCs w:val="24"/>
        </w:rPr>
      </w:pPr>
    </w:p>
    <w:p w14:paraId="015EA5A1">
      <w:pPr>
        <w:pStyle w:val="11"/>
        <w:widowControl w:val="0"/>
        <w:tabs>
          <w:tab w:val="left" w:pos="1901"/>
        </w:tabs>
        <w:autoSpaceDE w:val="0"/>
        <w:autoSpaceDN w:val="0"/>
        <w:spacing w:after="0"/>
        <w:ind w:left="0" w:firstLine="442" w:firstLineChars="200"/>
        <w:jc w:val="center"/>
        <w:rPr>
          <w:rFonts w:hint="eastAsia" w:ascii="宋体" w:hAnsi="宋体" w:eastAsia="宋体" w:cs="宋体"/>
          <w:b/>
          <w:color w:val="0C0C0C"/>
          <w:szCs w:val="24"/>
        </w:rPr>
      </w:pPr>
    </w:p>
    <w:p w14:paraId="544B1472">
      <w:pPr>
        <w:pStyle w:val="11"/>
        <w:widowControl w:val="0"/>
        <w:tabs>
          <w:tab w:val="left" w:pos="1901"/>
        </w:tabs>
        <w:autoSpaceDE w:val="0"/>
        <w:autoSpaceDN w:val="0"/>
        <w:spacing w:after="0"/>
        <w:ind w:left="0" w:firstLine="442" w:firstLineChars="200"/>
        <w:jc w:val="center"/>
        <w:rPr>
          <w:rFonts w:hint="eastAsia" w:ascii="宋体" w:hAnsi="宋体" w:eastAsia="宋体" w:cs="宋体"/>
          <w:b/>
          <w:color w:val="0C0C0C"/>
          <w:szCs w:val="24"/>
        </w:rPr>
      </w:pPr>
    </w:p>
    <w:p w14:paraId="0B3EA8A9">
      <w:pPr>
        <w:pStyle w:val="11"/>
        <w:widowControl w:val="0"/>
        <w:tabs>
          <w:tab w:val="left" w:pos="1901"/>
        </w:tabs>
        <w:autoSpaceDE w:val="0"/>
        <w:autoSpaceDN w:val="0"/>
        <w:spacing w:after="0"/>
        <w:ind w:left="0" w:firstLine="442" w:firstLineChars="200"/>
        <w:jc w:val="center"/>
        <w:rPr>
          <w:rFonts w:hint="eastAsia" w:ascii="宋体" w:hAnsi="宋体" w:eastAsia="宋体" w:cs="宋体"/>
          <w:b/>
          <w:color w:val="0C0C0C"/>
          <w:szCs w:val="24"/>
        </w:rPr>
      </w:pPr>
    </w:p>
    <w:p w14:paraId="031E71EC">
      <w:pPr>
        <w:pStyle w:val="11"/>
        <w:widowControl w:val="0"/>
        <w:tabs>
          <w:tab w:val="left" w:pos="1901"/>
        </w:tabs>
        <w:autoSpaceDE w:val="0"/>
        <w:autoSpaceDN w:val="0"/>
        <w:spacing w:after="0"/>
        <w:ind w:left="0" w:firstLine="442" w:firstLineChars="200"/>
        <w:jc w:val="center"/>
        <w:rPr>
          <w:rFonts w:hint="eastAsia" w:ascii="宋体" w:hAnsi="宋体" w:eastAsia="宋体" w:cs="宋体"/>
          <w:b/>
          <w:color w:val="0C0C0C"/>
          <w:szCs w:val="24"/>
        </w:rPr>
      </w:pPr>
    </w:p>
    <w:p w14:paraId="1A17F438">
      <w:pPr>
        <w:pStyle w:val="11"/>
        <w:widowControl w:val="0"/>
        <w:tabs>
          <w:tab w:val="left" w:pos="1901"/>
        </w:tabs>
        <w:autoSpaceDE w:val="0"/>
        <w:autoSpaceDN w:val="0"/>
        <w:spacing w:after="0"/>
        <w:ind w:left="0" w:firstLine="442" w:firstLineChars="200"/>
        <w:jc w:val="center"/>
        <w:rPr>
          <w:rFonts w:hint="eastAsia" w:ascii="宋体" w:hAnsi="宋体" w:eastAsia="宋体" w:cs="宋体"/>
          <w:b/>
          <w:color w:val="0C0C0C"/>
          <w:szCs w:val="24"/>
        </w:rPr>
      </w:pPr>
    </w:p>
    <w:p w14:paraId="29A4F983">
      <w:pPr>
        <w:pStyle w:val="11"/>
        <w:widowControl w:val="0"/>
        <w:tabs>
          <w:tab w:val="left" w:pos="1901"/>
        </w:tabs>
        <w:autoSpaceDE w:val="0"/>
        <w:autoSpaceDN w:val="0"/>
        <w:spacing w:after="0"/>
        <w:ind w:left="0" w:firstLine="442" w:firstLineChars="200"/>
        <w:jc w:val="center"/>
        <w:rPr>
          <w:rFonts w:hint="eastAsia" w:ascii="宋体" w:hAnsi="宋体" w:eastAsia="宋体" w:cs="宋体"/>
          <w:b/>
          <w:color w:val="0C0C0C"/>
          <w:szCs w:val="24"/>
        </w:rPr>
      </w:pPr>
    </w:p>
    <w:p w14:paraId="7DF42CBF">
      <w:pPr>
        <w:pStyle w:val="11"/>
        <w:widowControl w:val="0"/>
        <w:tabs>
          <w:tab w:val="left" w:pos="1901"/>
        </w:tabs>
        <w:autoSpaceDE w:val="0"/>
        <w:autoSpaceDN w:val="0"/>
        <w:spacing w:after="0"/>
        <w:ind w:left="0" w:firstLine="442" w:firstLineChars="200"/>
        <w:jc w:val="center"/>
        <w:rPr>
          <w:rFonts w:hint="eastAsia" w:ascii="宋体" w:hAnsi="宋体" w:eastAsia="宋体" w:cs="宋体"/>
          <w:b/>
          <w:color w:val="0C0C0C"/>
          <w:szCs w:val="24"/>
        </w:rPr>
      </w:pPr>
    </w:p>
    <w:p w14:paraId="4AA31B0A">
      <w:pPr>
        <w:pStyle w:val="11"/>
        <w:widowControl w:val="0"/>
        <w:tabs>
          <w:tab w:val="left" w:pos="1901"/>
        </w:tabs>
        <w:autoSpaceDE w:val="0"/>
        <w:autoSpaceDN w:val="0"/>
        <w:spacing w:after="0"/>
        <w:ind w:left="0" w:firstLine="442" w:firstLineChars="200"/>
        <w:jc w:val="center"/>
        <w:rPr>
          <w:rFonts w:hint="eastAsia" w:ascii="宋体" w:hAnsi="宋体" w:eastAsia="宋体" w:cs="宋体"/>
          <w:b/>
          <w:color w:val="0C0C0C"/>
          <w:szCs w:val="24"/>
        </w:rPr>
      </w:pPr>
    </w:p>
    <w:p w14:paraId="0DFBFCE5">
      <w:pPr>
        <w:pStyle w:val="11"/>
        <w:widowControl w:val="0"/>
        <w:tabs>
          <w:tab w:val="left" w:pos="1901"/>
        </w:tabs>
        <w:autoSpaceDE w:val="0"/>
        <w:autoSpaceDN w:val="0"/>
        <w:spacing w:after="0"/>
        <w:ind w:left="0" w:firstLine="442" w:firstLineChars="200"/>
        <w:jc w:val="center"/>
        <w:rPr>
          <w:rFonts w:hint="eastAsia" w:ascii="宋体" w:hAnsi="宋体" w:eastAsia="宋体" w:cs="宋体"/>
          <w:b/>
          <w:color w:val="0C0C0C"/>
          <w:szCs w:val="24"/>
        </w:rPr>
      </w:pPr>
    </w:p>
    <w:p w14:paraId="56144796">
      <w:pPr>
        <w:pStyle w:val="11"/>
        <w:widowControl w:val="0"/>
        <w:tabs>
          <w:tab w:val="left" w:pos="1901"/>
        </w:tabs>
        <w:autoSpaceDE w:val="0"/>
        <w:autoSpaceDN w:val="0"/>
        <w:spacing w:after="0"/>
        <w:ind w:left="0" w:firstLine="442" w:firstLineChars="200"/>
        <w:jc w:val="center"/>
        <w:rPr>
          <w:rFonts w:hint="eastAsia" w:ascii="宋体" w:hAnsi="宋体" w:eastAsia="宋体" w:cs="宋体"/>
          <w:b/>
          <w:color w:val="0C0C0C"/>
          <w:szCs w:val="24"/>
        </w:rPr>
      </w:pPr>
    </w:p>
    <w:p w14:paraId="25404C5C">
      <w:pPr>
        <w:pStyle w:val="11"/>
        <w:widowControl w:val="0"/>
        <w:tabs>
          <w:tab w:val="left" w:pos="1901"/>
        </w:tabs>
        <w:autoSpaceDE w:val="0"/>
        <w:autoSpaceDN w:val="0"/>
        <w:spacing w:after="0"/>
        <w:ind w:left="0" w:firstLine="442" w:firstLineChars="200"/>
        <w:jc w:val="center"/>
        <w:rPr>
          <w:rFonts w:hint="eastAsia" w:ascii="宋体" w:hAnsi="宋体" w:eastAsia="宋体" w:cs="宋体"/>
          <w:b/>
          <w:color w:val="0C0C0C"/>
          <w:szCs w:val="24"/>
        </w:rPr>
      </w:pPr>
    </w:p>
    <w:p w14:paraId="45F5C086">
      <w:pPr>
        <w:pStyle w:val="11"/>
        <w:widowControl w:val="0"/>
        <w:tabs>
          <w:tab w:val="left" w:pos="1901"/>
        </w:tabs>
        <w:autoSpaceDE w:val="0"/>
        <w:autoSpaceDN w:val="0"/>
        <w:spacing w:after="0"/>
        <w:ind w:left="0" w:firstLine="442" w:firstLineChars="200"/>
        <w:jc w:val="center"/>
        <w:rPr>
          <w:rFonts w:hint="eastAsia" w:ascii="宋体" w:hAnsi="宋体" w:eastAsia="宋体" w:cs="宋体"/>
          <w:b/>
          <w:color w:val="0C0C0C"/>
          <w:szCs w:val="24"/>
        </w:rPr>
      </w:pPr>
    </w:p>
    <w:p w14:paraId="22D4FB64">
      <w:pPr>
        <w:pStyle w:val="11"/>
        <w:widowControl w:val="0"/>
        <w:tabs>
          <w:tab w:val="left" w:pos="1901"/>
        </w:tabs>
        <w:autoSpaceDE w:val="0"/>
        <w:autoSpaceDN w:val="0"/>
        <w:spacing w:after="0"/>
        <w:ind w:left="0" w:firstLine="442" w:firstLineChars="200"/>
        <w:jc w:val="center"/>
        <w:rPr>
          <w:rFonts w:hint="eastAsia" w:ascii="宋体" w:hAnsi="宋体" w:eastAsia="宋体" w:cs="宋体"/>
          <w:b/>
          <w:color w:val="0C0C0C"/>
          <w:szCs w:val="24"/>
        </w:rPr>
      </w:pPr>
    </w:p>
    <w:p w14:paraId="4A0F2672">
      <w:pPr>
        <w:pStyle w:val="11"/>
        <w:widowControl w:val="0"/>
        <w:tabs>
          <w:tab w:val="left" w:pos="1901"/>
        </w:tabs>
        <w:autoSpaceDE w:val="0"/>
        <w:autoSpaceDN w:val="0"/>
        <w:spacing w:after="0"/>
        <w:ind w:left="0" w:firstLine="442" w:firstLineChars="200"/>
        <w:jc w:val="center"/>
        <w:rPr>
          <w:rFonts w:hint="eastAsia" w:ascii="宋体" w:hAnsi="宋体" w:eastAsia="宋体" w:cs="宋体"/>
          <w:b/>
          <w:color w:val="0C0C0C"/>
          <w:szCs w:val="24"/>
        </w:rPr>
      </w:pPr>
    </w:p>
    <w:p w14:paraId="0A31679D">
      <w:pPr>
        <w:pStyle w:val="11"/>
        <w:widowControl w:val="0"/>
        <w:tabs>
          <w:tab w:val="left" w:pos="1901"/>
        </w:tabs>
        <w:autoSpaceDE w:val="0"/>
        <w:autoSpaceDN w:val="0"/>
        <w:spacing w:after="0"/>
        <w:ind w:left="0" w:firstLine="442" w:firstLineChars="200"/>
        <w:jc w:val="center"/>
        <w:rPr>
          <w:rFonts w:hint="eastAsia" w:ascii="宋体" w:hAnsi="宋体" w:eastAsia="宋体" w:cs="宋体"/>
          <w:b/>
          <w:color w:val="0C0C0C"/>
          <w:szCs w:val="24"/>
        </w:rPr>
      </w:pPr>
    </w:p>
    <w:p w14:paraId="5A5881AE">
      <w:pPr>
        <w:pStyle w:val="11"/>
        <w:widowControl w:val="0"/>
        <w:tabs>
          <w:tab w:val="left" w:pos="1901"/>
        </w:tabs>
        <w:autoSpaceDE w:val="0"/>
        <w:autoSpaceDN w:val="0"/>
        <w:spacing w:after="0"/>
        <w:ind w:left="0" w:firstLine="442" w:firstLineChars="200"/>
        <w:jc w:val="center"/>
        <w:rPr>
          <w:rFonts w:hint="eastAsia" w:ascii="宋体" w:hAnsi="宋体" w:eastAsia="宋体" w:cs="宋体"/>
          <w:b/>
          <w:color w:val="0C0C0C"/>
          <w:szCs w:val="24"/>
        </w:rPr>
      </w:pPr>
      <w:r>
        <w:rPr>
          <w:rFonts w:hint="eastAsia" w:ascii="宋体" w:hAnsi="宋体" w:eastAsia="宋体" w:cs="宋体"/>
          <w:b/>
          <w:color w:val="0C0C0C"/>
          <w:szCs w:val="24"/>
        </w:rPr>
        <w:t xml:space="preserve"> </w:t>
      </w:r>
      <w:bookmarkStart w:id="508" w:name="_Toc120443079"/>
      <w:bookmarkStart w:id="509" w:name="_Toc139463619"/>
      <w:bookmarkStart w:id="510" w:name="_Toc139464384"/>
      <w:bookmarkStart w:id="511" w:name="_Toc139462820"/>
      <w:r>
        <w:rPr>
          <w:rFonts w:hint="eastAsia" w:ascii="宋体" w:hAnsi="宋体" w:eastAsia="宋体" w:cs="宋体"/>
          <w:b/>
          <w:color w:val="0C0C0C"/>
          <w:szCs w:val="24"/>
        </w:rPr>
        <w:t>项目专用合同条款数据表</w:t>
      </w:r>
      <w:bookmarkEnd w:id="508"/>
      <w:bookmarkEnd w:id="509"/>
      <w:bookmarkEnd w:id="510"/>
      <w:bookmarkEnd w:id="511"/>
    </w:p>
    <w:p w14:paraId="07D784D0">
      <w:pPr>
        <w:pStyle w:val="11"/>
        <w:widowControl w:val="0"/>
        <w:tabs>
          <w:tab w:val="left" w:pos="1901"/>
        </w:tabs>
        <w:autoSpaceDE w:val="0"/>
        <w:autoSpaceDN w:val="0"/>
        <w:spacing w:after="0"/>
        <w:ind w:left="0" w:firstLine="440" w:firstLineChars="200"/>
        <w:rPr>
          <w:rFonts w:hint="eastAsia" w:ascii="宋体" w:hAnsi="宋体" w:eastAsia="宋体" w:cs="宋体"/>
          <w:color w:val="0C0C0C"/>
          <w:szCs w:val="24"/>
        </w:rPr>
      </w:pPr>
      <w:r>
        <w:rPr>
          <w:rFonts w:hint="eastAsia" w:ascii="宋体" w:hAnsi="宋体" w:eastAsia="宋体" w:cs="宋体"/>
          <w:color w:val="0C0C0C"/>
          <w:szCs w:val="24"/>
        </w:rPr>
        <w:t>说明：本数据表是项目专用合同条款中适用于本项目的信息和数据的归纳与提示，是项目专用合同条款的组成部分。</w:t>
      </w:r>
    </w:p>
    <w:tbl>
      <w:tblPr>
        <w:tblStyle w:val="8"/>
        <w:tblW w:w="985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11"/>
        <w:gridCol w:w="1565"/>
        <w:gridCol w:w="7475"/>
      </w:tblGrid>
      <w:tr w14:paraId="71C8254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1" w:type="dxa"/>
            <w:tcBorders>
              <w:tl2br w:val="nil"/>
              <w:tr2bl w:val="nil"/>
            </w:tcBorders>
            <w:noWrap w:val="0"/>
            <w:vAlign w:val="center"/>
          </w:tcPr>
          <w:p w14:paraId="7A767470">
            <w:pPr>
              <w:autoSpaceDE w:val="0"/>
              <w:autoSpaceDN w:val="0"/>
              <w:snapToGrid w:val="0"/>
              <w:spacing w:line="276" w:lineRule="auto"/>
              <w:jc w:val="center"/>
              <w:rPr>
                <w:rFonts w:hint="eastAsia" w:ascii="宋体" w:hAnsi="宋体" w:eastAsia="宋体" w:cs="宋体"/>
                <w:color w:val="0C0C0C"/>
                <w:sz w:val="22"/>
              </w:rPr>
            </w:pPr>
            <w:r>
              <w:rPr>
                <w:rFonts w:hint="eastAsia" w:ascii="宋体" w:hAnsi="宋体" w:eastAsia="宋体" w:cs="宋体"/>
                <w:color w:val="0C0C0C"/>
                <w:sz w:val="22"/>
              </w:rPr>
              <w:t>序号</w:t>
            </w:r>
          </w:p>
        </w:tc>
        <w:tc>
          <w:tcPr>
            <w:tcW w:w="1565" w:type="dxa"/>
            <w:tcBorders>
              <w:tl2br w:val="nil"/>
              <w:tr2bl w:val="nil"/>
            </w:tcBorders>
            <w:noWrap w:val="0"/>
            <w:vAlign w:val="center"/>
          </w:tcPr>
          <w:p w14:paraId="22215710">
            <w:pPr>
              <w:autoSpaceDE w:val="0"/>
              <w:autoSpaceDN w:val="0"/>
              <w:snapToGrid w:val="0"/>
              <w:spacing w:line="276" w:lineRule="auto"/>
              <w:jc w:val="center"/>
              <w:rPr>
                <w:rFonts w:hint="eastAsia" w:ascii="宋体" w:hAnsi="宋体" w:eastAsia="宋体" w:cs="宋体"/>
                <w:color w:val="0C0C0C"/>
                <w:sz w:val="22"/>
              </w:rPr>
            </w:pPr>
            <w:r>
              <w:rPr>
                <w:rFonts w:hint="eastAsia" w:ascii="宋体" w:hAnsi="宋体" w:eastAsia="宋体" w:cs="宋体"/>
                <w:color w:val="0C0C0C"/>
                <w:sz w:val="22"/>
              </w:rPr>
              <w:t>条目号</w:t>
            </w:r>
          </w:p>
        </w:tc>
        <w:tc>
          <w:tcPr>
            <w:tcW w:w="7475" w:type="dxa"/>
            <w:tcBorders>
              <w:tl2br w:val="nil"/>
              <w:tr2bl w:val="nil"/>
            </w:tcBorders>
            <w:noWrap w:val="0"/>
            <w:vAlign w:val="center"/>
          </w:tcPr>
          <w:p w14:paraId="062D1FFA">
            <w:pPr>
              <w:autoSpaceDE w:val="0"/>
              <w:autoSpaceDN w:val="0"/>
              <w:snapToGrid w:val="0"/>
              <w:spacing w:line="276" w:lineRule="auto"/>
              <w:jc w:val="center"/>
              <w:rPr>
                <w:rFonts w:hint="eastAsia" w:ascii="宋体" w:hAnsi="宋体" w:eastAsia="宋体" w:cs="宋体"/>
                <w:color w:val="0C0C0C"/>
                <w:sz w:val="22"/>
              </w:rPr>
            </w:pPr>
            <w:r>
              <w:rPr>
                <w:rFonts w:hint="eastAsia" w:ascii="宋体" w:hAnsi="宋体" w:eastAsia="宋体" w:cs="宋体"/>
                <w:color w:val="0C0C0C"/>
                <w:sz w:val="22"/>
              </w:rPr>
              <w:t>信息或数据</w:t>
            </w:r>
          </w:p>
        </w:tc>
      </w:tr>
      <w:tr w14:paraId="09C9694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1" w:type="dxa"/>
            <w:tcBorders>
              <w:tl2br w:val="nil"/>
              <w:tr2bl w:val="nil"/>
            </w:tcBorders>
            <w:noWrap w:val="0"/>
            <w:vAlign w:val="center"/>
          </w:tcPr>
          <w:p w14:paraId="0A0A8C8E">
            <w:pPr>
              <w:autoSpaceDE w:val="0"/>
              <w:autoSpaceDN w:val="0"/>
              <w:snapToGrid w:val="0"/>
              <w:spacing w:line="276" w:lineRule="auto"/>
              <w:jc w:val="center"/>
              <w:rPr>
                <w:rFonts w:hint="eastAsia" w:ascii="宋体" w:hAnsi="宋体" w:eastAsia="宋体" w:cs="宋体"/>
                <w:color w:val="0C0C0C"/>
                <w:sz w:val="22"/>
              </w:rPr>
            </w:pPr>
            <w:r>
              <w:rPr>
                <w:rFonts w:hint="eastAsia" w:ascii="宋体" w:hAnsi="宋体" w:eastAsia="宋体" w:cs="宋体"/>
                <w:color w:val="0C0C0C"/>
                <w:sz w:val="22"/>
              </w:rPr>
              <w:t>1</w:t>
            </w:r>
          </w:p>
        </w:tc>
        <w:tc>
          <w:tcPr>
            <w:tcW w:w="1565" w:type="dxa"/>
            <w:tcBorders>
              <w:tl2br w:val="nil"/>
              <w:tr2bl w:val="nil"/>
            </w:tcBorders>
            <w:noWrap w:val="0"/>
            <w:vAlign w:val="center"/>
          </w:tcPr>
          <w:p w14:paraId="20B1E0C5">
            <w:pPr>
              <w:autoSpaceDE w:val="0"/>
              <w:autoSpaceDN w:val="0"/>
              <w:snapToGrid w:val="0"/>
              <w:spacing w:line="276" w:lineRule="auto"/>
              <w:jc w:val="center"/>
              <w:rPr>
                <w:rFonts w:hint="eastAsia" w:ascii="宋体" w:hAnsi="宋体" w:eastAsia="宋体" w:cs="宋体"/>
                <w:color w:val="0C0C0C"/>
                <w:sz w:val="22"/>
              </w:rPr>
            </w:pPr>
            <w:r>
              <w:rPr>
                <w:rFonts w:hint="eastAsia" w:ascii="宋体" w:hAnsi="宋体" w:eastAsia="宋体" w:cs="宋体"/>
                <w:color w:val="0C0C0C"/>
                <w:sz w:val="22"/>
              </w:rPr>
              <w:t>1.1.2.2</w:t>
            </w:r>
          </w:p>
        </w:tc>
        <w:tc>
          <w:tcPr>
            <w:tcW w:w="7475" w:type="dxa"/>
            <w:tcBorders>
              <w:tl2br w:val="nil"/>
              <w:tr2bl w:val="nil"/>
            </w:tcBorders>
            <w:noWrap w:val="0"/>
            <w:vAlign w:val="top"/>
          </w:tcPr>
          <w:p w14:paraId="0DA87CF0">
            <w:pPr>
              <w:pStyle w:val="12"/>
              <w:autoSpaceDE w:val="0"/>
              <w:autoSpaceDN w:val="0"/>
              <w:spacing w:line="276" w:lineRule="auto"/>
              <w:rPr>
                <w:rFonts w:hint="eastAsia" w:ascii="宋体" w:hAnsi="宋体" w:eastAsia="宋体" w:cs="宋体"/>
                <w:color w:val="0C0C0C"/>
                <w:sz w:val="28"/>
                <w:lang w:eastAsia="zh-CN"/>
              </w:rPr>
            </w:pPr>
            <w:r>
              <w:rPr>
                <w:rFonts w:hint="eastAsia" w:ascii="宋体" w:hAnsi="宋体" w:eastAsia="宋体" w:cs="宋体"/>
                <w:color w:val="0C0C0C"/>
                <w:sz w:val="22"/>
              </w:rPr>
              <w:t>发 包 人 ：</w:t>
            </w:r>
            <w:r>
              <w:rPr>
                <w:rFonts w:hint="eastAsia" w:ascii="宋体" w:hAnsi="宋体" w:cs="宋体"/>
                <w:color w:val="0C0C0C"/>
                <w:sz w:val="22"/>
                <w:lang w:eastAsia="zh-CN"/>
              </w:rPr>
              <w:t>镇巴县交通运输局</w:t>
            </w:r>
          </w:p>
          <w:p w14:paraId="6593C8F7">
            <w:pPr>
              <w:pStyle w:val="12"/>
              <w:tabs>
                <w:tab w:val="left" w:pos="979"/>
                <w:tab w:val="left" w:pos="3394"/>
              </w:tabs>
              <w:autoSpaceDE w:val="0"/>
              <w:autoSpaceDN w:val="0"/>
              <w:spacing w:line="276" w:lineRule="auto"/>
              <w:rPr>
                <w:rFonts w:hint="eastAsia" w:ascii="宋体" w:hAnsi="宋体" w:eastAsia="宋体" w:cs="宋体"/>
                <w:color w:val="0C0C0C"/>
                <w:sz w:val="22"/>
              </w:rPr>
            </w:pPr>
            <w:r>
              <w:rPr>
                <w:rFonts w:hint="eastAsia" w:ascii="宋体" w:hAnsi="宋体" w:eastAsia="宋体" w:cs="宋体"/>
                <w:color w:val="0C0C0C"/>
                <w:sz w:val="22"/>
              </w:rPr>
              <w:t>地     址：镇巴县新街34号</w:t>
            </w:r>
            <w:r>
              <w:rPr>
                <w:rFonts w:hint="eastAsia" w:ascii="宋体" w:hAnsi="宋体" w:eastAsia="宋体" w:cs="宋体"/>
                <w:color w:val="0C0C0C"/>
                <w:sz w:val="28"/>
              </w:rPr>
              <w:t xml:space="preserve">  </w:t>
            </w:r>
            <w:r>
              <w:rPr>
                <w:rFonts w:hint="eastAsia" w:ascii="宋体" w:hAnsi="宋体" w:eastAsia="宋体" w:cs="宋体"/>
                <w:color w:val="0C0C0C"/>
                <w:sz w:val="22"/>
              </w:rPr>
              <w:t xml:space="preserve"> </w:t>
            </w:r>
            <w:r>
              <w:rPr>
                <w:rFonts w:hint="eastAsia" w:ascii="宋体" w:hAnsi="宋体" w:eastAsia="宋体" w:cs="宋体"/>
                <w:color w:val="0C0C0C"/>
                <w:sz w:val="22"/>
              </w:rPr>
              <w:tab/>
            </w:r>
          </w:p>
        </w:tc>
      </w:tr>
      <w:tr w14:paraId="7F0B8B8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1" w:type="dxa"/>
            <w:tcBorders>
              <w:tl2br w:val="nil"/>
              <w:tr2bl w:val="nil"/>
            </w:tcBorders>
            <w:noWrap w:val="0"/>
            <w:vAlign w:val="center"/>
          </w:tcPr>
          <w:p w14:paraId="756A73E5">
            <w:pPr>
              <w:autoSpaceDE w:val="0"/>
              <w:autoSpaceDN w:val="0"/>
              <w:snapToGrid w:val="0"/>
              <w:spacing w:line="276" w:lineRule="auto"/>
              <w:jc w:val="center"/>
              <w:rPr>
                <w:rFonts w:hint="eastAsia" w:ascii="宋体" w:hAnsi="宋体" w:eastAsia="宋体" w:cs="宋体"/>
                <w:color w:val="0C0C0C"/>
                <w:sz w:val="22"/>
              </w:rPr>
            </w:pPr>
            <w:r>
              <w:rPr>
                <w:rFonts w:hint="eastAsia" w:ascii="宋体" w:hAnsi="宋体" w:eastAsia="宋体" w:cs="宋体"/>
                <w:color w:val="0C0C0C"/>
                <w:sz w:val="22"/>
              </w:rPr>
              <w:t>2</w:t>
            </w:r>
          </w:p>
        </w:tc>
        <w:tc>
          <w:tcPr>
            <w:tcW w:w="1565" w:type="dxa"/>
            <w:tcBorders>
              <w:tl2br w:val="nil"/>
              <w:tr2bl w:val="nil"/>
            </w:tcBorders>
            <w:noWrap w:val="0"/>
            <w:vAlign w:val="center"/>
          </w:tcPr>
          <w:p w14:paraId="2DFA70D4">
            <w:pPr>
              <w:autoSpaceDE w:val="0"/>
              <w:autoSpaceDN w:val="0"/>
              <w:snapToGrid w:val="0"/>
              <w:spacing w:line="276" w:lineRule="auto"/>
              <w:jc w:val="center"/>
              <w:rPr>
                <w:rFonts w:hint="eastAsia" w:ascii="宋体" w:hAnsi="宋体" w:eastAsia="宋体" w:cs="宋体"/>
                <w:color w:val="0C0C0C"/>
                <w:sz w:val="22"/>
              </w:rPr>
            </w:pPr>
            <w:r>
              <w:rPr>
                <w:rFonts w:hint="eastAsia" w:ascii="宋体" w:hAnsi="宋体" w:eastAsia="宋体" w:cs="宋体"/>
                <w:color w:val="0C0C0C"/>
                <w:sz w:val="22"/>
              </w:rPr>
              <w:t>1.1.2.6</w:t>
            </w:r>
          </w:p>
        </w:tc>
        <w:tc>
          <w:tcPr>
            <w:tcW w:w="7475" w:type="dxa"/>
            <w:tcBorders>
              <w:tl2br w:val="nil"/>
              <w:tr2bl w:val="nil"/>
            </w:tcBorders>
            <w:noWrap w:val="0"/>
            <w:vAlign w:val="center"/>
          </w:tcPr>
          <w:p w14:paraId="338CE821">
            <w:pPr>
              <w:autoSpaceDE w:val="0"/>
              <w:autoSpaceDN w:val="0"/>
              <w:snapToGrid w:val="0"/>
              <w:spacing w:line="276" w:lineRule="auto"/>
              <w:jc w:val="left"/>
              <w:rPr>
                <w:rFonts w:hint="eastAsia" w:ascii="宋体" w:hAnsi="宋体" w:eastAsia="宋体" w:cs="宋体"/>
                <w:color w:val="0C0C0C"/>
                <w:sz w:val="22"/>
              </w:rPr>
            </w:pPr>
            <w:r>
              <w:rPr>
                <w:rFonts w:hint="eastAsia" w:ascii="宋体" w:hAnsi="宋体" w:eastAsia="宋体" w:cs="宋体"/>
                <w:color w:val="0C0C0C"/>
                <w:sz w:val="22"/>
              </w:rPr>
              <w:t>监 理 人：由发包人以书面形式通知承包人。</w:t>
            </w:r>
          </w:p>
        </w:tc>
      </w:tr>
      <w:tr w14:paraId="4FC477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1" w:type="dxa"/>
            <w:tcBorders>
              <w:tl2br w:val="nil"/>
              <w:tr2bl w:val="nil"/>
            </w:tcBorders>
            <w:noWrap w:val="0"/>
            <w:vAlign w:val="center"/>
          </w:tcPr>
          <w:p w14:paraId="08CF6FC4">
            <w:pPr>
              <w:autoSpaceDE w:val="0"/>
              <w:autoSpaceDN w:val="0"/>
              <w:snapToGrid w:val="0"/>
              <w:spacing w:line="276" w:lineRule="auto"/>
              <w:jc w:val="center"/>
              <w:rPr>
                <w:rFonts w:hint="eastAsia" w:ascii="宋体" w:hAnsi="宋体" w:eastAsia="宋体" w:cs="宋体"/>
                <w:color w:val="0C0C0C"/>
                <w:sz w:val="22"/>
              </w:rPr>
            </w:pPr>
            <w:r>
              <w:rPr>
                <w:rFonts w:hint="eastAsia" w:ascii="宋体" w:hAnsi="宋体" w:eastAsia="宋体" w:cs="宋体"/>
                <w:color w:val="0C0C0C"/>
                <w:sz w:val="22"/>
              </w:rPr>
              <w:t>3</w:t>
            </w:r>
          </w:p>
        </w:tc>
        <w:tc>
          <w:tcPr>
            <w:tcW w:w="1565" w:type="dxa"/>
            <w:tcBorders>
              <w:tl2br w:val="nil"/>
              <w:tr2bl w:val="nil"/>
            </w:tcBorders>
            <w:noWrap w:val="0"/>
            <w:vAlign w:val="center"/>
          </w:tcPr>
          <w:p w14:paraId="142B3315">
            <w:pPr>
              <w:autoSpaceDE w:val="0"/>
              <w:autoSpaceDN w:val="0"/>
              <w:snapToGrid w:val="0"/>
              <w:spacing w:line="276" w:lineRule="auto"/>
              <w:jc w:val="center"/>
              <w:rPr>
                <w:rFonts w:hint="eastAsia" w:ascii="宋体" w:hAnsi="宋体" w:eastAsia="宋体" w:cs="宋体"/>
                <w:color w:val="0C0C0C"/>
                <w:sz w:val="22"/>
              </w:rPr>
            </w:pPr>
            <w:r>
              <w:rPr>
                <w:rFonts w:hint="eastAsia" w:ascii="宋体" w:hAnsi="宋体" w:eastAsia="宋体" w:cs="宋体"/>
                <w:color w:val="0C0C0C"/>
                <w:sz w:val="22"/>
              </w:rPr>
              <w:t>1.1.4.5</w:t>
            </w:r>
          </w:p>
        </w:tc>
        <w:tc>
          <w:tcPr>
            <w:tcW w:w="7475" w:type="dxa"/>
            <w:tcBorders>
              <w:tl2br w:val="nil"/>
              <w:tr2bl w:val="nil"/>
            </w:tcBorders>
            <w:noWrap w:val="0"/>
            <w:vAlign w:val="center"/>
          </w:tcPr>
          <w:p w14:paraId="3B77781A">
            <w:pPr>
              <w:autoSpaceDE w:val="0"/>
              <w:autoSpaceDN w:val="0"/>
              <w:snapToGrid w:val="0"/>
              <w:spacing w:line="276" w:lineRule="auto"/>
              <w:jc w:val="left"/>
              <w:rPr>
                <w:rFonts w:hint="eastAsia" w:ascii="宋体" w:hAnsi="宋体" w:eastAsia="宋体" w:cs="宋体"/>
                <w:color w:val="0C0C0C"/>
                <w:sz w:val="22"/>
              </w:rPr>
            </w:pPr>
            <w:r>
              <w:rPr>
                <w:rFonts w:hint="eastAsia" w:ascii="宋体" w:hAnsi="宋体" w:eastAsia="宋体" w:cs="宋体"/>
                <w:color w:val="0C0C0C"/>
                <w:sz w:val="22"/>
              </w:rPr>
              <w:t>缺陷责任期：自</w:t>
            </w:r>
            <w:r>
              <w:rPr>
                <w:rFonts w:hint="eastAsia" w:ascii="宋体" w:hAnsi="宋体" w:eastAsia="宋体" w:cs="宋体"/>
                <w:color w:val="0C0C0C"/>
                <w:sz w:val="22"/>
                <w:szCs w:val="21"/>
              </w:rPr>
              <w:t>交工证书签发</w:t>
            </w:r>
            <w:r>
              <w:rPr>
                <w:rFonts w:hint="eastAsia" w:ascii="宋体" w:hAnsi="宋体" w:eastAsia="宋体" w:cs="宋体"/>
                <w:color w:val="0C0C0C"/>
                <w:sz w:val="22"/>
              </w:rPr>
              <w:t>日期起计算</w:t>
            </w:r>
            <w:r>
              <w:rPr>
                <w:rFonts w:hint="eastAsia" w:ascii="宋体" w:hAnsi="宋体" w:eastAsia="宋体" w:cs="宋体"/>
                <w:color w:val="0C0C0C"/>
                <w:sz w:val="22"/>
                <w:u w:val="single"/>
              </w:rPr>
              <w:t xml:space="preserve"> 2 </w:t>
            </w:r>
            <w:r>
              <w:rPr>
                <w:rFonts w:hint="eastAsia" w:ascii="宋体" w:hAnsi="宋体" w:eastAsia="宋体" w:cs="宋体"/>
                <w:color w:val="0C0C0C"/>
                <w:sz w:val="22"/>
              </w:rPr>
              <w:t>年。</w:t>
            </w:r>
          </w:p>
        </w:tc>
      </w:tr>
      <w:tr w14:paraId="1C5CD2F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1" w:type="dxa"/>
            <w:tcBorders>
              <w:tl2br w:val="nil"/>
              <w:tr2bl w:val="nil"/>
            </w:tcBorders>
            <w:noWrap w:val="0"/>
            <w:vAlign w:val="center"/>
          </w:tcPr>
          <w:p w14:paraId="736F2A9C">
            <w:pPr>
              <w:autoSpaceDE w:val="0"/>
              <w:autoSpaceDN w:val="0"/>
              <w:snapToGrid w:val="0"/>
              <w:spacing w:line="276" w:lineRule="auto"/>
              <w:jc w:val="center"/>
              <w:rPr>
                <w:rFonts w:hint="eastAsia" w:ascii="宋体" w:hAnsi="宋体" w:eastAsia="宋体" w:cs="宋体"/>
                <w:color w:val="0C0C0C"/>
                <w:sz w:val="22"/>
              </w:rPr>
            </w:pPr>
            <w:r>
              <w:rPr>
                <w:rFonts w:hint="eastAsia" w:ascii="宋体" w:hAnsi="宋体" w:eastAsia="宋体" w:cs="宋体"/>
                <w:color w:val="0C0C0C"/>
                <w:sz w:val="22"/>
              </w:rPr>
              <w:t>4</w:t>
            </w:r>
          </w:p>
        </w:tc>
        <w:tc>
          <w:tcPr>
            <w:tcW w:w="1565" w:type="dxa"/>
            <w:tcBorders>
              <w:tl2br w:val="nil"/>
              <w:tr2bl w:val="nil"/>
            </w:tcBorders>
            <w:noWrap w:val="0"/>
            <w:vAlign w:val="center"/>
          </w:tcPr>
          <w:p w14:paraId="3CD1ACFE">
            <w:pPr>
              <w:autoSpaceDE w:val="0"/>
              <w:autoSpaceDN w:val="0"/>
              <w:snapToGrid w:val="0"/>
              <w:spacing w:line="276" w:lineRule="auto"/>
              <w:jc w:val="center"/>
              <w:rPr>
                <w:rFonts w:hint="eastAsia" w:ascii="宋体" w:hAnsi="宋体" w:eastAsia="宋体" w:cs="宋体"/>
                <w:color w:val="0C0C0C"/>
                <w:sz w:val="22"/>
              </w:rPr>
            </w:pPr>
            <w:r>
              <w:rPr>
                <w:rFonts w:hint="eastAsia" w:ascii="宋体" w:hAnsi="宋体" w:eastAsia="宋体" w:cs="宋体"/>
                <w:color w:val="0C0C0C"/>
                <w:sz w:val="22"/>
              </w:rPr>
              <w:t>1.6.3</w:t>
            </w:r>
          </w:p>
        </w:tc>
        <w:tc>
          <w:tcPr>
            <w:tcW w:w="7475" w:type="dxa"/>
            <w:tcBorders>
              <w:tl2br w:val="nil"/>
              <w:tr2bl w:val="nil"/>
            </w:tcBorders>
            <w:noWrap w:val="0"/>
            <w:vAlign w:val="center"/>
          </w:tcPr>
          <w:p w14:paraId="61C9CC19">
            <w:pPr>
              <w:autoSpaceDE w:val="0"/>
              <w:autoSpaceDN w:val="0"/>
              <w:snapToGrid w:val="0"/>
              <w:spacing w:line="276" w:lineRule="auto"/>
              <w:jc w:val="left"/>
              <w:rPr>
                <w:rFonts w:hint="eastAsia" w:ascii="宋体" w:hAnsi="宋体" w:eastAsia="宋体" w:cs="宋体"/>
                <w:color w:val="0C0C0C"/>
                <w:sz w:val="22"/>
              </w:rPr>
            </w:pPr>
            <w:r>
              <w:rPr>
                <w:rFonts w:hint="eastAsia" w:ascii="宋体" w:hAnsi="宋体" w:eastAsia="宋体" w:cs="宋体"/>
                <w:color w:val="0C0C0C"/>
                <w:sz w:val="22"/>
              </w:rPr>
              <w:t>图纸需要修改和补充的，应由监理人取得发包人同意后，在该项工程或工程相应部位施工前</w:t>
            </w:r>
            <w:r>
              <w:rPr>
                <w:rFonts w:hint="eastAsia" w:ascii="宋体" w:hAnsi="宋体" w:eastAsia="宋体" w:cs="宋体"/>
                <w:color w:val="0C0C0C"/>
                <w:sz w:val="22"/>
                <w:u w:val="single"/>
              </w:rPr>
              <w:t xml:space="preserve"> 7 </w:t>
            </w:r>
            <w:r>
              <w:rPr>
                <w:rFonts w:hint="eastAsia" w:ascii="宋体" w:hAnsi="宋体" w:eastAsia="宋体" w:cs="宋体"/>
                <w:color w:val="0C0C0C"/>
                <w:sz w:val="22"/>
              </w:rPr>
              <w:t>天签发图纸修改图给承包人。</w:t>
            </w:r>
          </w:p>
        </w:tc>
      </w:tr>
      <w:tr w14:paraId="086B64A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1" w:type="dxa"/>
            <w:tcBorders>
              <w:tl2br w:val="nil"/>
              <w:tr2bl w:val="nil"/>
            </w:tcBorders>
            <w:noWrap w:val="0"/>
            <w:vAlign w:val="center"/>
          </w:tcPr>
          <w:p w14:paraId="37C534D0">
            <w:pPr>
              <w:autoSpaceDE w:val="0"/>
              <w:autoSpaceDN w:val="0"/>
              <w:snapToGrid w:val="0"/>
              <w:spacing w:line="276" w:lineRule="auto"/>
              <w:jc w:val="center"/>
              <w:rPr>
                <w:rFonts w:hint="eastAsia" w:ascii="宋体" w:hAnsi="宋体" w:eastAsia="宋体" w:cs="宋体"/>
                <w:color w:val="0C0C0C"/>
                <w:sz w:val="22"/>
              </w:rPr>
            </w:pPr>
            <w:r>
              <w:rPr>
                <w:rFonts w:hint="eastAsia" w:ascii="宋体" w:hAnsi="宋体" w:eastAsia="宋体" w:cs="宋体"/>
                <w:color w:val="0C0C0C"/>
                <w:sz w:val="22"/>
              </w:rPr>
              <w:t>5</w:t>
            </w:r>
          </w:p>
        </w:tc>
        <w:tc>
          <w:tcPr>
            <w:tcW w:w="1565" w:type="dxa"/>
            <w:tcBorders>
              <w:tl2br w:val="nil"/>
              <w:tr2bl w:val="nil"/>
            </w:tcBorders>
            <w:noWrap w:val="0"/>
            <w:vAlign w:val="center"/>
          </w:tcPr>
          <w:p w14:paraId="6EF66275">
            <w:pPr>
              <w:autoSpaceDE w:val="0"/>
              <w:autoSpaceDN w:val="0"/>
              <w:snapToGrid w:val="0"/>
              <w:spacing w:line="276" w:lineRule="auto"/>
              <w:jc w:val="center"/>
              <w:rPr>
                <w:rFonts w:hint="eastAsia" w:ascii="宋体" w:hAnsi="宋体" w:eastAsia="宋体" w:cs="宋体"/>
                <w:color w:val="0C0C0C"/>
                <w:sz w:val="22"/>
              </w:rPr>
            </w:pPr>
            <w:r>
              <w:rPr>
                <w:rFonts w:hint="eastAsia" w:ascii="宋体" w:hAnsi="宋体" w:eastAsia="宋体" w:cs="宋体"/>
                <w:color w:val="0C0C0C"/>
                <w:sz w:val="22"/>
              </w:rPr>
              <w:t>3.1.1</w:t>
            </w:r>
          </w:p>
        </w:tc>
        <w:tc>
          <w:tcPr>
            <w:tcW w:w="7475" w:type="dxa"/>
            <w:tcBorders>
              <w:tl2br w:val="nil"/>
              <w:tr2bl w:val="nil"/>
            </w:tcBorders>
            <w:noWrap w:val="0"/>
            <w:vAlign w:val="center"/>
          </w:tcPr>
          <w:p w14:paraId="481DC970">
            <w:pPr>
              <w:autoSpaceDE w:val="0"/>
              <w:autoSpaceDN w:val="0"/>
              <w:snapToGrid w:val="0"/>
              <w:spacing w:line="276" w:lineRule="auto"/>
              <w:jc w:val="left"/>
              <w:rPr>
                <w:rFonts w:hint="eastAsia" w:ascii="宋体" w:hAnsi="宋体" w:eastAsia="宋体" w:cs="宋体"/>
                <w:lang w:eastAsia="zh-CN"/>
              </w:rPr>
            </w:pPr>
            <w:r>
              <w:rPr>
                <w:rFonts w:hint="eastAsia" w:ascii="宋体" w:hAnsi="宋体" w:eastAsia="宋体" w:cs="宋体"/>
                <w:color w:val="0C0C0C"/>
                <w:sz w:val="22"/>
              </w:rPr>
              <w:t>监理人在行使变更权利前需要经发包人事先批准</w:t>
            </w:r>
            <w:r>
              <w:rPr>
                <w:rFonts w:hint="eastAsia" w:ascii="宋体" w:hAnsi="宋体" w:eastAsia="宋体" w:cs="宋体"/>
                <w:color w:val="0C0C0C"/>
                <w:sz w:val="22"/>
                <w:lang w:eastAsia="zh-CN"/>
              </w:rPr>
              <w:t>。</w:t>
            </w:r>
          </w:p>
        </w:tc>
      </w:tr>
      <w:tr w14:paraId="738CEBC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11" w:type="dxa"/>
            <w:tcBorders>
              <w:tl2br w:val="nil"/>
              <w:tr2bl w:val="nil"/>
            </w:tcBorders>
            <w:noWrap w:val="0"/>
            <w:vAlign w:val="center"/>
          </w:tcPr>
          <w:p w14:paraId="686EAB0F">
            <w:pPr>
              <w:autoSpaceDE w:val="0"/>
              <w:autoSpaceDN w:val="0"/>
              <w:snapToGrid w:val="0"/>
              <w:spacing w:line="276" w:lineRule="auto"/>
              <w:jc w:val="center"/>
              <w:rPr>
                <w:rFonts w:hint="eastAsia" w:ascii="宋体" w:hAnsi="宋体" w:eastAsia="宋体" w:cs="宋体"/>
                <w:color w:val="0C0C0C"/>
                <w:sz w:val="22"/>
              </w:rPr>
            </w:pPr>
            <w:r>
              <w:rPr>
                <w:rFonts w:hint="eastAsia" w:ascii="宋体" w:hAnsi="宋体" w:eastAsia="宋体" w:cs="宋体"/>
                <w:color w:val="0C0C0C"/>
                <w:sz w:val="22"/>
              </w:rPr>
              <w:t>6</w:t>
            </w:r>
          </w:p>
        </w:tc>
        <w:tc>
          <w:tcPr>
            <w:tcW w:w="1565" w:type="dxa"/>
            <w:tcBorders>
              <w:tl2br w:val="nil"/>
              <w:tr2bl w:val="nil"/>
            </w:tcBorders>
            <w:noWrap w:val="0"/>
            <w:vAlign w:val="center"/>
          </w:tcPr>
          <w:p w14:paraId="3163252B">
            <w:pPr>
              <w:autoSpaceDE w:val="0"/>
              <w:autoSpaceDN w:val="0"/>
              <w:snapToGrid w:val="0"/>
              <w:spacing w:line="276" w:lineRule="auto"/>
              <w:jc w:val="center"/>
              <w:rPr>
                <w:rFonts w:hint="eastAsia" w:ascii="宋体" w:hAnsi="宋体" w:eastAsia="宋体" w:cs="宋体"/>
                <w:color w:val="0C0C0C"/>
                <w:sz w:val="22"/>
              </w:rPr>
            </w:pPr>
            <w:r>
              <w:rPr>
                <w:rFonts w:hint="eastAsia" w:ascii="宋体" w:hAnsi="宋体" w:eastAsia="宋体" w:cs="宋体"/>
                <w:color w:val="0C0C0C"/>
                <w:sz w:val="22"/>
              </w:rPr>
              <w:t>5.2.1</w:t>
            </w:r>
          </w:p>
        </w:tc>
        <w:tc>
          <w:tcPr>
            <w:tcW w:w="7475" w:type="dxa"/>
            <w:tcBorders>
              <w:tl2br w:val="nil"/>
              <w:tr2bl w:val="nil"/>
            </w:tcBorders>
            <w:noWrap w:val="0"/>
            <w:vAlign w:val="center"/>
          </w:tcPr>
          <w:p w14:paraId="486B54F6">
            <w:pPr>
              <w:autoSpaceDE w:val="0"/>
              <w:autoSpaceDN w:val="0"/>
              <w:snapToGrid w:val="0"/>
              <w:spacing w:line="276" w:lineRule="auto"/>
              <w:jc w:val="left"/>
              <w:rPr>
                <w:rFonts w:hint="eastAsia" w:ascii="宋体" w:hAnsi="宋体" w:eastAsia="宋体" w:cs="宋体"/>
                <w:color w:val="0C0C0C"/>
                <w:sz w:val="22"/>
              </w:rPr>
            </w:pPr>
            <w:r>
              <w:rPr>
                <w:rFonts w:hint="eastAsia" w:ascii="宋体" w:hAnsi="宋体" w:eastAsia="宋体" w:cs="宋体"/>
                <w:color w:val="0C0C0C"/>
                <w:sz w:val="22"/>
              </w:rPr>
              <w:t>发包人是否提供材料或工程设备：否</w:t>
            </w:r>
          </w:p>
        </w:tc>
      </w:tr>
      <w:tr w14:paraId="541DCDE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1" w:type="dxa"/>
            <w:tcBorders>
              <w:tl2br w:val="nil"/>
              <w:tr2bl w:val="nil"/>
            </w:tcBorders>
            <w:noWrap w:val="0"/>
            <w:vAlign w:val="center"/>
          </w:tcPr>
          <w:p w14:paraId="638FA682">
            <w:pPr>
              <w:autoSpaceDE w:val="0"/>
              <w:autoSpaceDN w:val="0"/>
              <w:snapToGrid w:val="0"/>
              <w:spacing w:line="276" w:lineRule="auto"/>
              <w:jc w:val="center"/>
              <w:rPr>
                <w:rFonts w:hint="eastAsia" w:ascii="宋体" w:hAnsi="宋体" w:eastAsia="宋体" w:cs="宋体"/>
                <w:color w:val="0C0C0C"/>
                <w:sz w:val="22"/>
              </w:rPr>
            </w:pPr>
            <w:r>
              <w:rPr>
                <w:rFonts w:hint="eastAsia" w:ascii="宋体" w:hAnsi="宋体" w:eastAsia="宋体" w:cs="宋体"/>
                <w:color w:val="0C0C0C"/>
                <w:sz w:val="22"/>
              </w:rPr>
              <w:t>7</w:t>
            </w:r>
          </w:p>
        </w:tc>
        <w:tc>
          <w:tcPr>
            <w:tcW w:w="1565" w:type="dxa"/>
            <w:tcBorders>
              <w:tl2br w:val="nil"/>
              <w:tr2bl w:val="nil"/>
            </w:tcBorders>
            <w:noWrap w:val="0"/>
            <w:vAlign w:val="center"/>
          </w:tcPr>
          <w:p w14:paraId="48A22721">
            <w:pPr>
              <w:autoSpaceDE w:val="0"/>
              <w:autoSpaceDN w:val="0"/>
              <w:snapToGrid w:val="0"/>
              <w:spacing w:line="276" w:lineRule="auto"/>
              <w:jc w:val="center"/>
              <w:rPr>
                <w:rFonts w:hint="eastAsia" w:ascii="宋体" w:hAnsi="宋体" w:eastAsia="宋体" w:cs="宋体"/>
                <w:color w:val="0C0C0C"/>
                <w:sz w:val="22"/>
              </w:rPr>
            </w:pPr>
            <w:r>
              <w:rPr>
                <w:rFonts w:hint="eastAsia" w:ascii="宋体" w:hAnsi="宋体" w:eastAsia="宋体" w:cs="宋体"/>
                <w:color w:val="0C0C0C"/>
                <w:sz w:val="22"/>
              </w:rPr>
              <w:t>6.2</w:t>
            </w:r>
          </w:p>
        </w:tc>
        <w:tc>
          <w:tcPr>
            <w:tcW w:w="7475" w:type="dxa"/>
            <w:tcBorders>
              <w:tl2br w:val="nil"/>
              <w:tr2bl w:val="nil"/>
            </w:tcBorders>
            <w:noWrap w:val="0"/>
            <w:vAlign w:val="center"/>
          </w:tcPr>
          <w:p w14:paraId="35588851">
            <w:pPr>
              <w:autoSpaceDE w:val="0"/>
              <w:autoSpaceDN w:val="0"/>
              <w:snapToGrid w:val="0"/>
              <w:spacing w:line="276" w:lineRule="auto"/>
              <w:jc w:val="left"/>
              <w:rPr>
                <w:rFonts w:hint="eastAsia" w:ascii="宋体" w:hAnsi="宋体" w:eastAsia="宋体" w:cs="宋体"/>
                <w:color w:val="0C0C0C"/>
                <w:sz w:val="22"/>
              </w:rPr>
            </w:pPr>
            <w:r>
              <w:rPr>
                <w:rFonts w:hint="eastAsia" w:ascii="宋体" w:hAnsi="宋体" w:eastAsia="宋体" w:cs="宋体"/>
                <w:color w:val="0C0C0C"/>
                <w:sz w:val="22"/>
              </w:rPr>
              <w:t>发包人是否提供施工设备和临时设施：否</w:t>
            </w:r>
          </w:p>
        </w:tc>
      </w:tr>
      <w:tr w14:paraId="78F163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1" w:type="dxa"/>
            <w:tcBorders>
              <w:tl2br w:val="nil"/>
              <w:tr2bl w:val="nil"/>
            </w:tcBorders>
            <w:noWrap w:val="0"/>
            <w:vAlign w:val="center"/>
          </w:tcPr>
          <w:p w14:paraId="77A59106">
            <w:pPr>
              <w:autoSpaceDE w:val="0"/>
              <w:autoSpaceDN w:val="0"/>
              <w:snapToGrid w:val="0"/>
              <w:spacing w:line="276" w:lineRule="auto"/>
              <w:jc w:val="center"/>
              <w:rPr>
                <w:rFonts w:hint="eastAsia" w:ascii="宋体" w:hAnsi="宋体" w:eastAsia="宋体" w:cs="宋体"/>
                <w:color w:val="0C0C0C"/>
                <w:sz w:val="22"/>
              </w:rPr>
            </w:pPr>
            <w:r>
              <w:rPr>
                <w:rFonts w:hint="eastAsia" w:ascii="宋体" w:hAnsi="宋体" w:eastAsia="宋体" w:cs="宋体"/>
                <w:color w:val="0C0C0C"/>
                <w:sz w:val="22"/>
              </w:rPr>
              <w:t>8</w:t>
            </w:r>
          </w:p>
        </w:tc>
        <w:tc>
          <w:tcPr>
            <w:tcW w:w="1565" w:type="dxa"/>
            <w:tcBorders>
              <w:tl2br w:val="nil"/>
              <w:tr2bl w:val="nil"/>
            </w:tcBorders>
            <w:noWrap w:val="0"/>
            <w:vAlign w:val="center"/>
          </w:tcPr>
          <w:p w14:paraId="4D1837EA">
            <w:pPr>
              <w:autoSpaceDE w:val="0"/>
              <w:autoSpaceDN w:val="0"/>
              <w:snapToGrid w:val="0"/>
              <w:spacing w:line="276" w:lineRule="auto"/>
              <w:jc w:val="center"/>
              <w:rPr>
                <w:rFonts w:hint="eastAsia" w:ascii="宋体" w:hAnsi="宋体" w:eastAsia="宋体" w:cs="宋体"/>
                <w:color w:val="0C0C0C"/>
                <w:sz w:val="22"/>
              </w:rPr>
            </w:pPr>
            <w:r>
              <w:rPr>
                <w:rFonts w:hint="eastAsia" w:ascii="宋体" w:hAnsi="宋体" w:eastAsia="宋体" w:cs="宋体"/>
                <w:color w:val="0C0C0C"/>
                <w:sz w:val="22"/>
              </w:rPr>
              <w:t>8.1.1</w:t>
            </w:r>
          </w:p>
        </w:tc>
        <w:tc>
          <w:tcPr>
            <w:tcW w:w="7475" w:type="dxa"/>
            <w:tcBorders>
              <w:tl2br w:val="nil"/>
              <w:tr2bl w:val="nil"/>
            </w:tcBorders>
            <w:noWrap w:val="0"/>
            <w:vAlign w:val="center"/>
          </w:tcPr>
          <w:p w14:paraId="39A5101E">
            <w:pPr>
              <w:autoSpaceDE w:val="0"/>
              <w:autoSpaceDN w:val="0"/>
              <w:snapToGrid w:val="0"/>
              <w:spacing w:line="276" w:lineRule="auto"/>
              <w:jc w:val="left"/>
              <w:rPr>
                <w:rFonts w:hint="eastAsia" w:ascii="宋体" w:hAnsi="宋体" w:eastAsia="宋体" w:cs="宋体"/>
                <w:color w:val="0C0C0C"/>
                <w:sz w:val="22"/>
              </w:rPr>
            </w:pPr>
            <w:r>
              <w:rPr>
                <w:rFonts w:hint="eastAsia" w:ascii="宋体" w:hAnsi="宋体" w:eastAsia="宋体" w:cs="宋体"/>
                <w:color w:val="0C0C0C"/>
                <w:sz w:val="22"/>
              </w:rPr>
              <w:t>发包人提供测量基准点、基准先和水准点及其书面资料的期限：</w:t>
            </w:r>
            <w:r>
              <w:rPr>
                <w:rFonts w:hint="eastAsia" w:ascii="宋体" w:hAnsi="宋体" w:eastAsia="宋体" w:cs="宋体"/>
                <w:color w:val="0C0C0C"/>
                <w:sz w:val="22"/>
                <w:u w:val="single"/>
              </w:rPr>
              <w:t>进场后5日</w:t>
            </w:r>
            <w:r>
              <w:rPr>
                <w:rFonts w:hint="eastAsia" w:ascii="宋体" w:hAnsi="宋体" w:eastAsia="宋体" w:cs="宋体"/>
                <w:color w:val="0C0C0C"/>
                <w:sz w:val="22"/>
              </w:rPr>
              <w:t>；</w:t>
            </w:r>
          </w:p>
          <w:p w14:paraId="4DB15487">
            <w:pPr>
              <w:autoSpaceDE w:val="0"/>
              <w:autoSpaceDN w:val="0"/>
              <w:snapToGrid w:val="0"/>
              <w:spacing w:line="276" w:lineRule="auto"/>
              <w:jc w:val="left"/>
              <w:rPr>
                <w:rFonts w:hint="eastAsia" w:ascii="宋体" w:hAnsi="宋体" w:eastAsia="宋体" w:cs="宋体"/>
                <w:color w:val="0C0C0C"/>
                <w:sz w:val="22"/>
              </w:rPr>
            </w:pPr>
            <w:r>
              <w:rPr>
                <w:rFonts w:hint="eastAsia" w:ascii="宋体" w:hAnsi="宋体" w:eastAsia="宋体" w:cs="宋体"/>
                <w:color w:val="0C0C0C"/>
                <w:sz w:val="22"/>
              </w:rPr>
              <w:t>承包人将施工控制网资料报送监理人审批的期限：</w:t>
            </w:r>
            <w:r>
              <w:rPr>
                <w:rFonts w:hint="eastAsia" w:ascii="宋体" w:hAnsi="宋体" w:eastAsia="宋体" w:cs="宋体"/>
                <w:color w:val="0C0C0C"/>
                <w:sz w:val="22"/>
                <w:u w:val="single"/>
              </w:rPr>
              <w:t>进驻工地后5日内</w:t>
            </w:r>
            <w:r>
              <w:rPr>
                <w:rFonts w:hint="eastAsia" w:ascii="宋体" w:hAnsi="宋体" w:eastAsia="宋体" w:cs="宋体"/>
                <w:color w:val="0C0C0C"/>
                <w:sz w:val="22"/>
              </w:rPr>
              <w:t>。</w:t>
            </w:r>
          </w:p>
        </w:tc>
      </w:tr>
      <w:tr w14:paraId="3E6E5A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1" w:type="dxa"/>
            <w:tcBorders>
              <w:tl2br w:val="nil"/>
              <w:tr2bl w:val="nil"/>
            </w:tcBorders>
            <w:noWrap w:val="0"/>
            <w:vAlign w:val="center"/>
          </w:tcPr>
          <w:p w14:paraId="7E3AA225">
            <w:pPr>
              <w:autoSpaceDE w:val="0"/>
              <w:autoSpaceDN w:val="0"/>
              <w:snapToGrid w:val="0"/>
              <w:spacing w:line="276" w:lineRule="auto"/>
              <w:jc w:val="center"/>
              <w:rPr>
                <w:rFonts w:hint="eastAsia" w:ascii="宋体" w:hAnsi="宋体" w:eastAsia="宋体" w:cs="宋体"/>
                <w:color w:val="0C0C0C"/>
                <w:sz w:val="22"/>
              </w:rPr>
            </w:pPr>
            <w:r>
              <w:rPr>
                <w:rFonts w:hint="eastAsia" w:ascii="宋体" w:hAnsi="宋体" w:eastAsia="宋体" w:cs="宋体"/>
                <w:color w:val="0C0C0C"/>
                <w:sz w:val="22"/>
              </w:rPr>
              <w:t>9</w:t>
            </w:r>
          </w:p>
        </w:tc>
        <w:tc>
          <w:tcPr>
            <w:tcW w:w="1565" w:type="dxa"/>
            <w:tcBorders>
              <w:tl2br w:val="nil"/>
              <w:tr2bl w:val="nil"/>
            </w:tcBorders>
            <w:noWrap w:val="0"/>
            <w:vAlign w:val="center"/>
          </w:tcPr>
          <w:p w14:paraId="62E151AB">
            <w:pPr>
              <w:autoSpaceDE w:val="0"/>
              <w:autoSpaceDN w:val="0"/>
              <w:snapToGrid w:val="0"/>
              <w:spacing w:line="276" w:lineRule="auto"/>
              <w:jc w:val="center"/>
              <w:rPr>
                <w:rFonts w:hint="eastAsia" w:ascii="宋体" w:hAnsi="宋体" w:eastAsia="宋体" w:cs="宋体"/>
                <w:color w:val="0C0C0C"/>
                <w:sz w:val="22"/>
              </w:rPr>
            </w:pPr>
            <w:r>
              <w:rPr>
                <w:rFonts w:hint="eastAsia" w:ascii="宋体" w:hAnsi="宋体" w:eastAsia="宋体" w:cs="宋体"/>
                <w:color w:val="0C0C0C"/>
                <w:sz w:val="22"/>
              </w:rPr>
              <w:t>11.5</w:t>
            </w:r>
          </w:p>
        </w:tc>
        <w:tc>
          <w:tcPr>
            <w:tcW w:w="7475" w:type="dxa"/>
            <w:tcBorders>
              <w:tl2br w:val="nil"/>
              <w:tr2bl w:val="nil"/>
            </w:tcBorders>
            <w:noWrap w:val="0"/>
            <w:vAlign w:val="center"/>
          </w:tcPr>
          <w:p w14:paraId="4B503323">
            <w:pPr>
              <w:autoSpaceDE w:val="0"/>
              <w:autoSpaceDN w:val="0"/>
              <w:snapToGrid w:val="0"/>
              <w:spacing w:line="276" w:lineRule="auto"/>
              <w:jc w:val="left"/>
              <w:rPr>
                <w:rFonts w:hint="eastAsia" w:ascii="宋体" w:hAnsi="宋体" w:eastAsia="宋体" w:cs="宋体"/>
                <w:color w:val="0C0C0C"/>
                <w:sz w:val="22"/>
              </w:rPr>
            </w:pPr>
            <w:r>
              <w:rPr>
                <w:rFonts w:hint="eastAsia" w:ascii="宋体" w:hAnsi="宋体" w:eastAsia="宋体" w:cs="宋体"/>
                <w:color w:val="0C0C0C"/>
                <w:sz w:val="22"/>
              </w:rPr>
              <w:t>逾期交工违约金</w:t>
            </w:r>
            <w:r>
              <w:rPr>
                <w:rFonts w:hint="eastAsia" w:ascii="宋体" w:hAnsi="宋体" w:eastAsia="宋体" w:cs="宋体"/>
                <w:color w:val="0C0C0C"/>
                <w:sz w:val="22"/>
                <w:u w:val="single"/>
              </w:rPr>
              <w:t>：1000元/天</w:t>
            </w:r>
          </w:p>
        </w:tc>
      </w:tr>
      <w:tr w14:paraId="772F259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1" w:type="dxa"/>
            <w:tcBorders>
              <w:tl2br w:val="nil"/>
              <w:tr2bl w:val="nil"/>
            </w:tcBorders>
            <w:noWrap w:val="0"/>
            <w:vAlign w:val="center"/>
          </w:tcPr>
          <w:p w14:paraId="5057B6F8">
            <w:pPr>
              <w:autoSpaceDE w:val="0"/>
              <w:autoSpaceDN w:val="0"/>
              <w:snapToGrid w:val="0"/>
              <w:spacing w:line="276" w:lineRule="auto"/>
              <w:jc w:val="center"/>
              <w:rPr>
                <w:rFonts w:hint="eastAsia" w:ascii="宋体" w:hAnsi="宋体" w:eastAsia="宋体" w:cs="宋体"/>
                <w:color w:val="0C0C0C"/>
                <w:sz w:val="22"/>
              </w:rPr>
            </w:pPr>
            <w:r>
              <w:rPr>
                <w:rFonts w:hint="eastAsia" w:ascii="宋体" w:hAnsi="宋体" w:eastAsia="宋体" w:cs="宋体"/>
                <w:color w:val="0C0C0C"/>
                <w:sz w:val="22"/>
              </w:rPr>
              <w:t>10</w:t>
            </w:r>
          </w:p>
        </w:tc>
        <w:tc>
          <w:tcPr>
            <w:tcW w:w="1565" w:type="dxa"/>
            <w:tcBorders>
              <w:tl2br w:val="nil"/>
              <w:tr2bl w:val="nil"/>
            </w:tcBorders>
            <w:noWrap w:val="0"/>
            <w:vAlign w:val="center"/>
          </w:tcPr>
          <w:p w14:paraId="7F7D2600">
            <w:pPr>
              <w:autoSpaceDE w:val="0"/>
              <w:autoSpaceDN w:val="0"/>
              <w:snapToGrid w:val="0"/>
              <w:spacing w:line="276" w:lineRule="auto"/>
              <w:jc w:val="center"/>
              <w:rPr>
                <w:rFonts w:hint="eastAsia" w:ascii="宋体" w:hAnsi="宋体" w:eastAsia="宋体" w:cs="宋体"/>
                <w:color w:val="0C0C0C"/>
                <w:sz w:val="22"/>
              </w:rPr>
            </w:pPr>
            <w:r>
              <w:rPr>
                <w:rFonts w:hint="eastAsia" w:ascii="宋体" w:hAnsi="宋体" w:eastAsia="宋体" w:cs="宋体"/>
                <w:color w:val="0C0C0C"/>
                <w:sz w:val="22"/>
              </w:rPr>
              <w:t>11.5</w:t>
            </w:r>
          </w:p>
        </w:tc>
        <w:tc>
          <w:tcPr>
            <w:tcW w:w="7475" w:type="dxa"/>
            <w:tcBorders>
              <w:tl2br w:val="nil"/>
              <w:tr2bl w:val="nil"/>
            </w:tcBorders>
            <w:noWrap w:val="0"/>
            <w:vAlign w:val="center"/>
          </w:tcPr>
          <w:p w14:paraId="3D1519E4">
            <w:pPr>
              <w:autoSpaceDE w:val="0"/>
              <w:autoSpaceDN w:val="0"/>
              <w:snapToGrid w:val="0"/>
              <w:spacing w:line="276" w:lineRule="auto"/>
              <w:jc w:val="left"/>
              <w:rPr>
                <w:rFonts w:hint="eastAsia" w:ascii="宋体" w:hAnsi="宋体" w:eastAsia="宋体" w:cs="宋体"/>
                <w:color w:val="0C0C0C"/>
                <w:sz w:val="22"/>
              </w:rPr>
            </w:pPr>
            <w:r>
              <w:rPr>
                <w:rFonts w:hint="eastAsia" w:ascii="宋体" w:hAnsi="宋体" w:eastAsia="宋体" w:cs="宋体"/>
                <w:color w:val="0C0C0C"/>
                <w:sz w:val="22"/>
              </w:rPr>
              <w:t xml:space="preserve">逾期交工违约金限额： </w:t>
            </w:r>
            <w:r>
              <w:rPr>
                <w:rFonts w:hint="eastAsia" w:ascii="宋体" w:hAnsi="宋体" w:eastAsia="宋体" w:cs="宋体"/>
                <w:color w:val="0C0C0C"/>
                <w:sz w:val="22"/>
                <w:u w:val="single"/>
              </w:rPr>
              <w:t>10 %</w:t>
            </w:r>
            <w:r>
              <w:rPr>
                <w:rFonts w:hint="eastAsia" w:ascii="宋体" w:hAnsi="宋体" w:eastAsia="宋体" w:cs="宋体"/>
                <w:color w:val="0C0C0C"/>
                <w:sz w:val="22"/>
              </w:rPr>
              <w:t>签约合同价</w:t>
            </w:r>
          </w:p>
        </w:tc>
      </w:tr>
      <w:tr w14:paraId="1F4EA9F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1" w:type="dxa"/>
            <w:tcBorders>
              <w:tl2br w:val="nil"/>
              <w:tr2bl w:val="nil"/>
            </w:tcBorders>
            <w:noWrap w:val="0"/>
            <w:vAlign w:val="center"/>
          </w:tcPr>
          <w:p w14:paraId="263836DF">
            <w:pPr>
              <w:autoSpaceDE w:val="0"/>
              <w:autoSpaceDN w:val="0"/>
              <w:snapToGrid w:val="0"/>
              <w:spacing w:line="276" w:lineRule="auto"/>
              <w:jc w:val="center"/>
              <w:rPr>
                <w:rFonts w:hint="eastAsia" w:ascii="宋体" w:hAnsi="宋体" w:eastAsia="宋体" w:cs="宋体"/>
                <w:color w:val="0C0C0C"/>
                <w:sz w:val="22"/>
              </w:rPr>
            </w:pPr>
            <w:r>
              <w:rPr>
                <w:rFonts w:hint="eastAsia" w:ascii="宋体" w:hAnsi="宋体" w:eastAsia="宋体" w:cs="宋体"/>
                <w:color w:val="0C0C0C"/>
                <w:sz w:val="22"/>
              </w:rPr>
              <w:t>11</w:t>
            </w:r>
          </w:p>
        </w:tc>
        <w:tc>
          <w:tcPr>
            <w:tcW w:w="1565" w:type="dxa"/>
            <w:tcBorders>
              <w:tl2br w:val="nil"/>
              <w:tr2bl w:val="nil"/>
            </w:tcBorders>
            <w:noWrap w:val="0"/>
            <w:vAlign w:val="center"/>
          </w:tcPr>
          <w:p w14:paraId="08414A81">
            <w:pPr>
              <w:autoSpaceDE w:val="0"/>
              <w:autoSpaceDN w:val="0"/>
              <w:snapToGrid w:val="0"/>
              <w:spacing w:line="276" w:lineRule="auto"/>
              <w:jc w:val="center"/>
              <w:rPr>
                <w:rFonts w:hint="eastAsia" w:ascii="宋体" w:hAnsi="宋体" w:eastAsia="宋体" w:cs="宋体"/>
                <w:color w:val="0C0C0C"/>
                <w:sz w:val="22"/>
              </w:rPr>
            </w:pPr>
            <w:r>
              <w:rPr>
                <w:rFonts w:hint="eastAsia" w:ascii="宋体" w:hAnsi="宋体" w:eastAsia="宋体" w:cs="宋体"/>
                <w:color w:val="0C0C0C"/>
                <w:sz w:val="22"/>
              </w:rPr>
              <w:t>11.6</w:t>
            </w:r>
          </w:p>
        </w:tc>
        <w:tc>
          <w:tcPr>
            <w:tcW w:w="7475" w:type="dxa"/>
            <w:tcBorders>
              <w:tl2br w:val="nil"/>
              <w:tr2bl w:val="nil"/>
            </w:tcBorders>
            <w:noWrap w:val="0"/>
            <w:vAlign w:val="center"/>
          </w:tcPr>
          <w:p w14:paraId="0A0BA219">
            <w:pPr>
              <w:autoSpaceDE w:val="0"/>
              <w:autoSpaceDN w:val="0"/>
              <w:snapToGrid w:val="0"/>
              <w:spacing w:line="276" w:lineRule="auto"/>
              <w:jc w:val="left"/>
              <w:rPr>
                <w:rFonts w:hint="eastAsia" w:ascii="宋体" w:hAnsi="宋体" w:eastAsia="宋体" w:cs="宋体"/>
                <w:color w:val="0C0C0C"/>
                <w:sz w:val="22"/>
              </w:rPr>
            </w:pPr>
            <w:r>
              <w:rPr>
                <w:rFonts w:hint="eastAsia" w:ascii="宋体" w:hAnsi="宋体" w:eastAsia="宋体" w:cs="宋体"/>
                <w:color w:val="0C0C0C"/>
                <w:sz w:val="22"/>
              </w:rPr>
              <w:t>提前交工的奖金：无</w:t>
            </w:r>
          </w:p>
        </w:tc>
      </w:tr>
      <w:tr w14:paraId="223BEB6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811" w:type="dxa"/>
            <w:tcBorders>
              <w:tl2br w:val="nil"/>
              <w:tr2bl w:val="nil"/>
            </w:tcBorders>
            <w:noWrap w:val="0"/>
            <w:vAlign w:val="center"/>
          </w:tcPr>
          <w:p w14:paraId="5F593042">
            <w:pPr>
              <w:autoSpaceDE w:val="0"/>
              <w:autoSpaceDN w:val="0"/>
              <w:snapToGrid w:val="0"/>
              <w:spacing w:line="276" w:lineRule="auto"/>
              <w:jc w:val="center"/>
              <w:rPr>
                <w:rFonts w:hint="eastAsia" w:ascii="宋体" w:hAnsi="宋体" w:eastAsia="宋体" w:cs="宋体"/>
                <w:color w:val="0C0C0C"/>
                <w:sz w:val="22"/>
              </w:rPr>
            </w:pPr>
            <w:r>
              <w:rPr>
                <w:rFonts w:hint="eastAsia" w:ascii="宋体" w:hAnsi="宋体" w:eastAsia="宋体" w:cs="宋体"/>
                <w:color w:val="0C0C0C"/>
                <w:sz w:val="22"/>
              </w:rPr>
              <w:t>12</w:t>
            </w:r>
          </w:p>
        </w:tc>
        <w:tc>
          <w:tcPr>
            <w:tcW w:w="1565" w:type="dxa"/>
            <w:tcBorders>
              <w:tl2br w:val="nil"/>
              <w:tr2bl w:val="nil"/>
            </w:tcBorders>
            <w:noWrap w:val="0"/>
            <w:vAlign w:val="center"/>
          </w:tcPr>
          <w:p w14:paraId="1CE479F8">
            <w:pPr>
              <w:autoSpaceDE w:val="0"/>
              <w:autoSpaceDN w:val="0"/>
              <w:snapToGrid w:val="0"/>
              <w:spacing w:line="276" w:lineRule="auto"/>
              <w:jc w:val="center"/>
              <w:rPr>
                <w:rFonts w:hint="eastAsia" w:ascii="宋体" w:hAnsi="宋体" w:eastAsia="宋体" w:cs="宋体"/>
                <w:color w:val="0C0C0C"/>
                <w:sz w:val="22"/>
              </w:rPr>
            </w:pPr>
            <w:r>
              <w:rPr>
                <w:rFonts w:hint="eastAsia" w:ascii="宋体" w:hAnsi="宋体" w:eastAsia="宋体" w:cs="宋体"/>
                <w:color w:val="0C0C0C"/>
                <w:sz w:val="22"/>
              </w:rPr>
              <w:t>11.6</w:t>
            </w:r>
          </w:p>
        </w:tc>
        <w:tc>
          <w:tcPr>
            <w:tcW w:w="7475" w:type="dxa"/>
            <w:tcBorders>
              <w:tl2br w:val="nil"/>
              <w:tr2bl w:val="nil"/>
            </w:tcBorders>
            <w:noWrap w:val="0"/>
            <w:vAlign w:val="center"/>
          </w:tcPr>
          <w:p w14:paraId="0BBEC34B">
            <w:pPr>
              <w:autoSpaceDE w:val="0"/>
              <w:autoSpaceDN w:val="0"/>
              <w:snapToGrid w:val="0"/>
              <w:spacing w:line="276" w:lineRule="auto"/>
              <w:jc w:val="left"/>
              <w:rPr>
                <w:rFonts w:hint="eastAsia" w:ascii="宋体" w:hAnsi="宋体" w:eastAsia="宋体" w:cs="宋体"/>
                <w:color w:val="0C0C0C"/>
                <w:sz w:val="22"/>
              </w:rPr>
            </w:pPr>
            <w:r>
              <w:rPr>
                <w:rFonts w:hint="eastAsia" w:ascii="宋体" w:hAnsi="宋体" w:eastAsia="宋体" w:cs="宋体"/>
                <w:color w:val="0C0C0C"/>
                <w:sz w:val="22"/>
              </w:rPr>
              <w:t>提前交工的奖金限额：</w:t>
            </w:r>
            <w:r>
              <w:rPr>
                <w:rFonts w:hint="eastAsia" w:ascii="宋体" w:hAnsi="宋体" w:eastAsia="宋体" w:cs="宋体"/>
                <w:color w:val="0C0C0C"/>
                <w:sz w:val="22"/>
                <w:u w:val="single"/>
              </w:rPr>
              <w:t>无</w:t>
            </w:r>
            <w:r>
              <w:rPr>
                <w:rFonts w:hint="eastAsia" w:ascii="宋体" w:hAnsi="宋体" w:eastAsia="宋体" w:cs="宋体"/>
                <w:color w:val="0C0C0C"/>
                <w:sz w:val="22"/>
              </w:rPr>
              <w:t>。</w:t>
            </w:r>
          </w:p>
        </w:tc>
      </w:tr>
      <w:tr w14:paraId="6C5FFC9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3" w:hRule="atLeast"/>
          <w:jc w:val="center"/>
        </w:trPr>
        <w:tc>
          <w:tcPr>
            <w:tcW w:w="811" w:type="dxa"/>
            <w:tcBorders>
              <w:tl2br w:val="nil"/>
              <w:tr2bl w:val="nil"/>
            </w:tcBorders>
            <w:noWrap w:val="0"/>
            <w:vAlign w:val="center"/>
          </w:tcPr>
          <w:p w14:paraId="00DACC2F">
            <w:pPr>
              <w:autoSpaceDE w:val="0"/>
              <w:autoSpaceDN w:val="0"/>
              <w:snapToGrid w:val="0"/>
              <w:spacing w:line="276" w:lineRule="auto"/>
              <w:jc w:val="center"/>
              <w:rPr>
                <w:rFonts w:hint="eastAsia" w:ascii="宋体" w:hAnsi="宋体" w:eastAsia="宋体" w:cs="宋体"/>
                <w:color w:val="0C0C0C"/>
                <w:sz w:val="22"/>
                <w:lang w:val="en-US" w:eastAsia="zh-CN"/>
              </w:rPr>
            </w:pPr>
            <w:r>
              <w:rPr>
                <w:rFonts w:hint="eastAsia" w:ascii="宋体" w:hAnsi="宋体" w:eastAsia="宋体" w:cs="宋体"/>
                <w:color w:val="0C0C0C"/>
                <w:sz w:val="22"/>
                <w:lang w:val="en-US" w:eastAsia="zh-CN"/>
              </w:rPr>
              <w:t>13</w:t>
            </w:r>
          </w:p>
        </w:tc>
        <w:tc>
          <w:tcPr>
            <w:tcW w:w="1565" w:type="dxa"/>
            <w:tcBorders>
              <w:tl2br w:val="nil"/>
              <w:tr2bl w:val="nil"/>
            </w:tcBorders>
            <w:noWrap w:val="0"/>
            <w:vAlign w:val="center"/>
          </w:tcPr>
          <w:p w14:paraId="1B0BDA5E">
            <w:pPr>
              <w:autoSpaceDE w:val="0"/>
              <w:autoSpaceDN w:val="0"/>
              <w:snapToGrid w:val="0"/>
              <w:spacing w:line="276" w:lineRule="auto"/>
              <w:jc w:val="center"/>
              <w:rPr>
                <w:rFonts w:hint="eastAsia" w:ascii="宋体" w:hAnsi="宋体" w:eastAsia="宋体" w:cs="宋体"/>
                <w:color w:val="0C0C0C"/>
                <w:sz w:val="22"/>
              </w:rPr>
            </w:pPr>
            <w:r>
              <w:rPr>
                <w:rFonts w:hint="eastAsia" w:ascii="宋体" w:hAnsi="宋体" w:eastAsia="宋体" w:cs="宋体"/>
                <w:color w:val="0C0C0C"/>
                <w:sz w:val="22"/>
              </w:rPr>
              <w:t>15.5.2</w:t>
            </w:r>
          </w:p>
        </w:tc>
        <w:tc>
          <w:tcPr>
            <w:tcW w:w="7475" w:type="dxa"/>
            <w:tcBorders>
              <w:tl2br w:val="nil"/>
              <w:tr2bl w:val="nil"/>
            </w:tcBorders>
            <w:noWrap w:val="0"/>
            <w:vAlign w:val="center"/>
          </w:tcPr>
          <w:p w14:paraId="2E24BD04">
            <w:pPr>
              <w:autoSpaceDE w:val="0"/>
              <w:autoSpaceDN w:val="0"/>
              <w:snapToGrid w:val="0"/>
              <w:spacing w:line="276" w:lineRule="auto"/>
              <w:jc w:val="left"/>
              <w:rPr>
                <w:rFonts w:hint="eastAsia" w:ascii="宋体" w:hAnsi="宋体" w:eastAsia="宋体" w:cs="宋体"/>
                <w:color w:val="0C0C0C"/>
                <w:sz w:val="22"/>
              </w:rPr>
            </w:pPr>
            <w:r>
              <w:rPr>
                <w:rFonts w:hint="eastAsia" w:ascii="宋体" w:hAnsi="宋体" w:eastAsia="宋体" w:cs="宋体"/>
                <w:color w:val="0C0C0C"/>
                <w:sz w:val="22"/>
              </w:rPr>
              <w:t>承包人提出的合理化建议降低了合同价格或者提高了工程经济效益的，发包人按所节约成本的</w:t>
            </w:r>
            <w:r>
              <w:rPr>
                <w:rFonts w:hint="eastAsia" w:ascii="宋体" w:hAnsi="宋体" w:eastAsia="宋体" w:cs="宋体"/>
                <w:color w:val="0C0C0C"/>
                <w:sz w:val="22"/>
                <w:u w:val="single"/>
              </w:rPr>
              <w:t xml:space="preserve"> /  </w:t>
            </w:r>
            <w:r>
              <w:rPr>
                <w:rFonts w:hint="eastAsia" w:ascii="宋体" w:hAnsi="宋体" w:eastAsia="宋体" w:cs="宋体"/>
                <w:color w:val="0C0C0C"/>
                <w:sz w:val="22"/>
              </w:rPr>
              <w:t>%或增加收益的</w:t>
            </w:r>
            <w:r>
              <w:rPr>
                <w:rFonts w:hint="eastAsia" w:ascii="宋体" w:hAnsi="宋体" w:eastAsia="宋体" w:cs="宋体"/>
                <w:color w:val="0C0C0C"/>
                <w:sz w:val="22"/>
                <w:u w:val="single"/>
              </w:rPr>
              <w:t xml:space="preserve"> /  </w:t>
            </w:r>
            <w:r>
              <w:rPr>
                <w:rFonts w:hint="eastAsia" w:ascii="宋体" w:hAnsi="宋体" w:eastAsia="宋体" w:cs="宋体"/>
                <w:color w:val="0C0C0C"/>
                <w:sz w:val="22"/>
              </w:rPr>
              <w:t>%给予奖励</w:t>
            </w:r>
            <w:r>
              <w:rPr>
                <w:rFonts w:hint="eastAsia" w:ascii="宋体" w:hAnsi="宋体" w:eastAsia="宋体" w:cs="宋体"/>
                <w:color w:val="0C0C0C"/>
                <w:sz w:val="20"/>
                <w:szCs w:val="21"/>
              </w:rPr>
              <w:t>：(不适用)。</w:t>
            </w:r>
          </w:p>
        </w:tc>
      </w:tr>
      <w:tr w14:paraId="552B389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3" w:hRule="atLeast"/>
          <w:jc w:val="center"/>
        </w:trPr>
        <w:tc>
          <w:tcPr>
            <w:tcW w:w="811" w:type="dxa"/>
            <w:tcBorders>
              <w:tl2br w:val="nil"/>
              <w:tr2bl w:val="nil"/>
            </w:tcBorders>
            <w:noWrap w:val="0"/>
            <w:vAlign w:val="center"/>
          </w:tcPr>
          <w:p w14:paraId="71A62107">
            <w:pPr>
              <w:autoSpaceDE w:val="0"/>
              <w:autoSpaceDN w:val="0"/>
              <w:snapToGrid w:val="0"/>
              <w:spacing w:line="276" w:lineRule="auto"/>
              <w:jc w:val="center"/>
              <w:rPr>
                <w:rFonts w:hint="eastAsia" w:ascii="宋体" w:hAnsi="宋体" w:eastAsia="宋体" w:cs="宋体"/>
                <w:color w:val="0C0C0C"/>
                <w:sz w:val="22"/>
                <w:lang w:val="en-US" w:eastAsia="zh-CN"/>
              </w:rPr>
            </w:pPr>
            <w:r>
              <w:rPr>
                <w:rFonts w:hint="eastAsia" w:ascii="宋体" w:hAnsi="宋体" w:eastAsia="宋体" w:cs="宋体"/>
                <w:color w:val="0C0C0C"/>
                <w:sz w:val="22"/>
                <w:lang w:val="en-US" w:eastAsia="zh-CN"/>
              </w:rPr>
              <w:t>14</w:t>
            </w:r>
          </w:p>
        </w:tc>
        <w:tc>
          <w:tcPr>
            <w:tcW w:w="1565" w:type="dxa"/>
            <w:tcBorders>
              <w:tl2br w:val="nil"/>
              <w:tr2bl w:val="nil"/>
            </w:tcBorders>
            <w:noWrap w:val="0"/>
            <w:vAlign w:val="center"/>
          </w:tcPr>
          <w:p w14:paraId="79B5D5FA">
            <w:pPr>
              <w:autoSpaceDE w:val="0"/>
              <w:autoSpaceDN w:val="0"/>
              <w:snapToGrid w:val="0"/>
              <w:spacing w:line="276" w:lineRule="auto"/>
              <w:jc w:val="center"/>
              <w:rPr>
                <w:rFonts w:hint="eastAsia" w:ascii="宋体" w:hAnsi="宋体" w:eastAsia="宋体" w:cs="宋体"/>
                <w:color w:val="0C0C0C"/>
                <w:sz w:val="22"/>
                <w:lang w:val="en-US" w:eastAsia="zh-CN"/>
              </w:rPr>
            </w:pPr>
            <w:r>
              <w:rPr>
                <w:rFonts w:hint="eastAsia" w:ascii="宋体" w:hAnsi="宋体" w:eastAsia="宋体" w:cs="宋体"/>
                <w:color w:val="0C0C0C"/>
                <w:sz w:val="22"/>
                <w:lang w:val="en-US" w:eastAsia="zh-CN"/>
              </w:rPr>
              <w:t>16.1</w:t>
            </w:r>
          </w:p>
        </w:tc>
        <w:tc>
          <w:tcPr>
            <w:tcW w:w="7475" w:type="dxa"/>
            <w:tcBorders>
              <w:tl2br w:val="nil"/>
              <w:tr2bl w:val="nil"/>
            </w:tcBorders>
            <w:noWrap w:val="0"/>
            <w:vAlign w:val="center"/>
          </w:tcPr>
          <w:p w14:paraId="7131EFE0">
            <w:pPr>
              <w:autoSpaceDE w:val="0"/>
              <w:autoSpaceDN w:val="0"/>
              <w:snapToGrid w:val="0"/>
              <w:spacing w:line="276" w:lineRule="auto"/>
              <w:jc w:val="left"/>
              <w:rPr>
                <w:rFonts w:hint="eastAsia" w:ascii="宋体" w:hAnsi="宋体" w:eastAsia="宋体" w:cs="宋体"/>
                <w:color w:val="0C0C0C"/>
                <w:sz w:val="22"/>
              </w:rPr>
            </w:pPr>
            <w:r>
              <w:rPr>
                <w:rFonts w:hint="eastAsia" w:ascii="宋体" w:hAnsi="宋体" w:eastAsia="宋体" w:cs="宋体"/>
                <w:color w:val="0C0C0C"/>
                <w:sz w:val="22"/>
              </w:rPr>
              <w:t>合同期内不调价。</w:t>
            </w:r>
          </w:p>
        </w:tc>
      </w:tr>
      <w:tr w14:paraId="19BF446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1" w:type="dxa"/>
            <w:tcBorders>
              <w:tl2br w:val="nil"/>
              <w:tr2bl w:val="nil"/>
            </w:tcBorders>
            <w:noWrap w:val="0"/>
            <w:vAlign w:val="center"/>
          </w:tcPr>
          <w:p w14:paraId="112D2615">
            <w:pPr>
              <w:autoSpaceDE w:val="0"/>
              <w:autoSpaceDN w:val="0"/>
              <w:snapToGrid w:val="0"/>
              <w:spacing w:line="276" w:lineRule="auto"/>
              <w:jc w:val="center"/>
              <w:rPr>
                <w:rFonts w:hint="eastAsia" w:ascii="宋体" w:hAnsi="宋体" w:eastAsia="宋体" w:cs="宋体"/>
                <w:color w:val="0C0C0C"/>
                <w:sz w:val="22"/>
              </w:rPr>
            </w:pPr>
            <w:r>
              <w:rPr>
                <w:rFonts w:hint="eastAsia" w:ascii="宋体" w:hAnsi="宋体" w:eastAsia="宋体" w:cs="宋体"/>
                <w:color w:val="0C0C0C"/>
                <w:sz w:val="22"/>
              </w:rPr>
              <w:t>15</w:t>
            </w:r>
          </w:p>
        </w:tc>
        <w:tc>
          <w:tcPr>
            <w:tcW w:w="1565" w:type="dxa"/>
            <w:tcBorders>
              <w:tl2br w:val="nil"/>
              <w:tr2bl w:val="nil"/>
            </w:tcBorders>
            <w:noWrap w:val="0"/>
            <w:vAlign w:val="center"/>
          </w:tcPr>
          <w:p w14:paraId="00FFB248">
            <w:pPr>
              <w:autoSpaceDE w:val="0"/>
              <w:autoSpaceDN w:val="0"/>
              <w:snapToGrid w:val="0"/>
              <w:spacing w:line="276" w:lineRule="auto"/>
              <w:jc w:val="center"/>
              <w:rPr>
                <w:rFonts w:hint="eastAsia" w:ascii="宋体" w:hAnsi="宋体" w:eastAsia="宋体" w:cs="宋体"/>
                <w:color w:val="0C0C0C"/>
                <w:sz w:val="22"/>
              </w:rPr>
            </w:pPr>
            <w:r>
              <w:rPr>
                <w:rFonts w:hint="eastAsia" w:ascii="宋体" w:hAnsi="宋体" w:eastAsia="宋体" w:cs="宋体"/>
                <w:color w:val="0C0C0C"/>
                <w:sz w:val="22"/>
              </w:rPr>
              <w:t>17.2.1（1）</w:t>
            </w:r>
          </w:p>
        </w:tc>
        <w:tc>
          <w:tcPr>
            <w:tcW w:w="7475" w:type="dxa"/>
            <w:tcBorders>
              <w:tl2br w:val="nil"/>
              <w:tr2bl w:val="nil"/>
            </w:tcBorders>
            <w:noWrap w:val="0"/>
            <w:vAlign w:val="center"/>
          </w:tcPr>
          <w:p w14:paraId="14D8ABE5">
            <w:pPr>
              <w:autoSpaceDE w:val="0"/>
              <w:autoSpaceDN w:val="0"/>
              <w:snapToGrid w:val="0"/>
              <w:spacing w:line="276" w:lineRule="auto"/>
              <w:jc w:val="left"/>
              <w:rPr>
                <w:rFonts w:hint="eastAsia" w:ascii="宋体" w:hAnsi="宋体" w:eastAsia="宋体" w:cs="宋体"/>
                <w:color w:val="0C0C0C"/>
                <w:sz w:val="22"/>
                <w:lang w:val="en-US" w:eastAsia="zh-CN"/>
              </w:rPr>
            </w:pPr>
            <w:r>
              <w:rPr>
                <w:rFonts w:hint="eastAsia" w:ascii="宋体" w:hAnsi="宋体" w:eastAsia="宋体" w:cs="宋体"/>
                <w:color w:val="0C0C0C"/>
                <w:sz w:val="22"/>
              </w:rPr>
              <w:t>开工预付款金额：</w:t>
            </w:r>
            <w:r>
              <w:rPr>
                <w:rFonts w:hint="eastAsia" w:ascii="宋体" w:hAnsi="宋体" w:eastAsia="宋体" w:cs="宋体"/>
                <w:color w:val="0C0C0C"/>
                <w:sz w:val="22"/>
                <w:u w:val="single"/>
                <w:lang w:val="en-US" w:eastAsia="zh-CN"/>
              </w:rPr>
              <w:t xml:space="preserve"> </w:t>
            </w:r>
            <w:r>
              <w:rPr>
                <w:rFonts w:hint="eastAsia" w:ascii="宋体" w:hAnsi="宋体" w:cs="宋体"/>
                <w:color w:val="0C0C0C"/>
                <w:sz w:val="22"/>
                <w:u w:val="single"/>
                <w:lang w:val="en-US" w:eastAsia="zh-CN"/>
              </w:rPr>
              <w:t xml:space="preserve"> 30 </w:t>
            </w:r>
            <w:r>
              <w:rPr>
                <w:rFonts w:hint="eastAsia" w:ascii="宋体" w:hAnsi="宋体" w:eastAsia="宋体" w:cs="宋体"/>
                <w:color w:val="0C0C0C"/>
                <w:sz w:val="22"/>
                <w:u w:val="none"/>
              </w:rPr>
              <w:t xml:space="preserve"> </w:t>
            </w:r>
            <w:r>
              <w:rPr>
                <w:rFonts w:hint="eastAsia" w:ascii="宋体" w:hAnsi="宋体" w:eastAsia="宋体" w:cs="宋体"/>
                <w:color w:val="0C0C0C"/>
                <w:sz w:val="22"/>
                <w:u w:val="none"/>
                <w:lang w:val="en-US" w:eastAsia="zh-CN"/>
              </w:rPr>
              <w:t>%签约合同价</w:t>
            </w:r>
          </w:p>
        </w:tc>
      </w:tr>
      <w:tr w14:paraId="422D5E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1" w:type="dxa"/>
            <w:tcBorders>
              <w:tl2br w:val="nil"/>
              <w:tr2bl w:val="nil"/>
            </w:tcBorders>
            <w:noWrap w:val="0"/>
            <w:vAlign w:val="center"/>
          </w:tcPr>
          <w:p w14:paraId="3CF7A6B7">
            <w:pPr>
              <w:autoSpaceDE w:val="0"/>
              <w:autoSpaceDN w:val="0"/>
              <w:snapToGrid w:val="0"/>
              <w:spacing w:line="276" w:lineRule="auto"/>
              <w:jc w:val="center"/>
              <w:rPr>
                <w:rFonts w:hint="eastAsia" w:ascii="宋体" w:hAnsi="宋体" w:eastAsia="宋体" w:cs="宋体"/>
                <w:color w:val="0C0C0C"/>
                <w:sz w:val="22"/>
              </w:rPr>
            </w:pPr>
            <w:r>
              <w:rPr>
                <w:rFonts w:hint="eastAsia" w:ascii="宋体" w:hAnsi="宋体" w:eastAsia="宋体" w:cs="宋体"/>
                <w:color w:val="0C0C0C"/>
                <w:sz w:val="22"/>
              </w:rPr>
              <w:t>16</w:t>
            </w:r>
          </w:p>
        </w:tc>
        <w:tc>
          <w:tcPr>
            <w:tcW w:w="1565" w:type="dxa"/>
            <w:tcBorders>
              <w:tl2br w:val="nil"/>
              <w:tr2bl w:val="nil"/>
            </w:tcBorders>
            <w:noWrap w:val="0"/>
            <w:vAlign w:val="center"/>
          </w:tcPr>
          <w:p w14:paraId="26EF7F82">
            <w:pPr>
              <w:autoSpaceDE w:val="0"/>
              <w:autoSpaceDN w:val="0"/>
              <w:snapToGrid w:val="0"/>
              <w:spacing w:line="276" w:lineRule="auto"/>
              <w:jc w:val="center"/>
              <w:rPr>
                <w:rFonts w:hint="eastAsia" w:ascii="宋体" w:hAnsi="宋体" w:eastAsia="宋体" w:cs="宋体"/>
                <w:color w:val="0C0C0C"/>
                <w:sz w:val="22"/>
              </w:rPr>
            </w:pPr>
            <w:r>
              <w:rPr>
                <w:rFonts w:hint="eastAsia" w:ascii="宋体" w:hAnsi="宋体" w:eastAsia="宋体" w:cs="宋体"/>
                <w:color w:val="0C0C0C"/>
                <w:sz w:val="22"/>
              </w:rPr>
              <w:t>17.2.1（2）</w:t>
            </w:r>
          </w:p>
        </w:tc>
        <w:tc>
          <w:tcPr>
            <w:tcW w:w="7475" w:type="dxa"/>
            <w:tcBorders>
              <w:tl2br w:val="nil"/>
              <w:tr2bl w:val="nil"/>
            </w:tcBorders>
            <w:noWrap w:val="0"/>
            <w:vAlign w:val="center"/>
          </w:tcPr>
          <w:p w14:paraId="4CDD8B89">
            <w:pPr>
              <w:autoSpaceDE w:val="0"/>
              <w:autoSpaceDN w:val="0"/>
              <w:snapToGrid w:val="0"/>
              <w:spacing w:line="276" w:lineRule="auto"/>
              <w:jc w:val="left"/>
              <w:rPr>
                <w:rFonts w:hint="eastAsia" w:ascii="宋体" w:hAnsi="宋体" w:eastAsia="宋体" w:cs="宋体"/>
                <w:color w:val="0C0C0C"/>
                <w:sz w:val="22"/>
                <w:u w:val="single"/>
                <w:lang w:val="en-US" w:eastAsia="zh-CN"/>
              </w:rPr>
            </w:pPr>
            <w:r>
              <w:rPr>
                <w:rFonts w:hint="eastAsia" w:ascii="宋体" w:hAnsi="宋体" w:eastAsia="宋体" w:cs="宋体"/>
                <w:color w:val="0C0C0C"/>
                <w:sz w:val="22"/>
              </w:rPr>
              <w:t>材料、设备预付款比例：</w:t>
            </w:r>
            <w:r>
              <w:rPr>
                <w:rFonts w:hint="eastAsia" w:ascii="宋体" w:hAnsi="宋体" w:eastAsia="宋体" w:cs="宋体"/>
                <w:color w:val="0C0C0C"/>
                <w:sz w:val="22"/>
                <w:u w:val="single"/>
                <w:lang w:val="en-US" w:eastAsia="zh-CN"/>
              </w:rPr>
              <w:t xml:space="preserve">    /   </w:t>
            </w:r>
            <w:r>
              <w:rPr>
                <w:rFonts w:hint="eastAsia" w:ascii="宋体" w:hAnsi="宋体" w:eastAsia="宋体" w:cs="宋体"/>
                <w:color w:val="0C0C0C"/>
                <w:sz w:val="22"/>
                <w:u w:val="none"/>
                <w:lang w:val="en-US" w:eastAsia="zh-CN"/>
              </w:rPr>
              <w:t>等主要材料、设备单据所列费用的</w:t>
            </w:r>
            <w:r>
              <w:rPr>
                <w:rFonts w:hint="eastAsia" w:ascii="宋体" w:hAnsi="宋体" w:eastAsia="宋体" w:cs="宋体"/>
                <w:color w:val="0C0C0C"/>
                <w:sz w:val="22"/>
                <w:u w:val="single"/>
                <w:lang w:val="en-US" w:eastAsia="zh-CN"/>
              </w:rPr>
              <w:t xml:space="preserve">   / %</w:t>
            </w:r>
            <w:r>
              <w:rPr>
                <w:rFonts w:hint="eastAsia" w:ascii="宋体" w:hAnsi="宋体" w:eastAsia="宋体" w:cs="宋体"/>
                <w:color w:val="0C0C0C"/>
                <w:sz w:val="22"/>
                <w:lang w:val="en-US" w:eastAsia="zh-CN"/>
              </w:rPr>
              <w:t xml:space="preserve">  </w:t>
            </w:r>
          </w:p>
        </w:tc>
      </w:tr>
      <w:tr w14:paraId="1F8FEEB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1" w:type="dxa"/>
            <w:tcBorders>
              <w:tl2br w:val="nil"/>
              <w:tr2bl w:val="nil"/>
            </w:tcBorders>
            <w:noWrap w:val="0"/>
            <w:vAlign w:val="center"/>
          </w:tcPr>
          <w:p w14:paraId="16FCCA2A">
            <w:pPr>
              <w:autoSpaceDE w:val="0"/>
              <w:autoSpaceDN w:val="0"/>
              <w:snapToGrid w:val="0"/>
              <w:spacing w:line="276" w:lineRule="auto"/>
              <w:jc w:val="center"/>
              <w:rPr>
                <w:rFonts w:hint="eastAsia" w:ascii="宋体" w:hAnsi="宋体" w:eastAsia="宋体" w:cs="宋体"/>
                <w:color w:val="0C0C0C"/>
                <w:sz w:val="22"/>
              </w:rPr>
            </w:pPr>
            <w:r>
              <w:rPr>
                <w:rFonts w:hint="eastAsia" w:ascii="宋体" w:hAnsi="宋体" w:eastAsia="宋体" w:cs="宋体"/>
                <w:color w:val="0C0C0C"/>
                <w:sz w:val="22"/>
              </w:rPr>
              <w:t>17</w:t>
            </w:r>
          </w:p>
        </w:tc>
        <w:tc>
          <w:tcPr>
            <w:tcW w:w="1565" w:type="dxa"/>
            <w:tcBorders>
              <w:tl2br w:val="nil"/>
              <w:tr2bl w:val="nil"/>
            </w:tcBorders>
            <w:noWrap w:val="0"/>
            <w:vAlign w:val="center"/>
          </w:tcPr>
          <w:p w14:paraId="2152F0DF">
            <w:pPr>
              <w:autoSpaceDE w:val="0"/>
              <w:autoSpaceDN w:val="0"/>
              <w:snapToGrid w:val="0"/>
              <w:spacing w:line="276" w:lineRule="auto"/>
              <w:jc w:val="center"/>
              <w:rPr>
                <w:rFonts w:hint="eastAsia" w:ascii="宋体" w:hAnsi="宋体" w:eastAsia="宋体" w:cs="宋体"/>
                <w:color w:val="0C0C0C"/>
                <w:sz w:val="22"/>
              </w:rPr>
            </w:pPr>
            <w:r>
              <w:rPr>
                <w:rFonts w:hint="eastAsia" w:ascii="宋体" w:hAnsi="宋体" w:eastAsia="宋体" w:cs="宋体"/>
                <w:color w:val="0C0C0C"/>
                <w:sz w:val="22"/>
              </w:rPr>
              <w:t>17.3.2</w:t>
            </w:r>
          </w:p>
        </w:tc>
        <w:tc>
          <w:tcPr>
            <w:tcW w:w="7475" w:type="dxa"/>
            <w:tcBorders>
              <w:tl2br w:val="nil"/>
              <w:tr2bl w:val="nil"/>
            </w:tcBorders>
            <w:noWrap w:val="0"/>
            <w:vAlign w:val="center"/>
          </w:tcPr>
          <w:p w14:paraId="2A3F7702">
            <w:pPr>
              <w:autoSpaceDE w:val="0"/>
              <w:autoSpaceDN w:val="0"/>
              <w:snapToGrid w:val="0"/>
              <w:spacing w:line="276" w:lineRule="auto"/>
              <w:jc w:val="left"/>
              <w:rPr>
                <w:rFonts w:hint="eastAsia" w:ascii="宋体" w:hAnsi="宋体" w:eastAsia="宋体" w:cs="宋体"/>
                <w:color w:val="0C0C0C"/>
                <w:sz w:val="22"/>
              </w:rPr>
            </w:pPr>
            <w:r>
              <w:rPr>
                <w:rFonts w:hint="eastAsia" w:ascii="宋体" w:hAnsi="宋体" w:eastAsia="宋体" w:cs="宋体"/>
                <w:color w:val="0C0C0C"/>
                <w:sz w:val="22"/>
              </w:rPr>
              <w:t>承包人在每个付款周期末向监理人提交进度付款申请单的份数： 5 份</w:t>
            </w:r>
          </w:p>
        </w:tc>
      </w:tr>
      <w:tr w14:paraId="12C064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1" w:type="dxa"/>
            <w:tcBorders>
              <w:tl2br w:val="nil"/>
              <w:tr2bl w:val="nil"/>
            </w:tcBorders>
            <w:noWrap w:val="0"/>
            <w:vAlign w:val="center"/>
          </w:tcPr>
          <w:p w14:paraId="79743087">
            <w:pPr>
              <w:autoSpaceDE w:val="0"/>
              <w:autoSpaceDN w:val="0"/>
              <w:snapToGrid w:val="0"/>
              <w:spacing w:line="276" w:lineRule="auto"/>
              <w:jc w:val="center"/>
              <w:rPr>
                <w:rFonts w:hint="eastAsia" w:ascii="宋体" w:hAnsi="宋体" w:eastAsia="宋体" w:cs="宋体"/>
                <w:color w:val="0C0C0C"/>
                <w:sz w:val="22"/>
              </w:rPr>
            </w:pPr>
            <w:r>
              <w:rPr>
                <w:rFonts w:hint="eastAsia" w:ascii="宋体" w:hAnsi="宋体" w:eastAsia="宋体" w:cs="宋体"/>
                <w:color w:val="0C0C0C"/>
                <w:sz w:val="22"/>
              </w:rPr>
              <w:t>18</w:t>
            </w:r>
          </w:p>
        </w:tc>
        <w:tc>
          <w:tcPr>
            <w:tcW w:w="1565" w:type="dxa"/>
            <w:tcBorders>
              <w:tl2br w:val="nil"/>
              <w:tr2bl w:val="nil"/>
            </w:tcBorders>
            <w:noWrap w:val="0"/>
            <w:vAlign w:val="center"/>
          </w:tcPr>
          <w:p w14:paraId="1BCF67B2">
            <w:pPr>
              <w:autoSpaceDE w:val="0"/>
              <w:autoSpaceDN w:val="0"/>
              <w:snapToGrid w:val="0"/>
              <w:spacing w:line="276" w:lineRule="auto"/>
              <w:jc w:val="center"/>
              <w:rPr>
                <w:rFonts w:hint="eastAsia" w:ascii="宋体" w:hAnsi="宋体" w:eastAsia="宋体" w:cs="宋体"/>
                <w:color w:val="0C0C0C"/>
                <w:sz w:val="22"/>
              </w:rPr>
            </w:pPr>
            <w:r>
              <w:rPr>
                <w:rFonts w:hint="eastAsia" w:ascii="宋体" w:hAnsi="宋体" w:eastAsia="宋体" w:cs="宋体"/>
                <w:color w:val="0C0C0C"/>
                <w:sz w:val="22"/>
              </w:rPr>
              <w:t>17.3.3（1）</w:t>
            </w:r>
          </w:p>
        </w:tc>
        <w:tc>
          <w:tcPr>
            <w:tcW w:w="7475" w:type="dxa"/>
            <w:tcBorders>
              <w:tl2br w:val="nil"/>
              <w:tr2bl w:val="nil"/>
            </w:tcBorders>
            <w:noWrap w:val="0"/>
            <w:vAlign w:val="center"/>
          </w:tcPr>
          <w:p w14:paraId="06FD759F">
            <w:pPr>
              <w:autoSpaceDE w:val="0"/>
              <w:autoSpaceDN w:val="0"/>
              <w:rPr>
                <w:rFonts w:hint="eastAsia" w:ascii="宋体" w:hAnsi="宋体" w:eastAsia="宋体" w:cs="宋体"/>
                <w:color w:val="0C0C0C"/>
                <w:sz w:val="22"/>
              </w:rPr>
            </w:pPr>
            <w:r>
              <w:rPr>
                <w:rFonts w:hint="eastAsia" w:ascii="宋体" w:hAnsi="宋体" w:eastAsia="宋体" w:cs="宋体"/>
                <w:color w:val="0C0C0C"/>
                <w:sz w:val="22"/>
              </w:rPr>
              <w:t>进度付款证书最低限额 ：</w:t>
            </w:r>
            <w:r>
              <w:rPr>
                <w:rFonts w:hint="eastAsia" w:ascii="宋体" w:hAnsi="宋体" w:eastAsia="宋体" w:cs="宋体"/>
                <w:color w:val="0C0C0C"/>
                <w:sz w:val="22"/>
                <w:u w:val="single"/>
                <w:lang w:val="en-US" w:eastAsia="zh-CN"/>
              </w:rPr>
              <w:t xml:space="preserve">   /   </w:t>
            </w:r>
            <w:r>
              <w:rPr>
                <w:rFonts w:hint="eastAsia" w:ascii="宋体" w:hAnsi="宋体" w:eastAsia="宋体" w:cs="宋体"/>
                <w:color w:val="0C0C0C"/>
                <w:sz w:val="22"/>
              </w:rPr>
              <w:t>万元</w:t>
            </w:r>
          </w:p>
        </w:tc>
      </w:tr>
      <w:tr w14:paraId="05DC6A1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1" w:type="dxa"/>
            <w:tcBorders>
              <w:tl2br w:val="nil"/>
              <w:tr2bl w:val="nil"/>
            </w:tcBorders>
            <w:noWrap w:val="0"/>
            <w:vAlign w:val="center"/>
          </w:tcPr>
          <w:p w14:paraId="593174E7">
            <w:pPr>
              <w:autoSpaceDE w:val="0"/>
              <w:autoSpaceDN w:val="0"/>
              <w:snapToGrid w:val="0"/>
              <w:spacing w:line="276" w:lineRule="auto"/>
              <w:jc w:val="center"/>
              <w:rPr>
                <w:rFonts w:hint="eastAsia" w:ascii="宋体" w:hAnsi="宋体" w:eastAsia="宋体" w:cs="宋体"/>
                <w:color w:val="0C0C0C"/>
                <w:sz w:val="22"/>
              </w:rPr>
            </w:pPr>
            <w:r>
              <w:rPr>
                <w:rFonts w:hint="eastAsia" w:ascii="宋体" w:hAnsi="宋体" w:eastAsia="宋体" w:cs="宋体"/>
                <w:color w:val="0C0C0C"/>
                <w:sz w:val="22"/>
              </w:rPr>
              <w:t>19</w:t>
            </w:r>
          </w:p>
        </w:tc>
        <w:tc>
          <w:tcPr>
            <w:tcW w:w="1565" w:type="dxa"/>
            <w:tcBorders>
              <w:tl2br w:val="nil"/>
              <w:tr2bl w:val="nil"/>
            </w:tcBorders>
            <w:noWrap w:val="0"/>
            <w:vAlign w:val="center"/>
          </w:tcPr>
          <w:p w14:paraId="34CA6939">
            <w:pPr>
              <w:autoSpaceDE w:val="0"/>
              <w:autoSpaceDN w:val="0"/>
              <w:snapToGrid w:val="0"/>
              <w:spacing w:line="276" w:lineRule="auto"/>
              <w:jc w:val="center"/>
              <w:rPr>
                <w:rFonts w:hint="eastAsia" w:ascii="宋体" w:hAnsi="宋体" w:eastAsia="宋体" w:cs="宋体"/>
                <w:color w:val="0C0C0C"/>
                <w:sz w:val="22"/>
              </w:rPr>
            </w:pPr>
            <w:r>
              <w:rPr>
                <w:rFonts w:hint="eastAsia" w:ascii="宋体" w:hAnsi="宋体" w:eastAsia="宋体" w:cs="宋体"/>
                <w:color w:val="0C0C0C"/>
                <w:sz w:val="22"/>
              </w:rPr>
              <w:t>17.3.3（2）</w:t>
            </w:r>
          </w:p>
        </w:tc>
        <w:tc>
          <w:tcPr>
            <w:tcW w:w="7475" w:type="dxa"/>
            <w:tcBorders>
              <w:tl2br w:val="nil"/>
              <w:tr2bl w:val="nil"/>
            </w:tcBorders>
            <w:noWrap w:val="0"/>
            <w:vAlign w:val="center"/>
          </w:tcPr>
          <w:p w14:paraId="42ACA7A1">
            <w:pPr>
              <w:autoSpaceDE w:val="0"/>
              <w:autoSpaceDN w:val="0"/>
              <w:snapToGrid w:val="0"/>
              <w:spacing w:line="276" w:lineRule="auto"/>
              <w:jc w:val="left"/>
              <w:rPr>
                <w:rFonts w:hint="eastAsia" w:ascii="宋体" w:hAnsi="宋体" w:eastAsia="宋体" w:cs="宋体"/>
                <w:color w:val="0C0C0C"/>
                <w:sz w:val="22"/>
              </w:rPr>
            </w:pPr>
            <w:r>
              <w:rPr>
                <w:rFonts w:hint="eastAsia" w:ascii="宋体" w:hAnsi="宋体" w:eastAsia="宋体" w:cs="宋体"/>
                <w:color w:val="0C0C0C"/>
                <w:sz w:val="22"/>
              </w:rPr>
              <w:t>逾期付款违约金的利率：</w:t>
            </w:r>
            <w:r>
              <w:rPr>
                <w:rFonts w:hint="eastAsia" w:ascii="宋体" w:hAnsi="宋体" w:eastAsia="宋体" w:cs="宋体"/>
                <w:color w:val="0C0C0C"/>
                <w:sz w:val="22"/>
                <w:u w:val="single"/>
                <w:lang w:val="en-US" w:eastAsia="zh-CN"/>
              </w:rPr>
              <w:t xml:space="preserve">  </w:t>
            </w:r>
            <w:r>
              <w:rPr>
                <w:rFonts w:hint="eastAsia" w:ascii="宋体" w:hAnsi="宋体" w:eastAsia="宋体" w:cs="宋体"/>
                <w:color w:val="0C0C0C"/>
                <w:sz w:val="22"/>
                <w:u w:val="single"/>
              </w:rPr>
              <w:t xml:space="preserve">/ </w:t>
            </w:r>
            <w:r>
              <w:rPr>
                <w:rFonts w:hint="eastAsia" w:ascii="宋体" w:hAnsi="宋体" w:eastAsia="宋体" w:cs="宋体"/>
                <w:color w:val="0C0C0C"/>
                <w:sz w:val="22"/>
              </w:rPr>
              <w:t>‰/天</w:t>
            </w:r>
          </w:p>
        </w:tc>
      </w:tr>
      <w:tr w14:paraId="7BA32B2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1" w:type="dxa"/>
            <w:tcBorders>
              <w:tl2br w:val="nil"/>
              <w:tr2bl w:val="nil"/>
            </w:tcBorders>
            <w:noWrap w:val="0"/>
            <w:vAlign w:val="center"/>
          </w:tcPr>
          <w:p w14:paraId="4BCC5131">
            <w:pPr>
              <w:autoSpaceDE w:val="0"/>
              <w:autoSpaceDN w:val="0"/>
              <w:snapToGrid w:val="0"/>
              <w:spacing w:line="276" w:lineRule="auto"/>
              <w:jc w:val="center"/>
              <w:rPr>
                <w:rFonts w:hint="eastAsia" w:ascii="宋体" w:hAnsi="宋体" w:eastAsia="宋体" w:cs="宋体"/>
                <w:color w:val="0C0C0C"/>
                <w:sz w:val="22"/>
              </w:rPr>
            </w:pPr>
            <w:r>
              <w:rPr>
                <w:rFonts w:hint="eastAsia" w:ascii="宋体" w:hAnsi="宋体" w:eastAsia="宋体" w:cs="宋体"/>
                <w:color w:val="0C0C0C"/>
                <w:sz w:val="22"/>
              </w:rPr>
              <w:t>20</w:t>
            </w:r>
          </w:p>
        </w:tc>
        <w:tc>
          <w:tcPr>
            <w:tcW w:w="1565" w:type="dxa"/>
            <w:tcBorders>
              <w:tl2br w:val="nil"/>
              <w:tr2bl w:val="nil"/>
            </w:tcBorders>
            <w:noWrap w:val="0"/>
            <w:vAlign w:val="center"/>
          </w:tcPr>
          <w:p w14:paraId="1A95F41C">
            <w:pPr>
              <w:autoSpaceDE w:val="0"/>
              <w:autoSpaceDN w:val="0"/>
              <w:snapToGrid w:val="0"/>
              <w:spacing w:line="276" w:lineRule="auto"/>
              <w:jc w:val="center"/>
              <w:rPr>
                <w:rFonts w:hint="eastAsia" w:ascii="宋体" w:hAnsi="宋体" w:eastAsia="宋体" w:cs="宋体"/>
                <w:color w:val="0C0C0C"/>
                <w:sz w:val="22"/>
              </w:rPr>
            </w:pPr>
            <w:r>
              <w:rPr>
                <w:rFonts w:hint="eastAsia" w:ascii="宋体" w:hAnsi="宋体" w:eastAsia="宋体" w:cs="宋体"/>
                <w:color w:val="0C0C0C"/>
                <w:sz w:val="22"/>
              </w:rPr>
              <w:t>17.4.1</w:t>
            </w:r>
          </w:p>
        </w:tc>
        <w:tc>
          <w:tcPr>
            <w:tcW w:w="7475" w:type="dxa"/>
            <w:tcBorders>
              <w:tl2br w:val="nil"/>
              <w:tr2bl w:val="nil"/>
            </w:tcBorders>
            <w:noWrap w:val="0"/>
            <w:vAlign w:val="center"/>
          </w:tcPr>
          <w:p w14:paraId="7E7E8231">
            <w:pPr>
              <w:autoSpaceDE w:val="0"/>
              <w:autoSpaceDN w:val="0"/>
              <w:snapToGrid w:val="0"/>
              <w:spacing w:line="276" w:lineRule="auto"/>
              <w:jc w:val="left"/>
              <w:rPr>
                <w:rFonts w:hint="eastAsia" w:ascii="宋体" w:hAnsi="宋体" w:eastAsia="宋体" w:cs="宋体"/>
                <w:color w:val="0C0C0C"/>
                <w:sz w:val="22"/>
              </w:rPr>
            </w:pPr>
            <w:r>
              <w:rPr>
                <w:rFonts w:hint="eastAsia" w:ascii="宋体" w:hAnsi="宋体" w:eastAsia="宋体" w:cs="宋体"/>
                <w:color w:val="0C0C0C"/>
                <w:sz w:val="22"/>
              </w:rPr>
              <w:t>质量保证金金额：</w:t>
            </w:r>
            <w:r>
              <w:rPr>
                <w:rFonts w:hint="eastAsia" w:ascii="宋体" w:hAnsi="宋体" w:cs="宋体"/>
                <w:color w:val="0C0C0C"/>
                <w:sz w:val="22"/>
                <w:u w:val="single"/>
                <w:lang w:val="en-US" w:eastAsia="zh-CN"/>
              </w:rPr>
              <w:t>/</w:t>
            </w:r>
            <w:r>
              <w:rPr>
                <w:rFonts w:hint="eastAsia" w:ascii="宋体" w:hAnsi="宋体" w:eastAsia="宋体" w:cs="宋体"/>
                <w:color w:val="0C0C0C"/>
                <w:sz w:val="22"/>
                <w:u w:val="single"/>
              </w:rPr>
              <w:t>%</w:t>
            </w:r>
            <w:r>
              <w:rPr>
                <w:rFonts w:hint="eastAsia" w:ascii="宋体" w:hAnsi="宋体" w:eastAsia="宋体" w:cs="宋体"/>
                <w:color w:val="0C0C0C"/>
                <w:sz w:val="22"/>
              </w:rPr>
              <w:t>合同价格 ，若交工验收时承包人具备被招标项目所在地省级交通运输主管部门评定的最高信用等级，发包人给予</w:t>
            </w:r>
            <w:r>
              <w:rPr>
                <w:rFonts w:hint="eastAsia" w:ascii="宋体" w:hAnsi="宋体" w:eastAsia="宋体" w:cs="宋体"/>
                <w:color w:val="0C0C0C"/>
                <w:sz w:val="22"/>
                <w:u w:val="single"/>
              </w:rPr>
              <w:t xml:space="preserve">  /  </w:t>
            </w:r>
            <w:r>
              <w:rPr>
                <w:rFonts w:hint="eastAsia" w:ascii="宋体" w:hAnsi="宋体" w:eastAsia="宋体" w:cs="宋体"/>
                <w:color w:val="0C0C0C"/>
                <w:sz w:val="22"/>
              </w:rPr>
              <w:t>%合同价格质量保证金的优惠。</w:t>
            </w:r>
          </w:p>
          <w:p w14:paraId="6AE47E95">
            <w:pPr>
              <w:autoSpaceDE w:val="0"/>
              <w:autoSpaceDN w:val="0"/>
              <w:snapToGrid w:val="0"/>
              <w:spacing w:line="276" w:lineRule="auto"/>
              <w:jc w:val="left"/>
              <w:rPr>
                <w:rFonts w:hint="eastAsia" w:ascii="宋体" w:hAnsi="宋体" w:eastAsia="宋体" w:cs="宋体"/>
                <w:color w:val="0C0C0C"/>
                <w:sz w:val="22"/>
                <w:lang w:val="en-US" w:eastAsia="zh-CN"/>
              </w:rPr>
            </w:pPr>
            <w:r>
              <w:rPr>
                <w:rFonts w:hint="eastAsia" w:ascii="宋体" w:hAnsi="宋体" w:eastAsia="宋体" w:cs="宋体"/>
                <w:color w:val="0C0C0C"/>
                <w:sz w:val="22"/>
                <w:lang w:val="en-US" w:eastAsia="zh-CN"/>
              </w:rPr>
              <w:t>质量保证金是否计付利息：否</w:t>
            </w:r>
          </w:p>
        </w:tc>
      </w:tr>
      <w:tr w14:paraId="70E43B3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1" w:type="dxa"/>
            <w:tcBorders>
              <w:tl2br w:val="nil"/>
              <w:tr2bl w:val="nil"/>
            </w:tcBorders>
            <w:noWrap w:val="0"/>
            <w:vAlign w:val="center"/>
          </w:tcPr>
          <w:p w14:paraId="485BB85C">
            <w:pPr>
              <w:autoSpaceDE w:val="0"/>
              <w:autoSpaceDN w:val="0"/>
              <w:snapToGrid w:val="0"/>
              <w:spacing w:line="276" w:lineRule="auto"/>
              <w:jc w:val="center"/>
              <w:rPr>
                <w:rFonts w:hint="eastAsia" w:ascii="宋体" w:hAnsi="宋体" w:eastAsia="宋体" w:cs="宋体"/>
                <w:color w:val="0C0C0C"/>
                <w:sz w:val="22"/>
              </w:rPr>
            </w:pPr>
            <w:r>
              <w:rPr>
                <w:rFonts w:hint="eastAsia" w:ascii="宋体" w:hAnsi="宋体" w:eastAsia="宋体" w:cs="宋体"/>
                <w:color w:val="0C0C0C"/>
                <w:sz w:val="22"/>
              </w:rPr>
              <w:t>21</w:t>
            </w:r>
          </w:p>
        </w:tc>
        <w:tc>
          <w:tcPr>
            <w:tcW w:w="1565" w:type="dxa"/>
            <w:tcBorders>
              <w:tl2br w:val="nil"/>
              <w:tr2bl w:val="nil"/>
            </w:tcBorders>
            <w:noWrap w:val="0"/>
            <w:vAlign w:val="center"/>
          </w:tcPr>
          <w:p w14:paraId="4DA172A2">
            <w:pPr>
              <w:autoSpaceDE w:val="0"/>
              <w:autoSpaceDN w:val="0"/>
              <w:snapToGrid w:val="0"/>
              <w:spacing w:line="276" w:lineRule="auto"/>
              <w:jc w:val="center"/>
              <w:rPr>
                <w:rFonts w:hint="eastAsia" w:ascii="宋体" w:hAnsi="宋体" w:eastAsia="宋体" w:cs="宋体"/>
                <w:color w:val="0C0C0C"/>
                <w:sz w:val="22"/>
              </w:rPr>
            </w:pPr>
            <w:r>
              <w:rPr>
                <w:rFonts w:hint="eastAsia" w:ascii="宋体" w:hAnsi="宋体" w:eastAsia="宋体" w:cs="宋体"/>
                <w:color w:val="0C0C0C"/>
                <w:sz w:val="22"/>
              </w:rPr>
              <w:t>17.5.1（1）</w:t>
            </w:r>
          </w:p>
        </w:tc>
        <w:tc>
          <w:tcPr>
            <w:tcW w:w="7475" w:type="dxa"/>
            <w:tcBorders>
              <w:tl2br w:val="nil"/>
              <w:tr2bl w:val="nil"/>
            </w:tcBorders>
            <w:noWrap w:val="0"/>
            <w:vAlign w:val="center"/>
          </w:tcPr>
          <w:p w14:paraId="0E77F476">
            <w:pPr>
              <w:autoSpaceDE w:val="0"/>
              <w:autoSpaceDN w:val="0"/>
              <w:snapToGrid w:val="0"/>
              <w:spacing w:line="276" w:lineRule="auto"/>
              <w:jc w:val="left"/>
              <w:rPr>
                <w:rFonts w:hint="eastAsia" w:ascii="宋体" w:hAnsi="宋体" w:eastAsia="宋体" w:cs="宋体"/>
                <w:color w:val="0C0C0C"/>
                <w:sz w:val="22"/>
              </w:rPr>
            </w:pPr>
            <w:r>
              <w:rPr>
                <w:rFonts w:hint="eastAsia" w:ascii="宋体" w:hAnsi="宋体" w:eastAsia="宋体" w:cs="宋体"/>
                <w:color w:val="0C0C0C"/>
                <w:sz w:val="22"/>
              </w:rPr>
              <w:t>承包人向监理人提交交工付款申请单（包括相关证明材料）的份数：5 份</w:t>
            </w:r>
          </w:p>
        </w:tc>
      </w:tr>
      <w:tr w14:paraId="0959A29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1" w:type="dxa"/>
            <w:tcBorders>
              <w:tl2br w:val="nil"/>
              <w:tr2bl w:val="nil"/>
            </w:tcBorders>
            <w:noWrap w:val="0"/>
            <w:vAlign w:val="center"/>
          </w:tcPr>
          <w:p w14:paraId="5D365D5E">
            <w:pPr>
              <w:autoSpaceDE w:val="0"/>
              <w:autoSpaceDN w:val="0"/>
              <w:snapToGrid w:val="0"/>
              <w:spacing w:line="276" w:lineRule="auto"/>
              <w:jc w:val="center"/>
              <w:rPr>
                <w:rFonts w:hint="eastAsia" w:ascii="宋体" w:hAnsi="宋体" w:eastAsia="宋体" w:cs="宋体"/>
                <w:color w:val="0C0C0C"/>
                <w:sz w:val="22"/>
              </w:rPr>
            </w:pPr>
            <w:r>
              <w:rPr>
                <w:rFonts w:hint="eastAsia" w:ascii="宋体" w:hAnsi="宋体" w:eastAsia="宋体" w:cs="宋体"/>
                <w:color w:val="0C0C0C"/>
                <w:sz w:val="22"/>
              </w:rPr>
              <w:t>22</w:t>
            </w:r>
          </w:p>
        </w:tc>
        <w:tc>
          <w:tcPr>
            <w:tcW w:w="1565" w:type="dxa"/>
            <w:tcBorders>
              <w:tl2br w:val="nil"/>
              <w:tr2bl w:val="nil"/>
            </w:tcBorders>
            <w:noWrap w:val="0"/>
            <w:vAlign w:val="center"/>
          </w:tcPr>
          <w:p w14:paraId="03010411">
            <w:pPr>
              <w:autoSpaceDE w:val="0"/>
              <w:autoSpaceDN w:val="0"/>
              <w:snapToGrid w:val="0"/>
              <w:spacing w:line="276" w:lineRule="auto"/>
              <w:jc w:val="center"/>
              <w:rPr>
                <w:rFonts w:hint="eastAsia" w:ascii="宋体" w:hAnsi="宋体" w:eastAsia="宋体" w:cs="宋体"/>
                <w:color w:val="0C0C0C"/>
                <w:sz w:val="22"/>
              </w:rPr>
            </w:pPr>
            <w:r>
              <w:rPr>
                <w:rFonts w:hint="eastAsia" w:ascii="宋体" w:hAnsi="宋体" w:eastAsia="宋体" w:cs="宋体"/>
                <w:color w:val="0C0C0C"/>
                <w:sz w:val="22"/>
              </w:rPr>
              <w:t>17.6.1（1）</w:t>
            </w:r>
          </w:p>
        </w:tc>
        <w:tc>
          <w:tcPr>
            <w:tcW w:w="7475" w:type="dxa"/>
            <w:tcBorders>
              <w:tl2br w:val="nil"/>
              <w:tr2bl w:val="nil"/>
            </w:tcBorders>
            <w:noWrap w:val="0"/>
            <w:vAlign w:val="center"/>
          </w:tcPr>
          <w:p w14:paraId="4A1B69CC">
            <w:pPr>
              <w:autoSpaceDE w:val="0"/>
              <w:autoSpaceDN w:val="0"/>
              <w:snapToGrid w:val="0"/>
              <w:spacing w:line="276" w:lineRule="auto"/>
              <w:jc w:val="left"/>
              <w:rPr>
                <w:rFonts w:hint="eastAsia" w:ascii="宋体" w:hAnsi="宋体" w:eastAsia="宋体" w:cs="宋体"/>
                <w:color w:val="0C0C0C"/>
                <w:sz w:val="22"/>
              </w:rPr>
            </w:pPr>
            <w:r>
              <w:rPr>
                <w:rFonts w:hint="eastAsia" w:ascii="宋体" w:hAnsi="宋体" w:eastAsia="宋体" w:cs="宋体"/>
                <w:color w:val="0C0C0C"/>
                <w:sz w:val="22"/>
              </w:rPr>
              <w:t>承包人向监理人提交最终结清申请单（包括相关证明材料）的份数：5 份</w:t>
            </w:r>
          </w:p>
        </w:tc>
      </w:tr>
      <w:tr w14:paraId="41115AA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1" w:type="dxa"/>
            <w:tcBorders>
              <w:tl2br w:val="nil"/>
              <w:tr2bl w:val="nil"/>
            </w:tcBorders>
            <w:noWrap w:val="0"/>
            <w:vAlign w:val="center"/>
          </w:tcPr>
          <w:p w14:paraId="0D4E158F">
            <w:pPr>
              <w:autoSpaceDE w:val="0"/>
              <w:autoSpaceDN w:val="0"/>
              <w:snapToGrid w:val="0"/>
              <w:spacing w:line="276" w:lineRule="auto"/>
              <w:jc w:val="center"/>
              <w:rPr>
                <w:rFonts w:hint="eastAsia" w:ascii="宋体" w:hAnsi="宋体" w:eastAsia="宋体" w:cs="宋体"/>
                <w:color w:val="0C0C0C"/>
                <w:sz w:val="22"/>
              </w:rPr>
            </w:pPr>
            <w:r>
              <w:rPr>
                <w:rFonts w:hint="eastAsia" w:ascii="宋体" w:hAnsi="宋体" w:eastAsia="宋体" w:cs="宋体"/>
                <w:color w:val="0C0C0C"/>
                <w:sz w:val="22"/>
              </w:rPr>
              <w:t>23</w:t>
            </w:r>
          </w:p>
        </w:tc>
        <w:tc>
          <w:tcPr>
            <w:tcW w:w="1565" w:type="dxa"/>
            <w:tcBorders>
              <w:tl2br w:val="nil"/>
              <w:tr2bl w:val="nil"/>
            </w:tcBorders>
            <w:noWrap w:val="0"/>
            <w:vAlign w:val="center"/>
          </w:tcPr>
          <w:p w14:paraId="3A040AFE">
            <w:pPr>
              <w:autoSpaceDE w:val="0"/>
              <w:autoSpaceDN w:val="0"/>
              <w:snapToGrid w:val="0"/>
              <w:spacing w:line="276" w:lineRule="auto"/>
              <w:jc w:val="center"/>
              <w:rPr>
                <w:rFonts w:hint="eastAsia" w:ascii="宋体" w:hAnsi="宋体" w:eastAsia="宋体" w:cs="宋体"/>
                <w:color w:val="0C0C0C"/>
                <w:sz w:val="22"/>
              </w:rPr>
            </w:pPr>
            <w:r>
              <w:rPr>
                <w:rFonts w:hint="eastAsia" w:ascii="宋体" w:hAnsi="宋体" w:eastAsia="宋体" w:cs="宋体"/>
                <w:color w:val="0C0C0C"/>
                <w:sz w:val="22"/>
              </w:rPr>
              <w:t>18.2（2）</w:t>
            </w:r>
          </w:p>
        </w:tc>
        <w:tc>
          <w:tcPr>
            <w:tcW w:w="7475" w:type="dxa"/>
            <w:tcBorders>
              <w:tl2br w:val="nil"/>
              <w:tr2bl w:val="nil"/>
            </w:tcBorders>
            <w:noWrap w:val="0"/>
            <w:vAlign w:val="center"/>
          </w:tcPr>
          <w:p w14:paraId="6758584B">
            <w:pPr>
              <w:autoSpaceDE w:val="0"/>
              <w:autoSpaceDN w:val="0"/>
              <w:snapToGrid w:val="0"/>
              <w:spacing w:line="276" w:lineRule="auto"/>
              <w:jc w:val="left"/>
              <w:rPr>
                <w:rFonts w:hint="eastAsia" w:ascii="宋体" w:hAnsi="宋体" w:eastAsia="宋体" w:cs="宋体"/>
                <w:color w:val="0C0C0C"/>
                <w:sz w:val="22"/>
              </w:rPr>
            </w:pPr>
            <w:r>
              <w:rPr>
                <w:rFonts w:hint="eastAsia" w:ascii="宋体" w:hAnsi="宋体" w:eastAsia="宋体" w:cs="宋体"/>
                <w:color w:val="0C0C0C"/>
                <w:sz w:val="22"/>
              </w:rPr>
              <w:t>竣工资料的份数：5份</w:t>
            </w:r>
          </w:p>
        </w:tc>
      </w:tr>
      <w:tr w14:paraId="32BCEC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1" w:type="dxa"/>
            <w:tcBorders>
              <w:tl2br w:val="nil"/>
              <w:tr2bl w:val="nil"/>
            </w:tcBorders>
            <w:noWrap w:val="0"/>
            <w:vAlign w:val="center"/>
          </w:tcPr>
          <w:p w14:paraId="073C2612">
            <w:pPr>
              <w:autoSpaceDE w:val="0"/>
              <w:autoSpaceDN w:val="0"/>
              <w:snapToGrid w:val="0"/>
              <w:spacing w:line="276" w:lineRule="auto"/>
              <w:jc w:val="center"/>
              <w:rPr>
                <w:rFonts w:hint="eastAsia" w:ascii="宋体" w:hAnsi="宋体" w:eastAsia="宋体" w:cs="宋体"/>
                <w:color w:val="0C0C0C"/>
                <w:sz w:val="22"/>
              </w:rPr>
            </w:pPr>
            <w:r>
              <w:rPr>
                <w:rFonts w:hint="eastAsia" w:ascii="宋体" w:hAnsi="宋体" w:eastAsia="宋体" w:cs="宋体"/>
                <w:color w:val="0C0C0C"/>
                <w:sz w:val="22"/>
              </w:rPr>
              <w:t>24</w:t>
            </w:r>
          </w:p>
        </w:tc>
        <w:tc>
          <w:tcPr>
            <w:tcW w:w="1565" w:type="dxa"/>
            <w:tcBorders>
              <w:tl2br w:val="nil"/>
              <w:tr2bl w:val="nil"/>
            </w:tcBorders>
            <w:noWrap w:val="0"/>
            <w:vAlign w:val="center"/>
          </w:tcPr>
          <w:p w14:paraId="127B579E">
            <w:pPr>
              <w:autoSpaceDE w:val="0"/>
              <w:autoSpaceDN w:val="0"/>
              <w:snapToGrid w:val="0"/>
              <w:spacing w:line="276" w:lineRule="auto"/>
              <w:jc w:val="center"/>
              <w:rPr>
                <w:rFonts w:hint="eastAsia" w:ascii="宋体" w:hAnsi="宋体" w:eastAsia="宋体" w:cs="宋体"/>
                <w:color w:val="0C0C0C"/>
                <w:sz w:val="22"/>
              </w:rPr>
            </w:pPr>
            <w:r>
              <w:rPr>
                <w:rFonts w:hint="eastAsia" w:ascii="宋体" w:hAnsi="宋体" w:eastAsia="宋体" w:cs="宋体"/>
                <w:color w:val="0C0C0C"/>
                <w:sz w:val="22"/>
              </w:rPr>
              <w:t>18.5.1</w:t>
            </w:r>
          </w:p>
        </w:tc>
        <w:tc>
          <w:tcPr>
            <w:tcW w:w="7475" w:type="dxa"/>
            <w:tcBorders>
              <w:tl2br w:val="nil"/>
              <w:tr2bl w:val="nil"/>
            </w:tcBorders>
            <w:noWrap w:val="0"/>
            <w:vAlign w:val="center"/>
          </w:tcPr>
          <w:p w14:paraId="1B93AD78">
            <w:pPr>
              <w:autoSpaceDE w:val="0"/>
              <w:autoSpaceDN w:val="0"/>
              <w:snapToGrid w:val="0"/>
              <w:spacing w:line="276" w:lineRule="auto"/>
              <w:jc w:val="left"/>
              <w:rPr>
                <w:rFonts w:hint="eastAsia" w:ascii="宋体" w:hAnsi="宋体" w:eastAsia="宋体" w:cs="宋体"/>
                <w:color w:val="0C0C0C"/>
                <w:sz w:val="22"/>
              </w:rPr>
            </w:pPr>
            <w:r>
              <w:rPr>
                <w:rFonts w:hint="eastAsia" w:ascii="宋体" w:hAnsi="宋体" w:eastAsia="宋体" w:cs="宋体"/>
                <w:color w:val="0C0C0C"/>
                <w:sz w:val="22"/>
              </w:rPr>
              <w:t>单位工程或工程设备是否需投入施工期运行：否</w:t>
            </w:r>
          </w:p>
        </w:tc>
      </w:tr>
      <w:tr w14:paraId="02974C9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1" w:type="dxa"/>
            <w:tcBorders>
              <w:tl2br w:val="nil"/>
              <w:tr2bl w:val="nil"/>
            </w:tcBorders>
            <w:noWrap w:val="0"/>
            <w:vAlign w:val="center"/>
          </w:tcPr>
          <w:p w14:paraId="039E6B53">
            <w:pPr>
              <w:autoSpaceDE w:val="0"/>
              <w:autoSpaceDN w:val="0"/>
              <w:snapToGrid w:val="0"/>
              <w:spacing w:line="276" w:lineRule="auto"/>
              <w:jc w:val="center"/>
              <w:rPr>
                <w:rFonts w:hint="eastAsia" w:ascii="宋体" w:hAnsi="宋体" w:eastAsia="宋体" w:cs="宋体"/>
                <w:color w:val="0C0C0C"/>
                <w:sz w:val="22"/>
              </w:rPr>
            </w:pPr>
            <w:r>
              <w:rPr>
                <w:rFonts w:hint="eastAsia" w:ascii="宋体" w:hAnsi="宋体" w:eastAsia="宋体" w:cs="宋体"/>
                <w:color w:val="0C0C0C"/>
                <w:sz w:val="22"/>
              </w:rPr>
              <w:t>25</w:t>
            </w:r>
          </w:p>
        </w:tc>
        <w:tc>
          <w:tcPr>
            <w:tcW w:w="1565" w:type="dxa"/>
            <w:tcBorders>
              <w:tl2br w:val="nil"/>
              <w:tr2bl w:val="nil"/>
            </w:tcBorders>
            <w:noWrap w:val="0"/>
            <w:vAlign w:val="center"/>
          </w:tcPr>
          <w:p w14:paraId="155F858A">
            <w:pPr>
              <w:autoSpaceDE w:val="0"/>
              <w:autoSpaceDN w:val="0"/>
              <w:snapToGrid w:val="0"/>
              <w:spacing w:line="276" w:lineRule="auto"/>
              <w:jc w:val="center"/>
              <w:rPr>
                <w:rFonts w:hint="eastAsia" w:ascii="宋体" w:hAnsi="宋体" w:eastAsia="宋体" w:cs="宋体"/>
                <w:color w:val="0C0C0C"/>
                <w:sz w:val="22"/>
              </w:rPr>
            </w:pPr>
            <w:r>
              <w:rPr>
                <w:rFonts w:hint="eastAsia" w:ascii="宋体" w:hAnsi="宋体" w:eastAsia="宋体" w:cs="宋体"/>
                <w:color w:val="0C0C0C"/>
                <w:sz w:val="22"/>
              </w:rPr>
              <w:t>18.6.1</w:t>
            </w:r>
          </w:p>
        </w:tc>
        <w:tc>
          <w:tcPr>
            <w:tcW w:w="7475" w:type="dxa"/>
            <w:tcBorders>
              <w:tl2br w:val="nil"/>
              <w:tr2bl w:val="nil"/>
            </w:tcBorders>
            <w:noWrap w:val="0"/>
            <w:vAlign w:val="center"/>
          </w:tcPr>
          <w:p w14:paraId="3FE2474B">
            <w:pPr>
              <w:autoSpaceDE w:val="0"/>
              <w:autoSpaceDN w:val="0"/>
              <w:snapToGrid w:val="0"/>
              <w:spacing w:line="276" w:lineRule="auto"/>
              <w:jc w:val="left"/>
              <w:rPr>
                <w:rFonts w:hint="eastAsia" w:ascii="宋体" w:hAnsi="宋体" w:eastAsia="宋体" w:cs="宋体"/>
                <w:color w:val="0C0C0C"/>
                <w:sz w:val="22"/>
              </w:rPr>
            </w:pPr>
            <w:r>
              <w:rPr>
                <w:rFonts w:hint="eastAsia" w:ascii="宋体" w:hAnsi="宋体" w:eastAsia="宋体" w:cs="宋体"/>
                <w:color w:val="0C0C0C"/>
                <w:sz w:val="22"/>
              </w:rPr>
              <w:t>本工程及工程设备是否进行试运行：否</w:t>
            </w:r>
          </w:p>
        </w:tc>
      </w:tr>
      <w:tr w14:paraId="209C3A1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1" w:type="dxa"/>
            <w:tcBorders>
              <w:tl2br w:val="nil"/>
              <w:tr2bl w:val="nil"/>
            </w:tcBorders>
            <w:noWrap w:val="0"/>
            <w:vAlign w:val="center"/>
          </w:tcPr>
          <w:p w14:paraId="29B890BF">
            <w:pPr>
              <w:autoSpaceDE w:val="0"/>
              <w:autoSpaceDN w:val="0"/>
              <w:snapToGrid w:val="0"/>
              <w:spacing w:line="276" w:lineRule="auto"/>
              <w:jc w:val="center"/>
              <w:rPr>
                <w:rFonts w:hint="eastAsia" w:ascii="宋体" w:hAnsi="宋体" w:eastAsia="宋体" w:cs="宋体"/>
                <w:color w:val="0C0C0C"/>
                <w:sz w:val="22"/>
              </w:rPr>
            </w:pPr>
            <w:r>
              <w:rPr>
                <w:rFonts w:hint="eastAsia" w:ascii="宋体" w:hAnsi="宋体" w:eastAsia="宋体" w:cs="宋体"/>
                <w:color w:val="0C0C0C"/>
                <w:sz w:val="22"/>
              </w:rPr>
              <w:t>26</w:t>
            </w:r>
          </w:p>
        </w:tc>
        <w:tc>
          <w:tcPr>
            <w:tcW w:w="1565" w:type="dxa"/>
            <w:tcBorders>
              <w:tl2br w:val="nil"/>
              <w:tr2bl w:val="nil"/>
            </w:tcBorders>
            <w:noWrap w:val="0"/>
            <w:vAlign w:val="center"/>
          </w:tcPr>
          <w:p w14:paraId="10955608">
            <w:pPr>
              <w:autoSpaceDE w:val="0"/>
              <w:autoSpaceDN w:val="0"/>
              <w:snapToGrid w:val="0"/>
              <w:spacing w:line="276" w:lineRule="auto"/>
              <w:jc w:val="center"/>
              <w:rPr>
                <w:rFonts w:hint="eastAsia" w:ascii="宋体" w:hAnsi="宋体" w:eastAsia="宋体" w:cs="宋体"/>
                <w:color w:val="0C0C0C"/>
                <w:sz w:val="22"/>
              </w:rPr>
            </w:pPr>
            <w:r>
              <w:rPr>
                <w:rFonts w:hint="eastAsia" w:ascii="宋体" w:hAnsi="宋体" w:eastAsia="宋体" w:cs="宋体"/>
                <w:color w:val="0C0C0C"/>
                <w:sz w:val="22"/>
              </w:rPr>
              <w:t>19.7（1）</w:t>
            </w:r>
          </w:p>
        </w:tc>
        <w:tc>
          <w:tcPr>
            <w:tcW w:w="7475" w:type="dxa"/>
            <w:tcBorders>
              <w:tl2br w:val="nil"/>
              <w:tr2bl w:val="nil"/>
            </w:tcBorders>
            <w:noWrap w:val="0"/>
            <w:vAlign w:val="center"/>
          </w:tcPr>
          <w:p w14:paraId="252309A1">
            <w:pPr>
              <w:autoSpaceDE w:val="0"/>
              <w:autoSpaceDN w:val="0"/>
              <w:snapToGrid w:val="0"/>
              <w:spacing w:line="276" w:lineRule="auto"/>
              <w:jc w:val="left"/>
              <w:rPr>
                <w:rFonts w:hint="eastAsia" w:ascii="宋体" w:hAnsi="宋体" w:eastAsia="宋体" w:cs="宋体"/>
                <w:color w:val="0C0C0C"/>
                <w:sz w:val="22"/>
              </w:rPr>
            </w:pPr>
            <w:r>
              <w:rPr>
                <w:rFonts w:hint="eastAsia" w:ascii="宋体" w:hAnsi="宋体" w:eastAsia="宋体" w:cs="宋体"/>
                <w:color w:val="0C0C0C"/>
                <w:sz w:val="22"/>
                <w:highlight w:val="none"/>
                <w:lang w:val="en-US" w:eastAsia="zh-CN"/>
              </w:rPr>
              <w:t>保修期</w:t>
            </w:r>
            <w:r>
              <w:rPr>
                <w:rFonts w:hint="eastAsia" w:ascii="宋体" w:hAnsi="宋体" w:eastAsia="宋体" w:cs="宋体"/>
                <w:color w:val="0C0C0C"/>
                <w:sz w:val="22"/>
              </w:rPr>
              <w:t>：自实际交工日期起计算</w:t>
            </w:r>
            <w:r>
              <w:rPr>
                <w:rFonts w:hint="eastAsia" w:ascii="宋体" w:hAnsi="宋体" w:eastAsia="宋体" w:cs="宋体"/>
                <w:color w:val="0C0C0C"/>
                <w:sz w:val="22"/>
                <w:u w:val="single"/>
                <w:lang w:val="en-US" w:eastAsia="zh-CN"/>
              </w:rPr>
              <w:t xml:space="preserve">  5 </w:t>
            </w:r>
            <w:r>
              <w:rPr>
                <w:rFonts w:hint="eastAsia" w:ascii="宋体" w:hAnsi="宋体" w:eastAsia="宋体" w:cs="宋体"/>
                <w:color w:val="0C0C0C"/>
                <w:sz w:val="22"/>
              </w:rPr>
              <w:t>年</w:t>
            </w:r>
          </w:p>
        </w:tc>
      </w:tr>
      <w:tr w14:paraId="10338D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1" w:type="dxa"/>
            <w:tcBorders>
              <w:tl2br w:val="nil"/>
              <w:tr2bl w:val="nil"/>
            </w:tcBorders>
            <w:noWrap w:val="0"/>
            <w:vAlign w:val="center"/>
          </w:tcPr>
          <w:p w14:paraId="12897F88">
            <w:pPr>
              <w:autoSpaceDE w:val="0"/>
              <w:autoSpaceDN w:val="0"/>
              <w:snapToGrid w:val="0"/>
              <w:spacing w:line="276" w:lineRule="auto"/>
              <w:jc w:val="center"/>
              <w:rPr>
                <w:rFonts w:hint="eastAsia" w:ascii="宋体" w:hAnsi="宋体" w:eastAsia="宋体" w:cs="宋体"/>
                <w:color w:val="0C0C0C"/>
                <w:sz w:val="22"/>
              </w:rPr>
            </w:pPr>
            <w:r>
              <w:rPr>
                <w:rFonts w:hint="eastAsia" w:ascii="宋体" w:hAnsi="宋体" w:eastAsia="宋体" w:cs="宋体"/>
                <w:color w:val="0C0C0C"/>
                <w:sz w:val="22"/>
              </w:rPr>
              <w:t>27</w:t>
            </w:r>
          </w:p>
        </w:tc>
        <w:tc>
          <w:tcPr>
            <w:tcW w:w="1565" w:type="dxa"/>
            <w:tcBorders>
              <w:tl2br w:val="nil"/>
              <w:tr2bl w:val="nil"/>
            </w:tcBorders>
            <w:noWrap w:val="0"/>
            <w:vAlign w:val="center"/>
          </w:tcPr>
          <w:p w14:paraId="261B40D3">
            <w:pPr>
              <w:autoSpaceDE w:val="0"/>
              <w:autoSpaceDN w:val="0"/>
              <w:snapToGrid w:val="0"/>
              <w:spacing w:line="276" w:lineRule="auto"/>
              <w:jc w:val="center"/>
              <w:rPr>
                <w:rFonts w:hint="eastAsia" w:ascii="宋体" w:hAnsi="宋体" w:eastAsia="宋体" w:cs="宋体"/>
                <w:color w:val="0C0C0C"/>
                <w:sz w:val="22"/>
              </w:rPr>
            </w:pPr>
            <w:r>
              <w:rPr>
                <w:rFonts w:hint="eastAsia" w:ascii="宋体" w:hAnsi="宋体" w:eastAsia="宋体" w:cs="宋体"/>
                <w:color w:val="0C0C0C"/>
                <w:sz w:val="22"/>
              </w:rPr>
              <w:t>20.1</w:t>
            </w:r>
          </w:p>
        </w:tc>
        <w:tc>
          <w:tcPr>
            <w:tcW w:w="7475" w:type="dxa"/>
            <w:tcBorders>
              <w:tl2br w:val="nil"/>
              <w:tr2bl w:val="nil"/>
            </w:tcBorders>
            <w:noWrap w:val="0"/>
            <w:vAlign w:val="center"/>
          </w:tcPr>
          <w:p w14:paraId="6ED277F2">
            <w:pPr>
              <w:autoSpaceDE w:val="0"/>
              <w:autoSpaceDN w:val="0"/>
              <w:snapToGrid w:val="0"/>
              <w:spacing w:line="276" w:lineRule="auto"/>
              <w:jc w:val="left"/>
              <w:rPr>
                <w:rFonts w:hint="eastAsia" w:ascii="宋体" w:hAnsi="宋体" w:eastAsia="宋体" w:cs="宋体"/>
                <w:color w:val="0C0C0C"/>
                <w:sz w:val="22"/>
                <w:lang w:val="en-US" w:eastAsia="zh-CN"/>
              </w:rPr>
            </w:pPr>
            <w:r>
              <w:rPr>
                <w:rFonts w:hint="eastAsia" w:ascii="宋体" w:hAnsi="宋体" w:eastAsia="宋体" w:cs="宋体"/>
                <w:color w:val="0C0C0C"/>
                <w:sz w:val="22"/>
              </w:rPr>
              <w:t>建筑工程一切险按第</w:t>
            </w:r>
            <w:r>
              <w:rPr>
                <w:rFonts w:hint="eastAsia" w:ascii="宋体" w:hAnsi="宋体" w:cs="宋体"/>
                <w:color w:val="0C0C0C"/>
                <w:sz w:val="22"/>
                <w:lang w:val="en-US" w:eastAsia="zh-CN"/>
              </w:rPr>
              <w:t>1</w:t>
            </w:r>
            <w:r>
              <w:rPr>
                <w:rFonts w:hint="eastAsia" w:ascii="宋体" w:hAnsi="宋体" w:eastAsia="宋体" w:cs="宋体"/>
                <w:color w:val="0C0C0C"/>
                <w:sz w:val="22"/>
              </w:rPr>
              <w:t>00章至第700章合计的</w:t>
            </w:r>
            <w:r>
              <w:rPr>
                <w:rFonts w:hint="eastAsia" w:ascii="宋体" w:hAnsi="宋体" w:eastAsia="宋体" w:cs="宋体"/>
                <w:color w:val="0C0C0C"/>
                <w:sz w:val="22"/>
                <w:u w:val="single"/>
                <w:lang w:val="en-US" w:eastAsia="zh-CN"/>
              </w:rPr>
              <w:t xml:space="preserve"> </w:t>
            </w:r>
            <w:r>
              <w:rPr>
                <w:rFonts w:hint="eastAsia" w:ascii="宋体" w:hAnsi="宋体" w:eastAsia="宋体" w:cs="宋体"/>
                <w:color w:val="0C0C0C"/>
                <w:sz w:val="22"/>
                <w:u w:val="single"/>
              </w:rPr>
              <w:t>0.3</w:t>
            </w:r>
            <w:r>
              <w:rPr>
                <w:rFonts w:hint="eastAsia" w:ascii="宋体" w:hAnsi="宋体" w:eastAsia="宋体" w:cs="宋体"/>
                <w:color w:val="0C0C0C"/>
                <w:sz w:val="22"/>
                <w:u w:val="single"/>
                <w:lang w:val="en-US" w:eastAsia="zh-CN"/>
              </w:rPr>
              <w:t xml:space="preserve"> </w:t>
            </w:r>
            <w:r>
              <w:rPr>
                <w:rFonts w:hint="eastAsia" w:ascii="宋体" w:hAnsi="宋体" w:eastAsia="宋体" w:cs="宋体"/>
                <w:color w:val="0C0C0C"/>
                <w:sz w:val="22"/>
              </w:rPr>
              <w:t>%计取；</w:t>
            </w:r>
          </w:p>
        </w:tc>
      </w:tr>
      <w:tr w14:paraId="0AE9DD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1" w:type="dxa"/>
            <w:tcBorders>
              <w:tl2br w:val="nil"/>
              <w:tr2bl w:val="nil"/>
            </w:tcBorders>
            <w:noWrap w:val="0"/>
            <w:vAlign w:val="center"/>
          </w:tcPr>
          <w:p w14:paraId="5811F5F9">
            <w:pPr>
              <w:autoSpaceDE w:val="0"/>
              <w:autoSpaceDN w:val="0"/>
              <w:snapToGrid w:val="0"/>
              <w:spacing w:line="276" w:lineRule="auto"/>
              <w:jc w:val="center"/>
              <w:rPr>
                <w:rFonts w:hint="eastAsia" w:ascii="宋体" w:hAnsi="宋体" w:eastAsia="宋体" w:cs="宋体"/>
                <w:color w:val="0C0C0C"/>
                <w:sz w:val="22"/>
              </w:rPr>
            </w:pPr>
            <w:r>
              <w:rPr>
                <w:rFonts w:hint="eastAsia" w:ascii="宋体" w:hAnsi="宋体" w:eastAsia="宋体" w:cs="宋体"/>
                <w:color w:val="0C0C0C"/>
                <w:sz w:val="22"/>
              </w:rPr>
              <w:t>28</w:t>
            </w:r>
          </w:p>
        </w:tc>
        <w:tc>
          <w:tcPr>
            <w:tcW w:w="1565" w:type="dxa"/>
            <w:tcBorders>
              <w:tl2br w:val="nil"/>
              <w:tr2bl w:val="nil"/>
            </w:tcBorders>
            <w:noWrap w:val="0"/>
            <w:vAlign w:val="center"/>
          </w:tcPr>
          <w:p w14:paraId="340EA4F9">
            <w:pPr>
              <w:autoSpaceDE w:val="0"/>
              <w:autoSpaceDN w:val="0"/>
              <w:snapToGrid w:val="0"/>
              <w:spacing w:line="276" w:lineRule="auto"/>
              <w:jc w:val="center"/>
              <w:rPr>
                <w:rFonts w:hint="eastAsia" w:ascii="宋体" w:hAnsi="宋体" w:eastAsia="宋体" w:cs="宋体"/>
                <w:color w:val="0C0C0C"/>
                <w:sz w:val="22"/>
              </w:rPr>
            </w:pPr>
            <w:r>
              <w:rPr>
                <w:rFonts w:hint="eastAsia" w:ascii="宋体" w:hAnsi="宋体" w:eastAsia="宋体" w:cs="宋体"/>
                <w:color w:val="0C0C0C"/>
                <w:sz w:val="22"/>
              </w:rPr>
              <w:t>20.4.2</w:t>
            </w:r>
          </w:p>
        </w:tc>
        <w:tc>
          <w:tcPr>
            <w:tcW w:w="7475" w:type="dxa"/>
            <w:tcBorders>
              <w:tl2br w:val="nil"/>
              <w:tr2bl w:val="nil"/>
            </w:tcBorders>
            <w:noWrap w:val="0"/>
            <w:vAlign w:val="center"/>
          </w:tcPr>
          <w:p w14:paraId="7BE8031B">
            <w:pPr>
              <w:autoSpaceDE w:val="0"/>
              <w:autoSpaceDN w:val="0"/>
              <w:snapToGrid w:val="0"/>
              <w:spacing w:line="276" w:lineRule="auto"/>
              <w:jc w:val="left"/>
              <w:rPr>
                <w:rFonts w:hint="eastAsia" w:ascii="宋体" w:hAnsi="宋体" w:eastAsia="宋体" w:cs="宋体"/>
                <w:color w:val="0C0C0C"/>
                <w:sz w:val="22"/>
                <w:lang w:val="en-US" w:eastAsia="zh-CN"/>
              </w:rPr>
            </w:pPr>
            <w:r>
              <w:rPr>
                <w:rFonts w:hint="eastAsia" w:ascii="宋体" w:hAnsi="宋体" w:eastAsia="宋体" w:cs="宋体"/>
                <w:color w:val="0C0C0C"/>
                <w:sz w:val="22"/>
              </w:rPr>
              <w:t>第三者责任险按第</w:t>
            </w:r>
            <w:r>
              <w:rPr>
                <w:rFonts w:hint="eastAsia" w:ascii="宋体" w:hAnsi="宋体" w:cs="宋体"/>
                <w:color w:val="0C0C0C"/>
                <w:sz w:val="22"/>
                <w:lang w:val="en-US" w:eastAsia="zh-CN"/>
              </w:rPr>
              <w:t>1</w:t>
            </w:r>
            <w:r>
              <w:rPr>
                <w:rFonts w:hint="eastAsia" w:ascii="宋体" w:hAnsi="宋体" w:eastAsia="宋体" w:cs="宋体"/>
                <w:color w:val="0C0C0C"/>
                <w:sz w:val="22"/>
              </w:rPr>
              <w:t>00章至第700章合计的</w:t>
            </w:r>
            <w:r>
              <w:rPr>
                <w:rFonts w:hint="eastAsia" w:ascii="宋体" w:hAnsi="宋体" w:eastAsia="宋体" w:cs="宋体"/>
                <w:color w:val="0C0C0C"/>
                <w:sz w:val="22"/>
                <w:u w:val="single"/>
                <w:lang w:val="en-US" w:eastAsia="zh-CN"/>
              </w:rPr>
              <w:t xml:space="preserve"> </w:t>
            </w:r>
            <w:r>
              <w:rPr>
                <w:rFonts w:hint="eastAsia" w:ascii="宋体" w:hAnsi="宋体" w:eastAsia="宋体" w:cs="宋体"/>
                <w:color w:val="0C0C0C"/>
                <w:sz w:val="22"/>
                <w:u w:val="single"/>
              </w:rPr>
              <w:t>0.1</w:t>
            </w:r>
            <w:r>
              <w:rPr>
                <w:rFonts w:hint="eastAsia" w:ascii="宋体" w:hAnsi="宋体" w:eastAsia="宋体" w:cs="宋体"/>
                <w:color w:val="0C0C0C"/>
                <w:sz w:val="22"/>
                <w:u w:val="single"/>
                <w:lang w:val="en-US" w:eastAsia="zh-CN"/>
              </w:rPr>
              <w:t xml:space="preserve"> </w:t>
            </w:r>
            <w:r>
              <w:rPr>
                <w:rFonts w:hint="eastAsia" w:ascii="宋体" w:hAnsi="宋体" w:eastAsia="宋体" w:cs="宋体"/>
                <w:color w:val="0C0C0C"/>
                <w:sz w:val="22"/>
              </w:rPr>
              <w:t>%计取；</w:t>
            </w:r>
          </w:p>
        </w:tc>
      </w:tr>
      <w:tr w14:paraId="6FEFEDB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1" w:type="dxa"/>
            <w:tcBorders>
              <w:tl2br w:val="nil"/>
              <w:tr2bl w:val="nil"/>
            </w:tcBorders>
            <w:noWrap w:val="0"/>
            <w:vAlign w:val="center"/>
          </w:tcPr>
          <w:p w14:paraId="568AA7F0">
            <w:pPr>
              <w:autoSpaceDE w:val="0"/>
              <w:autoSpaceDN w:val="0"/>
              <w:snapToGrid w:val="0"/>
              <w:spacing w:line="276" w:lineRule="auto"/>
              <w:jc w:val="center"/>
              <w:rPr>
                <w:rFonts w:hint="eastAsia" w:ascii="宋体" w:hAnsi="宋体" w:eastAsia="宋体" w:cs="宋体"/>
                <w:color w:val="0C0C0C"/>
                <w:sz w:val="22"/>
              </w:rPr>
            </w:pPr>
            <w:r>
              <w:rPr>
                <w:rFonts w:hint="eastAsia" w:ascii="宋体" w:hAnsi="宋体" w:eastAsia="宋体" w:cs="宋体"/>
                <w:color w:val="0C0C0C"/>
                <w:sz w:val="22"/>
              </w:rPr>
              <w:t>29</w:t>
            </w:r>
          </w:p>
        </w:tc>
        <w:tc>
          <w:tcPr>
            <w:tcW w:w="1565" w:type="dxa"/>
            <w:tcBorders>
              <w:tl2br w:val="nil"/>
              <w:tr2bl w:val="nil"/>
            </w:tcBorders>
            <w:noWrap w:val="0"/>
            <w:vAlign w:val="center"/>
          </w:tcPr>
          <w:p w14:paraId="7567883A">
            <w:pPr>
              <w:autoSpaceDE w:val="0"/>
              <w:autoSpaceDN w:val="0"/>
              <w:snapToGrid w:val="0"/>
              <w:spacing w:line="276" w:lineRule="auto"/>
              <w:jc w:val="center"/>
              <w:rPr>
                <w:rFonts w:hint="eastAsia" w:ascii="宋体" w:hAnsi="宋体" w:eastAsia="宋体" w:cs="宋体"/>
                <w:color w:val="0C0C0C"/>
                <w:sz w:val="22"/>
              </w:rPr>
            </w:pPr>
            <w:r>
              <w:rPr>
                <w:rFonts w:hint="eastAsia" w:ascii="宋体" w:hAnsi="宋体" w:eastAsia="宋体" w:cs="宋体"/>
                <w:color w:val="0C0C0C"/>
                <w:sz w:val="22"/>
              </w:rPr>
              <w:t>24.1</w:t>
            </w:r>
          </w:p>
        </w:tc>
        <w:tc>
          <w:tcPr>
            <w:tcW w:w="7475" w:type="dxa"/>
            <w:tcBorders>
              <w:tl2br w:val="nil"/>
              <w:tr2bl w:val="nil"/>
            </w:tcBorders>
            <w:noWrap w:val="0"/>
            <w:vAlign w:val="center"/>
          </w:tcPr>
          <w:p w14:paraId="77560638">
            <w:pPr>
              <w:autoSpaceDE w:val="0"/>
              <w:autoSpaceDN w:val="0"/>
              <w:snapToGrid w:val="0"/>
              <w:spacing w:line="276" w:lineRule="auto"/>
              <w:jc w:val="left"/>
              <w:rPr>
                <w:rFonts w:hint="eastAsia" w:ascii="宋体" w:hAnsi="宋体" w:eastAsia="宋体" w:cs="宋体"/>
                <w:color w:val="0C0C0C"/>
                <w:sz w:val="22"/>
                <w:highlight w:val="none"/>
                <w:lang w:val="en-US" w:eastAsia="zh-CN"/>
              </w:rPr>
            </w:pPr>
            <w:r>
              <w:rPr>
                <w:rFonts w:hint="eastAsia" w:ascii="宋体" w:hAnsi="宋体" w:eastAsia="宋体" w:cs="宋体"/>
                <w:color w:val="0C0C0C"/>
                <w:sz w:val="22"/>
                <w:highlight w:val="none"/>
              </w:rPr>
              <w:t>争议的最终解决方式：</w:t>
            </w:r>
            <w:r>
              <w:rPr>
                <w:rFonts w:hint="eastAsia" w:ascii="宋体" w:hAnsi="宋体" w:eastAsia="宋体" w:cs="宋体"/>
                <w:color w:val="0C0C0C"/>
                <w:sz w:val="22"/>
                <w:highlight w:val="none"/>
                <w:lang w:val="en-US" w:eastAsia="zh-CN"/>
              </w:rPr>
              <w:t>诉讼</w:t>
            </w:r>
          </w:p>
          <w:p w14:paraId="732F0621">
            <w:pPr>
              <w:autoSpaceDE w:val="0"/>
              <w:autoSpaceDN w:val="0"/>
              <w:snapToGrid w:val="0"/>
              <w:spacing w:line="276" w:lineRule="auto"/>
              <w:jc w:val="left"/>
              <w:rPr>
                <w:rFonts w:hint="eastAsia" w:ascii="宋体" w:hAnsi="宋体" w:eastAsia="宋体" w:cs="宋体"/>
                <w:color w:val="0C0C0C"/>
                <w:sz w:val="22"/>
                <w:lang w:eastAsia="zh-CN"/>
              </w:rPr>
            </w:pPr>
            <w:r>
              <w:rPr>
                <w:rFonts w:hint="eastAsia" w:ascii="宋体" w:hAnsi="宋体" w:eastAsia="宋体" w:cs="宋体"/>
                <w:color w:val="0C0C0C"/>
                <w:sz w:val="22"/>
                <w:highlight w:val="none"/>
              </w:rPr>
              <w:t>如采用</w:t>
            </w:r>
            <w:r>
              <w:rPr>
                <w:rFonts w:hint="eastAsia" w:ascii="宋体" w:hAnsi="宋体" w:eastAsia="宋体" w:cs="宋体"/>
                <w:color w:val="0C0C0C"/>
                <w:sz w:val="22"/>
                <w:highlight w:val="none"/>
                <w:lang w:val="en-US" w:eastAsia="zh-CN"/>
              </w:rPr>
              <w:t>诉讼</w:t>
            </w:r>
            <w:r>
              <w:rPr>
                <w:rFonts w:hint="eastAsia" w:ascii="宋体" w:hAnsi="宋体" w:eastAsia="宋体" w:cs="宋体"/>
                <w:color w:val="0C0C0C"/>
                <w:sz w:val="22"/>
                <w:highlight w:val="none"/>
              </w:rPr>
              <w:t>，</w:t>
            </w:r>
            <w:r>
              <w:rPr>
                <w:rFonts w:hint="eastAsia" w:ascii="宋体" w:hAnsi="宋体" w:eastAsia="宋体" w:cs="宋体"/>
                <w:color w:val="0C0C0C"/>
                <w:sz w:val="22"/>
                <w:highlight w:val="none"/>
                <w:lang w:val="en-US" w:eastAsia="zh-CN"/>
              </w:rPr>
              <w:t>诉讼单位</w:t>
            </w:r>
            <w:r>
              <w:rPr>
                <w:rFonts w:hint="eastAsia" w:ascii="宋体" w:hAnsi="宋体" w:eastAsia="宋体" w:cs="宋体"/>
                <w:color w:val="0C0C0C"/>
                <w:sz w:val="20"/>
                <w:highlight w:val="none"/>
              </w:rPr>
              <w:t>：</w:t>
            </w:r>
            <w:r>
              <w:rPr>
                <w:rFonts w:hint="eastAsia" w:ascii="宋体" w:hAnsi="宋体" w:eastAsia="宋体" w:cs="宋体"/>
                <w:color w:val="0C0C0C"/>
                <w:sz w:val="22"/>
                <w:highlight w:val="none"/>
              </w:rPr>
              <w:t xml:space="preserve"> 汉中市仲裁委员会</w:t>
            </w:r>
          </w:p>
        </w:tc>
      </w:tr>
    </w:tbl>
    <w:p w14:paraId="4C3EDC06">
      <w:pPr>
        <w:widowControl/>
        <w:spacing w:after="200" w:line="276" w:lineRule="auto"/>
        <w:jc w:val="center"/>
        <w:rPr>
          <w:rFonts w:hint="eastAsia" w:ascii="宋体" w:hAnsi="宋体" w:eastAsia="宋体" w:cs="宋体"/>
          <w:color w:val="0C0C0C"/>
          <w:kern w:val="0"/>
          <w:sz w:val="28"/>
          <w:szCs w:val="28"/>
        </w:rPr>
      </w:pPr>
    </w:p>
    <w:p w14:paraId="6FA56069">
      <w:pPr>
        <w:widowControl/>
        <w:spacing w:after="200" w:line="276" w:lineRule="auto"/>
        <w:jc w:val="center"/>
        <w:rPr>
          <w:rFonts w:hint="eastAsia" w:ascii="宋体" w:hAnsi="宋体" w:eastAsia="宋体" w:cs="宋体"/>
          <w:color w:val="0C0C0C"/>
          <w:kern w:val="0"/>
          <w:sz w:val="28"/>
          <w:szCs w:val="28"/>
        </w:rPr>
      </w:pPr>
    </w:p>
    <w:p w14:paraId="3FBEACA8">
      <w:pPr>
        <w:widowControl/>
        <w:spacing w:after="200" w:line="276" w:lineRule="auto"/>
        <w:jc w:val="center"/>
        <w:rPr>
          <w:rFonts w:hint="eastAsia" w:ascii="宋体" w:hAnsi="宋体" w:eastAsia="宋体" w:cs="宋体"/>
          <w:color w:val="0C0C0C"/>
          <w:kern w:val="0"/>
          <w:sz w:val="28"/>
          <w:szCs w:val="28"/>
        </w:rPr>
      </w:pPr>
    </w:p>
    <w:p w14:paraId="60710E91">
      <w:pPr>
        <w:widowControl/>
        <w:spacing w:after="200" w:line="276" w:lineRule="auto"/>
        <w:jc w:val="center"/>
        <w:rPr>
          <w:rFonts w:hint="eastAsia" w:ascii="宋体" w:hAnsi="宋体" w:eastAsia="宋体" w:cs="宋体"/>
          <w:color w:val="0C0C0C"/>
          <w:kern w:val="0"/>
          <w:sz w:val="28"/>
          <w:szCs w:val="28"/>
        </w:rPr>
      </w:pPr>
    </w:p>
    <w:p w14:paraId="2BBC8E33">
      <w:pPr>
        <w:widowControl/>
        <w:spacing w:after="200" w:line="276" w:lineRule="auto"/>
        <w:jc w:val="center"/>
        <w:rPr>
          <w:rFonts w:hint="eastAsia" w:ascii="宋体" w:hAnsi="宋体" w:eastAsia="宋体" w:cs="宋体"/>
          <w:color w:val="0C0C0C"/>
          <w:kern w:val="0"/>
          <w:sz w:val="28"/>
          <w:szCs w:val="28"/>
        </w:rPr>
      </w:pPr>
    </w:p>
    <w:p w14:paraId="45102D93">
      <w:pPr>
        <w:pStyle w:val="5"/>
        <w:ind w:firstLine="420"/>
        <w:rPr>
          <w:rFonts w:hint="eastAsia" w:ascii="宋体" w:hAnsi="宋体" w:eastAsia="宋体" w:cs="宋体"/>
          <w:color w:val="0C0C0C"/>
        </w:rPr>
      </w:pPr>
    </w:p>
    <w:p w14:paraId="35523FE5">
      <w:pPr>
        <w:pStyle w:val="6"/>
        <w:rPr>
          <w:rFonts w:hint="eastAsia" w:ascii="宋体" w:hAnsi="宋体" w:eastAsia="宋体" w:cs="宋体"/>
          <w:color w:val="0C0C0C"/>
        </w:rPr>
      </w:pPr>
    </w:p>
    <w:p w14:paraId="5B4CD08E">
      <w:pPr>
        <w:rPr>
          <w:rFonts w:hint="eastAsia" w:ascii="宋体" w:hAnsi="宋体" w:eastAsia="宋体" w:cs="宋体"/>
          <w:color w:val="0C0C0C"/>
        </w:rPr>
      </w:pPr>
    </w:p>
    <w:p w14:paraId="70B03B01">
      <w:pPr>
        <w:pStyle w:val="5"/>
        <w:ind w:firstLine="420"/>
        <w:rPr>
          <w:rFonts w:hint="eastAsia" w:ascii="宋体" w:hAnsi="宋体" w:eastAsia="宋体" w:cs="宋体"/>
          <w:color w:val="0C0C0C"/>
        </w:rPr>
      </w:pPr>
    </w:p>
    <w:p w14:paraId="45305DAD">
      <w:pPr>
        <w:pStyle w:val="6"/>
        <w:rPr>
          <w:rFonts w:hint="eastAsia" w:ascii="宋体" w:hAnsi="宋体" w:eastAsia="宋体" w:cs="宋体"/>
          <w:color w:val="0C0C0C"/>
        </w:rPr>
      </w:pPr>
    </w:p>
    <w:p w14:paraId="0CB2C2EB">
      <w:pPr>
        <w:rPr>
          <w:rFonts w:hint="eastAsia" w:ascii="宋体" w:hAnsi="宋体" w:eastAsia="宋体" w:cs="宋体"/>
          <w:color w:val="0C0C0C"/>
        </w:rPr>
      </w:pPr>
    </w:p>
    <w:p w14:paraId="009BC04E">
      <w:pPr>
        <w:pStyle w:val="5"/>
        <w:ind w:firstLine="420"/>
        <w:rPr>
          <w:rFonts w:hint="eastAsia" w:ascii="宋体" w:hAnsi="宋体" w:eastAsia="宋体" w:cs="宋体"/>
          <w:color w:val="0C0C0C"/>
        </w:rPr>
      </w:pPr>
    </w:p>
    <w:p w14:paraId="2EB1FFA2">
      <w:pPr>
        <w:pStyle w:val="6"/>
        <w:rPr>
          <w:rFonts w:hint="eastAsia" w:ascii="宋体" w:hAnsi="宋体" w:eastAsia="宋体" w:cs="宋体"/>
          <w:color w:val="0C0C0C"/>
        </w:rPr>
      </w:pPr>
    </w:p>
    <w:p w14:paraId="72D8A246">
      <w:pPr>
        <w:rPr>
          <w:rFonts w:hint="eastAsia" w:ascii="宋体" w:hAnsi="宋体" w:eastAsia="宋体" w:cs="宋体"/>
          <w:color w:val="0C0C0C"/>
        </w:rPr>
      </w:pPr>
    </w:p>
    <w:p w14:paraId="16A2D4BB">
      <w:pPr>
        <w:pStyle w:val="5"/>
        <w:ind w:firstLine="420"/>
        <w:rPr>
          <w:rFonts w:hint="eastAsia" w:ascii="宋体" w:hAnsi="宋体" w:eastAsia="宋体" w:cs="宋体"/>
          <w:color w:val="0C0C0C"/>
        </w:rPr>
      </w:pPr>
    </w:p>
    <w:p w14:paraId="16239380">
      <w:pPr>
        <w:pStyle w:val="6"/>
        <w:rPr>
          <w:rFonts w:hint="eastAsia" w:ascii="宋体" w:hAnsi="宋体" w:eastAsia="宋体" w:cs="宋体"/>
          <w:color w:val="0C0C0C"/>
        </w:rPr>
      </w:pPr>
    </w:p>
    <w:p w14:paraId="79362F51">
      <w:pPr>
        <w:rPr>
          <w:rFonts w:hint="eastAsia" w:ascii="宋体" w:hAnsi="宋体" w:eastAsia="宋体" w:cs="宋体"/>
          <w:color w:val="0C0C0C"/>
        </w:rPr>
      </w:pPr>
    </w:p>
    <w:p w14:paraId="1E72379B">
      <w:pPr>
        <w:pStyle w:val="5"/>
        <w:ind w:firstLine="420"/>
        <w:rPr>
          <w:rFonts w:hint="eastAsia" w:ascii="宋体" w:hAnsi="宋体" w:eastAsia="宋体" w:cs="宋体"/>
          <w:color w:val="0C0C0C"/>
        </w:rPr>
      </w:pPr>
    </w:p>
    <w:p w14:paraId="0A24E4D6">
      <w:pPr>
        <w:pStyle w:val="6"/>
        <w:rPr>
          <w:rFonts w:hint="eastAsia" w:ascii="宋体" w:hAnsi="宋体" w:eastAsia="宋体" w:cs="宋体"/>
          <w:color w:val="0C0C0C"/>
        </w:rPr>
      </w:pPr>
    </w:p>
    <w:p w14:paraId="24EAFC4C">
      <w:pPr>
        <w:rPr>
          <w:rFonts w:hint="eastAsia" w:ascii="宋体" w:hAnsi="宋体" w:eastAsia="宋体" w:cs="宋体"/>
          <w:color w:val="0C0C0C"/>
        </w:rPr>
      </w:pPr>
    </w:p>
    <w:p w14:paraId="3D594631">
      <w:pPr>
        <w:pStyle w:val="5"/>
        <w:ind w:firstLine="420"/>
        <w:rPr>
          <w:rFonts w:hint="eastAsia" w:ascii="宋体" w:hAnsi="宋体" w:eastAsia="宋体" w:cs="宋体"/>
          <w:color w:val="0C0C0C"/>
        </w:rPr>
      </w:pPr>
    </w:p>
    <w:p w14:paraId="4D322D70">
      <w:pPr>
        <w:pStyle w:val="6"/>
        <w:rPr>
          <w:rFonts w:hint="eastAsia" w:ascii="宋体" w:hAnsi="宋体" w:eastAsia="宋体" w:cs="宋体"/>
          <w:color w:val="0C0C0C"/>
        </w:rPr>
      </w:pPr>
    </w:p>
    <w:p w14:paraId="4A37338A">
      <w:pPr>
        <w:rPr>
          <w:rFonts w:hint="eastAsia" w:ascii="宋体" w:hAnsi="宋体" w:eastAsia="宋体" w:cs="宋体"/>
          <w:color w:val="0C0C0C"/>
        </w:rPr>
      </w:pPr>
    </w:p>
    <w:p w14:paraId="2855686E">
      <w:pPr>
        <w:pStyle w:val="5"/>
        <w:ind w:firstLine="420"/>
        <w:rPr>
          <w:rFonts w:hint="eastAsia" w:ascii="宋体" w:hAnsi="宋体" w:eastAsia="宋体" w:cs="宋体"/>
          <w:color w:val="0C0C0C"/>
        </w:rPr>
      </w:pPr>
    </w:p>
    <w:p w14:paraId="064C925E">
      <w:pPr>
        <w:pStyle w:val="6"/>
        <w:rPr>
          <w:rFonts w:hint="eastAsia" w:ascii="宋体" w:hAnsi="宋体" w:eastAsia="宋体" w:cs="宋体"/>
          <w:color w:val="0C0C0C"/>
        </w:rPr>
      </w:pPr>
    </w:p>
    <w:p w14:paraId="17EDB956">
      <w:pPr>
        <w:rPr>
          <w:rFonts w:hint="eastAsia" w:ascii="宋体" w:hAnsi="宋体" w:eastAsia="宋体" w:cs="宋体"/>
          <w:color w:val="0C0C0C"/>
        </w:rPr>
      </w:pPr>
    </w:p>
    <w:p w14:paraId="05C9DE1F">
      <w:pPr>
        <w:pStyle w:val="11"/>
        <w:widowControl w:val="0"/>
        <w:tabs>
          <w:tab w:val="left" w:pos="1901"/>
        </w:tabs>
        <w:autoSpaceDE w:val="0"/>
        <w:autoSpaceDN w:val="0"/>
        <w:spacing w:after="0"/>
        <w:ind w:left="0" w:firstLine="442" w:firstLineChars="200"/>
        <w:jc w:val="center"/>
        <w:rPr>
          <w:rFonts w:hint="eastAsia" w:ascii="宋体" w:hAnsi="宋体" w:eastAsia="宋体" w:cs="宋体"/>
          <w:b/>
          <w:color w:val="0C0C0C"/>
          <w:szCs w:val="24"/>
          <w:lang w:val="zh-CN"/>
        </w:rPr>
      </w:pPr>
      <w:bookmarkStart w:id="512" w:name="_Toc7313"/>
      <w:bookmarkStart w:id="513" w:name="_Toc139462725"/>
      <w:bookmarkStart w:id="514" w:name="_Toc139464289"/>
      <w:bookmarkStart w:id="515" w:name="_Toc120442980"/>
      <w:bookmarkStart w:id="516" w:name="_Toc139463524"/>
      <w:r>
        <w:rPr>
          <w:rFonts w:hint="eastAsia" w:ascii="宋体" w:hAnsi="宋体" w:eastAsia="宋体" w:cs="宋体"/>
          <w:b/>
          <w:color w:val="0C0C0C"/>
          <w:szCs w:val="24"/>
          <w:lang w:val="zh-CN"/>
        </w:rPr>
        <w:t>项目专用合同条款</w:t>
      </w:r>
      <w:bookmarkEnd w:id="512"/>
    </w:p>
    <w:p w14:paraId="325040E9">
      <w:pPr>
        <w:autoSpaceDE w:val="0"/>
        <w:autoSpaceDN w:val="0"/>
        <w:snapToGrid w:val="0"/>
        <w:ind w:firstLine="440" w:firstLineChars="200"/>
        <w:jc w:val="left"/>
        <w:rPr>
          <w:rFonts w:hint="eastAsia" w:ascii="宋体" w:hAnsi="宋体" w:eastAsia="宋体" w:cs="宋体"/>
          <w:color w:val="000000"/>
          <w:kern w:val="0"/>
          <w:sz w:val="22"/>
          <w:szCs w:val="22"/>
          <w:lang w:val="zh-CN"/>
        </w:rPr>
      </w:pPr>
      <w:r>
        <w:rPr>
          <w:rFonts w:hint="eastAsia" w:ascii="宋体" w:hAnsi="宋体" w:eastAsia="宋体" w:cs="宋体"/>
          <w:color w:val="000000"/>
          <w:kern w:val="0"/>
          <w:sz w:val="22"/>
          <w:szCs w:val="22"/>
          <w:lang w:val="zh-CN"/>
        </w:rPr>
        <w:t>说明：本部分所列的项目专用合同条款是对“公路工程专用合同条款”中规定必须在项目专用合同条款中明确的内容的集中，招标人编制的“项目专用合同条款” 不限于本部分所列内容。</w:t>
      </w:r>
    </w:p>
    <w:p w14:paraId="3B44E5C9">
      <w:pPr>
        <w:autoSpaceDE w:val="0"/>
        <w:autoSpaceDN w:val="0"/>
        <w:snapToGrid w:val="0"/>
        <w:ind w:firstLine="440" w:firstLineChars="200"/>
        <w:jc w:val="left"/>
        <w:rPr>
          <w:rFonts w:hint="eastAsia" w:ascii="宋体" w:hAnsi="宋体" w:eastAsia="宋体" w:cs="宋体"/>
          <w:color w:val="000000"/>
          <w:kern w:val="0"/>
          <w:sz w:val="22"/>
          <w:szCs w:val="22"/>
          <w:lang w:val="zh-CN"/>
        </w:rPr>
      </w:pPr>
      <w:r>
        <w:rPr>
          <w:rFonts w:hint="eastAsia" w:ascii="宋体" w:hAnsi="宋体" w:eastAsia="宋体" w:cs="宋体"/>
          <w:color w:val="000000"/>
          <w:kern w:val="0"/>
          <w:sz w:val="22"/>
          <w:szCs w:val="22"/>
          <w:lang w:val="zh-CN"/>
        </w:rPr>
        <w:t>4.1</w:t>
      </w:r>
      <w:r>
        <w:rPr>
          <w:rFonts w:hint="eastAsia" w:ascii="宋体" w:hAnsi="宋体" w:eastAsia="宋体" w:cs="宋体"/>
          <w:color w:val="000000"/>
          <w:spacing w:val="58"/>
          <w:kern w:val="0"/>
          <w:sz w:val="22"/>
          <w:szCs w:val="22"/>
          <w:lang w:val="zh-CN"/>
        </w:rPr>
        <w:t xml:space="preserve"> </w:t>
      </w:r>
      <w:r>
        <w:rPr>
          <w:rFonts w:hint="eastAsia" w:ascii="宋体" w:hAnsi="宋体" w:eastAsia="宋体" w:cs="宋体"/>
          <w:color w:val="000000"/>
          <w:kern w:val="0"/>
          <w:sz w:val="22"/>
          <w:szCs w:val="22"/>
          <w:lang w:val="zh-CN"/>
        </w:rPr>
        <w:t>承包人的一般义务</w:t>
      </w:r>
    </w:p>
    <w:p w14:paraId="41006B83">
      <w:pPr>
        <w:autoSpaceDE w:val="0"/>
        <w:autoSpaceDN w:val="0"/>
        <w:snapToGrid w:val="0"/>
        <w:ind w:firstLine="440" w:firstLineChars="200"/>
        <w:jc w:val="left"/>
        <w:rPr>
          <w:rFonts w:hint="eastAsia" w:ascii="宋体" w:hAnsi="宋体" w:eastAsia="宋体" w:cs="宋体"/>
          <w:color w:val="000000"/>
          <w:kern w:val="0"/>
          <w:sz w:val="22"/>
          <w:szCs w:val="22"/>
          <w:lang w:val="zh-CN"/>
        </w:rPr>
      </w:pPr>
      <w:r>
        <w:rPr>
          <w:rFonts w:hint="eastAsia" w:ascii="宋体" w:hAnsi="宋体" w:eastAsia="宋体" w:cs="宋体"/>
          <w:color w:val="000000"/>
          <w:kern w:val="0"/>
          <w:sz w:val="22"/>
          <w:szCs w:val="22"/>
          <w:lang w:val="zh-CN"/>
        </w:rPr>
        <w:t>4.1.10 其他义务</w:t>
      </w:r>
    </w:p>
    <w:p w14:paraId="0AA93F36">
      <w:pPr>
        <w:tabs>
          <w:tab w:val="left" w:pos="7111"/>
        </w:tabs>
        <w:autoSpaceDE w:val="0"/>
        <w:autoSpaceDN w:val="0"/>
        <w:snapToGrid w:val="0"/>
        <w:ind w:firstLine="440" w:firstLineChars="200"/>
        <w:jc w:val="left"/>
        <w:rPr>
          <w:rFonts w:hint="eastAsia" w:ascii="宋体" w:hAnsi="宋体" w:eastAsia="宋体" w:cs="宋体"/>
          <w:color w:val="000000"/>
          <w:kern w:val="0"/>
          <w:sz w:val="22"/>
          <w:szCs w:val="22"/>
          <w:lang w:val="zh-CN" w:eastAsia="zh-CN"/>
        </w:rPr>
      </w:pPr>
      <w:r>
        <w:rPr>
          <w:rFonts w:hint="eastAsia" w:ascii="宋体" w:hAnsi="宋体" w:eastAsia="宋体" w:cs="宋体"/>
          <w:color w:val="000000"/>
          <w:kern w:val="0"/>
          <w:sz w:val="22"/>
          <w:szCs w:val="22"/>
          <w:lang w:val="zh-CN"/>
        </w:rPr>
        <w:t>（4）承包人应履行的其他义务：</w:t>
      </w:r>
      <w:r>
        <w:rPr>
          <w:rFonts w:hint="eastAsia" w:ascii="宋体" w:hAnsi="宋体" w:eastAsia="宋体" w:cs="宋体"/>
          <w:color w:val="000000"/>
          <w:kern w:val="0"/>
          <w:sz w:val="22"/>
          <w:szCs w:val="22"/>
          <w:u w:val="single"/>
        </w:rPr>
        <w:t xml:space="preserve"> </w:t>
      </w:r>
      <w:r>
        <w:rPr>
          <w:rFonts w:hint="eastAsia" w:ascii="宋体" w:hAnsi="宋体" w:eastAsia="宋体" w:cs="宋体"/>
          <w:color w:val="000000"/>
          <w:kern w:val="0"/>
          <w:sz w:val="22"/>
          <w:szCs w:val="22"/>
          <w:u w:val="single"/>
          <w:lang w:val="en-US" w:eastAsia="zh-CN"/>
        </w:rPr>
        <w:t xml:space="preserve">          </w:t>
      </w:r>
      <w:r>
        <w:rPr>
          <w:rFonts w:hint="eastAsia" w:ascii="宋体" w:hAnsi="宋体" w:eastAsia="宋体" w:cs="宋体"/>
          <w:color w:val="000000"/>
          <w:kern w:val="0"/>
          <w:sz w:val="22"/>
          <w:szCs w:val="22"/>
          <w:u w:val="single"/>
        </w:rPr>
        <w:t xml:space="preserve">   </w:t>
      </w:r>
      <w:r>
        <w:rPr>
          <w:rFonts w:hint="eastAsia" w:ascii="宋体" w:hAnsi="宋体" w:eastAsia="宋体" w:cs="宋体"/>
          <w:color w:val="000000"/>
          <w:kern w:val="0"/>
          <w:sz w:val="22"/>
          <w:szCs w:val="22"/>
          <w:u w:val="single"/>
          <w:lang w:val="en-US" w:eastAsia="zh-CN"/>
        </w:rPr>
        <w:t xml:space="preserve">         </w:t>
      </w:r>
      <w:r>
        <w:rPr>
          <w:rFonts w:hint="eastAsia" w:ascii="宋体" w:hAnsi="宋体" w:eastAsia="宋体" w:cs="宋体"/>
          <w:color w:val="000000"/>
          <w:kern w:val="0"/>
          <w:sz w:val="22"/>
          <w:szCs w:val="22"/>
          <w:u w:val="single"/>
        </w:rPr>
        <w:t xml:space="preserve"> </w:t>
      </w:r>
      <w:r>
        <w:rPr>
          <w:rFonts w:hint="eastAsia" w:ascii="宋体" w:hAnsi="宋体" w:eastAsia="宋体" w:cs="宋体"/>
          <w:color w:val="000000"/>
          <w:kern w:val="0"/>
          <w:sz w:val="22"/>
          <w:szCs w:val="22"/>
          <w:u w:val="none"/>
          <w:lang w:eastAsia="zh-CN"/>
        </w:rPr>
        <w:t>。</w:t>
      </w:r>
    </w:p>
    <w:p w14:paraId="27CB1034">
      <w:pPr>
        <w:autoSpaceDE w:val="0"/>
        <w:autoSpaceDN w:val="0"/>
        <w:snapToGrid w:val="0"/>
        <w:ind w:firstLine="440" w:firstLineChars="200"/>
        <w:jc w:val="left"/>
        <w:rPr>
          <w:rFonts w:hint="eastAsia" w:ascii="宋体" w:hAnsi="宋体" w:eastAsia="宋体" w:cs="宋体"/>
          <w:color w:val="000000"/>
          <w:kern w:val="0"/>
          <w:sz w:val="22"/>
          <w:szCs w:val="22"/>
          <w:lang w:val="zh-CN"/>
        </w:rPr>
      </w:pPr>
      <w:bookmarkStart w:id="517" w:name="_bookmark261"/>
      <w:bookmarkEnd w:id="517"/>
      <w:r>
        <w:rPr>
          <w:rFonts w:hint="eastAsia" w:ascii="宋体" w:hAnsi="宋体" w:eastAsia="宋体" w:cs="宋体"/>
          <w:color w:val="000000"/>
          <w:kern w:val="0"/>
          <w:sz w:val="22"/>
          <w:szCs w:val="22"/>
          <w:lang w:val="zh-CN"/>
        </w:rPr>
        <w:t>4.11</w:t>
      </w:r>
      <w:r>
        <w:rPr>
          <w:rFonts w:hint="eastAsia" w:ascii="宋体" w:hAnsi="宋体" w:eastAsia="宋体" w:cs="宋体"/>
          <w:color w:val="000000"/>
          <w:spacing w:val="58"/>
          <w:kern w:val="0"/>
          <w:sz w:val="22"/>
          <w:szCs w:val="22"/>
          <w:lang w:val="zh-CN"/>
        </w:rPr>
        <w:t xml:space="preserve"> </w:t>
      </w:r>
      <w:r>
        <w:rPr>
          <w:rFonts w:hint="eastAsia" w:ascii="宋体" w:hAnsi="宋体" w:eastAsia="宋体" w:cs="宋体"/>
          <w:color w:val="000000"/>
          <w:kern w:val="0"/>
          <w:sz w:val="22"/>
          <w:szCs w:val="22"/>
          <w:lang w:val="zh-CN"/>
        </w:rPr>
        <w:t>不利物质条件</w:t>
      </w:r>
    </w:p>
    <w:p w14:paraId="2634CDAA">
      <w:pPr>
        <w:tabs>
          <w:tab w:val="left" w:pos="6830"/>
        </w:tabs>
        <w:autoSpaceDE w:val="0"/>
        <w:autoSpaceDN w:val="0"/>
        <w:snapToGrid w:val="0"/>
        <w:ind w:firstLine="440" w:firstLineChars="200"/>
        <w:jc w:val="left"/>
        <w:rPr>
          <w:rFonts w:hint="eastAsia" w:ascii="宋体" w:hAnsi="宋体" w:eastAsia="宋体" w:cs="宋体"/>
          <w:color w:val="000000"/>
          <w:kern w:val="0"/>
          <w:sz w:val="22"/>
          <w:szCs w:val="22"/>
          <w:u w:val="single"/>
        </w:rPr>
      </w:pPr>
      <w:r>
        <w:rPr>
          <w:rFonts w:hint="eastAsia" w:ascii="宋体" w:hAnsi="宋体" w:eastAsia="宋体" w:cs="宋体"/>
          <w:color w:val="000000"/>
          <w:kern w:val="0"/>
          <w:sz w:val="22"/>
          <w:szCs w:val="22"/>
          <w:lang w:val="zh-CN"/>
        </w:rPr>
        <w:t>4.11.1</w:t>
      </w:r>
      <w:r>
        <w:rPr>
          <w:rFonts w:hint="eastAsia" w:ascii="宋体" w:hAnsi="宋体" w:eastAsia="宋体" w:cs="宋体"/>
          <w:color w:val="000000"/>
          <w:spacing w:val="50"/>
          <w:kern w:val="0"/>
          <w:sz w:val="22"/>
          <w:szCs w:val="22"/>
          <w:lang w:val="zh-CN"/>
        </w:rPr>
        <w:t xml:space="preserve"> </w:t>
      </w:r>
      <w:r>
        <w:rPr>
          <w:rFonts w:hint="eastAsia" w:ascii="宋体" w:hAnsi="宋体" w:eastAsia="宋体" w:cs="宋体"/>
          <w:color w:val="000000"/>
          <w:kern w:val="0"/>
          <w:sz w:val="22"/>
          <w:szCs w:val="22"/>
          <w:lang w:val="zh-CN"/>
        </w:rPr>
        <w:t>不利物质条件的范围：</w:t>
      </w:r>
      <w:r>
        <w:rPr>
          <w:rFonts w:hint="eastAsia" w:ascii="宋体" w:hAnsi="宋体" w:eastAsia="宋体" w:cs="宋体"/>
          <w:color w:val="000000"/>
          <w:kern w:val="0"/>
          <w:sz w:val="22"/>
          <w:szCs w:val="22"/>
          <w:u w:val="single"/>
          <w:lang w:val="zh-CN"/>
        </w:rPr>
        <w:t xml:space="preserve"> </w:t>
      </w:r>
      <w:r>
        <w:rPr>
          <w:rFonts w:hint="eastAsia" w:ascii="宋体" w:hAnsi="宋体" w:eastAsia="宋体" w:cs="宋体"/>
          <w:color w:val="000000"/>
          <w:kern w:val="0"/>
          <w:sz w:val="22"/>
          <w:szCs w:val="22"/>
          <w:u w:val="single"/>
        </w:rPr>
        <w:t xml:space="preserve"> </w:t>
      </w:r>
      <w:r>
        <w:rPr>
          <w:rFonts w:hint="eastAsia" w:ascii="宋体" w:hAnsi="宋体" w:eastAsia="宋体" w:cs="宋体"/>
          <w:color w:val="000000"/>
          <w:kern w:val="0"/>
          <w:sz w:val="22"/>
          <w:szCs w:val="22"/>
          <w:u w:val="single"/>
          <w:lang w:val="en-US" w:eastAsia="zh-CN"/>
        </w:rPr>
        <w:t xml:space="preserve">                      </w:t>
      </w:r>
      <w:r>
        <w:rPr>
          <w:rFonts w:hint="eastAsia" w:ascii="宋体" w:hAnsi="宋体" w:eastAsia="宋体" w:cs="宋体"/>
          <w:color w:val="000000"/>
          <w:kern w:val="0"/>
          <w:sz w:val="22"/>
          <w:szCs w:val="22"/>
          <w:u w:val="single"/>
        </w:rPr>
        <w:t xml:space="preserve"> </w:t>
      </w:r>
      <w:r>
        <w:rPr>
          <w:rFonts w:hint="eastAsia" w:ascii="宋体" w:hAnsi="宋体" w:eastAsia="宋体" w:cs="宋体"/>
          <w:color w:val="000000"/>
          <w:kern w:val="0"/>
          <w:sz w:val="22"/>
          <w:szCs w:val="22"/>
        </w:rPr>
        <w:t>。</w:t>
      </w:r>
    </w:p>
    <w:p w14:paraId="30252701">
      <w:pPr>
        <w:autoSpaceDE w:val="0"/>
        <w:autoSpaceDN w:val="0"/>
        <w:snapToGrid w:val="0"/>
        <w:ind w:firstLine="440" w:firstLineChars="200"/>
        <w:jc w:val="left"/>
        <w:rPr>
          <w:rFonts w:hint="eastAsia" w:ascii="宋体" w:hAnsi="宋体" w:eastAsia="宋体" w:cs="宋体"/>
          <w:color w:val="000000"/>
          <w:kern w:val="0"/>
          <w:sz w:val="22"/>
          <w:szCs w:val="22"/>
          <w:lang w:val="zh-CN"/>
        </w:rPr>
      </w:pPr>
      <w:bookmarkStart w:id="518" w:name="_bookmark262"/>
      <w:bookmarkEnd w:id="518"/>
      <w:r>
        <w:rPr>
          <w:rFonts w:hint="eastAsia" w:ascii="宋体" w:hAnsi="宋体" w:eastAsia="宋体" w:cs="宋体"/>
          <w:color w:val="000000"/>
          <w:kern w:val="0"/>
          <w:sz w:val="22"/>
          <w:szCs w:val="22"/>
          <w:lang w:val="zh-CN"/>
        </w:rPr>
        <w:t>10.1</w:t>
      </w:r>
      <w:r>
        <w:rPr>
          <w:rFonts w:hint="eastAsia" w:ascii="宋体" w:hAnsi="宋体" w:eastAsia="宋体" w:cs="宋体"/>
          <w:color w:val="000000"/>
          <w:spacing w:val="58"/>
          <w:kern w:val="0"/>
          <w:sz w:val="22"/>
          <w:szCs w:val="22"/>
          <w:lang w:val="zh-CN"/>
        </w:rPr>
        <w:t xml:space="preserve"> </w:t>
      </w:r>
      <w:r>
        <w:rPr>
          <w:rFonts w:hint="eastAsia" w:ascii="宋体" w:hAnsi="宋体" w:eastAsia="宋体" w:cs="宋体"/>
          <w:color w:val="000000"/>
          <w:kern w:val="0"/>
          <w:sz w:val="22"/>
          <w:szCs w:val="22"/>
          <w:lang w:val="zh-CN"/>
        </w:rPr>
        <w:t>合同进度计划</w:t>
      </w:r>
    </w:p>
    <w:p w14:paraId="49E50AB5">
      <w:pPr>
        <w:tabs>
          <w:tab w:val="left" w:pos="5760"/>
        </w:tabs>
        <w:autoSpaceDE w:val="0"/>
        <w:autoSpaceDN w:val="0"/>
        <w:snapToGrid w:val="0"/>
        <w:ind w:firstLine="440" w:firstLineChars="200"/>
        <w:jc w:val="left"/>
        <w:rPr>
          <w:rFonts w:hint="eastAsia" w:ascii="宋体" w:hAnsi="宋体" w:eastAsia="宋体" w:cs="宋体"/>
          <w:color w:val="000000"/>
          <w:kern w:val="0"/>
          <w:sz w:val="22"/>
          <w:szCs w:val="22"/>
          <w:lang w:val="zh-CN"/>
        </w:rPr>
      </w:pPr>
      <w:r>
        <w:rPr>
          <w:rFonts w:hint="eastAsia" w:ascii="宋体" w:hAnsi="宋体" w:eastAsia="宋体" w:cs="宋体"/>
          <w:color w:val="000000"/>
          <w:kern w:val="0"/>
          <w:sz w:val="22"/>
          <w:szCs w:val="22"/>
          <w:lang w:val="zh-CN"/>
        </w:rPr>
        <w:t>承包人编制施工方案的内容：</w:t>
      </w:r>
      <w:r>
        <w:rPr>
          <w:rFonts w:hint="eastAsia" w:ascii="宋体" w:hAnsi="宋体" w:eastAsia="宋体" w:cs="宋体"/>
          <w:color w:val="000000"/>
          <w:kern w:val="0"/>
          <w:sz w:val="22"/>
          <w:szCs w:val="22"/>
          <w:u w:val="single"/>
          <w:lang w:val="zh-CN"/>
        </w:rPr>
        <w:t xml:space="preserve"> </w:t>
      </w:r>
      <w:r>
        <w:rPr>
          <w:rFonts w:hint="eastAsia" w:ascii="宋体" w:hAnsi="宋体" w:eastAsia="宋体" w:cs="宋体"/>
          <w:color w:val="000000"/>
          <w:kern w:val="0"/>
          <w:sz w:val="22"/>
          <w:szCs w:val="22"/>
          <w:u w:val="single"/>
        </w:rPr>
        <w:t>按照招标人要求，根据实际情况编制可行方案</w:t>
      </w:r>
      <w:r>
        <w:rPr>
          <w:rFonts w:hint="eastAsia" w:ascii="宋体" w:hAnsi="宋体" w:eastAsia="宋体" w:cs="宋体"/>
          <w:color w:val="000000"/>
          <w:kern w:val="0"/>
          <w:sz w:val="22"/>
          <w:szCs w:val="22"/>
        </w:rPr>
        <w:t>。</w:t>
      </w:r>
    </w:p>
    <w:p w14:paraId="71CA03B7">
      <w:pPr>
        <w:autoSpaceDE w:val="0"/>
        <w:autoSpaceDN w:val="0"/>
        <w:snapToGrid w:val="0"/>
        <w:ind w:firstLine="440" w:firstLineChars="200"/>
        <w:jc w:val="left"/>
        <w:rPr>
          <w:rFonts w:hint="eastAsia" w:ascii="宋体" w:hAnsi="宋体" w:eastAsia="宋体" w:cs="宋体"/>
          <w:color w:val="000000"/>
          <w:kern w:val="0"/>
          <w:sz w:val="22"/>
          <w:szCs w:val="22"/>
          <w:lang w:val="zh-CN"/>
        </w:rPr>
      </w:pPr>
      <w:bookmarkStart w:id="519" w:name="_bookmark263"/>
      <w:bookmarkEnd w:id="519"/>
      <w:r>
        <w:rPr>
          <w:rFonts w:hint="eastAsia" w:ascii="宋体" w:hAnsi="宋体" w:eastAsia="宋体" w:cs="宋体"/>
          <w:color w:val="000000"/>
          <w:kern w:val="0"/>
          <w:sz w:val="22"/>
          <w:szCs w:val="22"/>
          <w:lang w:val="zh-CN"/>
        </w:rPr>
        <w:t>11.4 异常恶劣的气候条件</w:t>
      </w:r>
    </w:p>
    <w:p w14:paraId="42AB5B1A">
      <w:pPr>
        <w:tabs>
          <w:tab w:val="left" w:pos="5760"/>
        </w:tabs>
        <w:autoSpaceDE w:val="0"/>
        <w:autoSpaceDN w:val="0"/>
        <w:snapToGrid w:val="0"/>
        <w:ind w:firstLine="440" w:firstLineChars="20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zh-CN"/>
        </w:rPr>
        <w:t>异常恶劣的气候条件的范围：</w:t>
      </w:r>
      <w:r>
        <w:rPr>
          <w:rFonts w:hint="eastAsia" w:ascii="宋体" w:hAnsi="宋体" w:eastAsia="宋体" w:cs="宋体"/>
          <w:color w:val="000000"/>
          <w:kern w:val="0"/>
          <w:sz w:val="22"/>
          <w:szCs w:val="22"/>
          <w:u w:val="single"/>
          <w:lang w:val="zh-CN"/>
        </w:rPr>
        <w:t xml:space="preserve"> </w:t>
      </w:r>
      <w:r>
        <w:rPr>
          <w:rFonts w:hint="eastAsia" w:ascii="宋体" w:hAnsi="宋体" w:eastAsia="宋体" w:cs="宋体"/>
          <w:color w:val="000000"/>
          <w:kern w:val="0"/>
          <w:sz w:val="22"/>
          <w:szCs w:val="22"/>
          <w:u w:val="single"/>
          <w:lang w:val="en-US" w:eastAsia="zh-CN"/>
        </w:rPr>
        <w:t xml:space="preserve">                    </w:t>
      </w:r>
      <w:r>
        <w:rPr>
          <w:rFonts w:hint="eastAsia" w:ascii="宋体" w:hAnsi="宋体" w:eastAsia="宋体" w:cs="宋体"/>
          <w:color w:val="000000"/>
          <w:kern w:val="0"/>
          <w:sz w:val="22"/>
          <w:szCs w:val="22"/>
          <w:u w:val="single"/>
        </w:rPr>
        <w:t xml:space="preserve"> </w:t>
      </w:r>
      <w:r>
        <w:rPr>
          <w:rFonts w:hint="eastAsia" w:ascii="宋体" w:hAnsi="宋体" w:eastAsia="宋体" w:cs="宋体"/>
          <w:color w:val="000000"/>
          <w:kern w:val="0"/>
          <w:sz w:val="22"/>
          <w:szCs w:val="22"/>
        </w:rPr>
        <w:t>。</w:t>
      </w:r>
    </w:p>
    <w:p w14:paraId="298BED93">
      <w:pPr>
        <w:autoSpaceDE w:val="0"/>
        <w:autoSpaceDN w:val="0"/>
        <w:snapToGrid w:val="0"/>
        <w:ind w:firstLine="440" w:firstLineChars="200"/>
        <w:jc w:val="left"/>
        <w:rPr>
          <w:rFonts w:hint="eastAsia" w:ascii="宋体" w:hAnsi="宋体" w:eastAsia="宋体" w:cs="宋体"/>
          <w:color w:val="000000"/>
          <w:kern w:val="0"/>
          <w:sz w:val="22"/>
          <w:szCs w:val="22"/>
          <w:lang w:val="zh-CN"/>
        </w:rPr>
      </w:pPr>
      <w:bookmarkStart w:id="520" w:name="_bookmark264"/>
      <w:bookmarkEnd w:id="520"/>
      <w:r>
        <w:rPr>
          <w:rFonts w:hint="eastAsia" w:ascii="宋体" w:hAnsi="宋体" w:eastAsia="宋体" w:cs="宋体"/>
          <w:color w:val="000000"/>
          <w:kern w:val="0"/>
          <w:sz w:val="22"/>
          <w:szCs w:val="22"/>
          <w:lang w:val="zh-CN"/>
        </w:rPr>
        <w:t>12.1</w:t>
      </w:r>
      <w:r>
        <w:rPr>
          <w:rFonts w:hint="eastAsia" w:ascii="宋体" w:hAnsi="宋体" w:eastAsia="宋体" w:cs="宋体"/>
          <w:color w:val="000000"/>
          <w:spacing w:val="58"/>
          <w:kern w:val="0"/>
          <w:sz w:val="22"/>
          <w:szCs w:val="22"/>
          <w:lang w:val="zh-CN"/>
        </w:rPr>
        <w:t xml:space="preserve"> </w:t>
      </w:r>
      <w:r>
        <w:rPr>
          <w:rFonts w:hint="eastAsia" w:ascii="宋体" w:hAnsi="宋体" w:eastAsia="宋体" w:cs="宋体"/>
          <w:color w:val="000000"/>
          <w:kern w:val="0"/>
          <w:sz w:val="22"/>
          <w:szCs w:val="22"/>
          <w:lang w:val="zh-CN"/>
        </w:rPr>
        <w:t>承包人暂停施工的责任</w:t>
      </w:r>
    </w:p>
    <w:p w14:paraId="00216F3E">
      <w:pPr>
        <w:tabs>
          <w:tab w:val="left" w:pos="8220"/>
        </w:tabs>
        <w:autoSpaceDE w:val="0"/>
        <w:autoSpaceDN w:val="0"/>
        <w:snapToGrid w:val="0"/>
        <w:ind w:firstLine="440" w:firstLineChars="200"/>
        <w:jc w:val="left"/>
        <w:rPr>
          <w:rFonts w:hint="eastAsia" w:ascii="宋体" w:hAnsi="宋体" w:eastAsia="宋体" w:cs="宋体"/>
          <w:color w:val="000000"/>
          <w:kern w:val="0"/>
          <w:sz w:val="22"/>
          <w:szCs w:val="22"/>
          <w:u w:val="single"/>
        </w:rPr>
      </w:pPr>
      <w:r>
        <w:rPr>
          <w:rFonts w:hint="eastAsia" w:ascii="宋体" w:hAnsi="宋体" w:eastAsia="宋体" w:cs="宋体"/>
          <w:color w:val="000000"/>
          <w:kern w:val="0"/>
          <w:sz w:val="22"/>
          <w:szCs w:val="22"/>
          <w:lang w:val="zh-CN"/>
        </w:rPr>
        <w:t>12.1 （6）由承包人承担的其他暂停施工：</w:t>
      </w:r>
      <w:r>
        <w:rPr>
          <w:rFonts w:hint="eastAsia" w:ascii="宋体" w:hAnsi="宋体" w:eastAsia="宋体" w:cs="宋体"/>
          <w:color w:val="000000"/>
          <w:kern w:val="0"/>
          <w:sz w:val="22"/>
          <w:szCs w:val="22"/>
          <w:u w:val="single"/>
          <w:lang w:val="en-US" w:eastAsia="zh-CN"/>
        </w:rPr>
        <w:t xml:space="preserve"> </w:t>
      </w:r>
      <w:r>
        <w:rPr>
          <w:rFonts w:hint="eastAsia" w:ascii="宋体" w:hAnsi="宋体" w:eastAsia="宋体" w:cs="宋体"/>
          <w:color w:val="000000"/>
          <w:kern w:val="0"/>
          <w:sz w:val="22"/>
          <w:szCs w:val="22"/>
          <w:u w:val="single"/>
          <w:lang w:val="zh-CN"/>
        </w:rPr>
        <w:t xml:space="preserve"> </w:t>
      </w:r>
      <w:r>
        <w:rPr>
          <w:rFonts w:hint="eastAsia" w:ascii="宋体" w:hAnsi="宋体" w:eastAsia="宋体" w:cs="宋体"/>
          <w:color w:val="000000"/>
          <w:kern w:val="0"/>
          <w:sz w:val="22"/>
          <w:szCs w:val="22"/>
          <w:u w:val="single"/>
          <w:lang w:val="en-US" w:eastAsia="zh-CN"/>
        </w:rPr>
        <w:t xml:space="preserve"> </w:t>
      </w:r>
      <w:r>
        <w:rPr>
          <w:rFonts w:hint="eastAsia" w:ascii="宋体" w:hAnsi="宋体" w:eastAsia="宋体" w:cs="宋体"/>
          <w:color w:val="000000"/>
          <w:kern w:val="0"/>
          <w:sz w:val="22"/>
          <w:szCs w:val="22"/>
          <w:u w:val="single"/>
        </w:rPr>
        <w:t xml:space="preserve"> </w:t>
      </w:r>
      <w:r>
        <w:rPr>
          <w:rFonts w:hint="eastAsia" w:ascii="宋体" w:hAnsi="宋体" w:eastAsia="宋体" w:cs="宋体"/>
          <w:color w:val="000000"/>
          <w:kern w:val="0"/>
          <w:sz w:val="22"/>
          <w:szCs w:val="22"/>
          <w:u w:val="single"/>
          <w:lang w:val="en-US" w:eastAsia="zh-CN"/>
        </w:rPr>
        <w:t xml:space="preserve">         </w:t>
      </w:r>
      <w:r>
        <w:rPr>
          <w:rFonts w:hint="eastAsia" w:ascii="宋体" w:hAnsi="宋体" w:eastAsia="宋体" w:cs="宋体"/>
          <w:color w:val="000000"/>
          <w:kern w:val="0"/>
          <w:sz w:val="22"/>
          <w:szCs w:val="22"/>
          <w:u w:val="single"/>
        </w:rPr>
        <w:t xml:space="preserve"> </w:t>
      </w:r>
      <w:r>
        <w:rPr>
          <w:rFonts w:hint="eastAsia" w:ascii="宋体" w:hAnsi="宋体" w:eastAsia="宋体" w:cs="宋体"/>
          <w:color w:val="000000"/>
          <w:kern w:val="0"/>
          <w:sz w:val="22"/>
          <w:szCs w:val="22"/>
        </w:rPr>
        <w:t xml:space="preserve">。  </w:t>
      </w:r>
    </w:p>
    <w:p w14:paraId="2863BECB">
      <w:pPr>
        <w:autoSpaceDE w:val="0"/>
        <w:autoSpaceDN w:val="0"/>
        <w:snapToGrid w:val="0"/>
        <w:ind w:firstLine="440" w:firstLineChars="200"/>
        <w:jc w:val="left"/>
        <w:rPr>
          <w:rFonts w:hint="eastAsia" w:ascii="宋体" w:hAnsi="宋体" w:eastAsia="宋体" w:cs="宋体"/>
          <w:color w:val="000000"/>
          <w:kern w:val="0"/>
          <w:sz w:val="22"/>
          <w:szCs w:val="22"/>
          <w:lang w:val="zh-CN"/>
        </w:rPr>
      </w:pPr>
      <w:r>
        <w:rPr>
          <w:rFonts w:hint="eastAsia" w:ascii="宋体" w:hAnsi="宋体" w:eastAsia="宋体" w:cs="宋体"/>
          <w:color w:val="000000"/>
          <w:kern w:val="0"/>
          <w:sz w:val="22"/>
          <w:szCs w:val="22"/>
          <w:lang w:val="zh-CN"/>
        </w:rPr>
        <w:t>17.1</w:t>
      </w:r>
      <w:r>
        <w:rPr>
          <w:rFonts w:hint="eastAsia" w:ascii="宋体" w:hAnsi="宋体" w:eastAsia="宋体" w:cs="宋体"/>
          <w:color w:val="000000"/>
          <w:spacing w:val="58"/>
          <w:kern w:val="0"/>
          <w:sz w:val="22"/>
          <w:szCs w:val="22"/>
          <w:lang w:val="zh-CN"/>
        </w:rPr>
        <w:t xml:space="preserve"> </w:t>
      </w:r>
      <w:r>
        <w:rPr>
          <w:rFonts w:hint="eastAsia" w:ascii="宋体" w:hAnsi="宋体" w:eastAsia="宋体" w:cs="宋体"/>
          <w:color w:val="000000"/>
          <w:kern w:val="0"/>
          <w:sz w:val="22"/>
          <w:szCs w:val="22"/>
          <w:lang w:val="zh-CN"/>
        </w:rPr>
        <w:t>计量</w:t>
      </w:r>
    </w:p>
    <w:p w14:paraId="039ED9F0">
      <w:pPr>
        <w:tabs>
          <w:tab w:val="left" w:pos="9120"/>
        </w:tabs>
        <w:autoSpaceDE w:val="0"/>
        <w:autoSpaceDN w:val="0"/>
        <w:snapToGrid w:val="0"/>
        <w:ind w:firstLine="440" w:firstLineChars="200"/>
        <w:jc w:val="left"/>
        <w:rPr>
          <w:rFonts w:hint="eastAsia" w:ascii="宋体" w:hAnsi="宋体" w:eastAsia="宋体" w:cs="宋体"/>
          <w:color w:val="000000"/>
          <w:kern w:val="0"/>
          <w:sz w:val="22"/>
          <w:szCs w:val="22"/>
          <w:lang w:val="zh-CN"/>
        </w:rPr>
      </w:pPr>
      <w:r>
        <w:rPr>
          <w:rFonts w:hint="eastAsia" w:ascii="宋体" w:hAnsi="宋体" w:eastAsia="宋体" w:cs="宋体"/>
          <w:color w:val="000000"/>
          <w:kern w:val="0"/>
          <w:sz w:val="22"/>
          <w:szCs w:val="22"/>
          <w:lang w:val="zh-CN"/>
        </w:rPr>
        <w:t>17.1.5 本项目工程量清单中总额价子目的支付原则和支付进度：</w:t>
      </w:r>
      <w:r>
        <w:rPr>
          <w:rFonts w:hint="eastAsia" w:ascii="宋体" w:hAnsi="宋体" w:eastAsia="宋体" w:cs="宋体"/>
          <w:color w:val="000000"/>
          <w:kern w:val="0"/>
          <w:sz w:val="22"/>
          <w:szCs w:val="22"/>
          <w:u w:val="single"/>
        </w:rPr>
        <w:t>按月进行计量，建设单位与审计部门沟通后确定。</w:t>
      </w:r>
      <w:r>
        <w:rPr>
          <w:rFonts w:hint="eastAsia" w:ascii="宋体" w:hAnsi="宋体" w:eastAsia="宋体" w:cs="宋体"/>
          <w:color w:val="000000"/>
          <w:kern w:val="0"/>
          <w:sz w:val="22"/>
          <w:szCs w:val="22"/>
          <w:u w:val="single"/>
          <w:lang w:val="zh-CN"/>
        </w:rPr>
        <w:t xml:space="preserve"> </w:t>
      </w:r>
      <w:r>
        <w:rPr>
          <w:rFonts w:hint="eastAsia" w:ascii="宋体" w:hAnsi="宋体" w:eastAsia="宋体" w:cs="宋体"/>
          <w:color w:val="000000"/>
          <w:kern w:val="0"/>
          <w:sz w:val="22"/>
          <w:szCs w:val="22"/>
          <w:u w:val="single"/>
        </w:rPr>
        <w:t xml:space="preserve">       </w:t>
      </w:r>
    </w:p>
    <w:p w14:paraId="33458C40">
      <w:pPr>
        <w:autoSpaceDE w:val="0"/>
        <w:autoSpaceDN w:val="0"/>
        <w:snapToGrid w:val="0"/>
        <w:ind w:firstLine="440" w:firstLineChars="200"/>
        <w:jc w:val="left"/>
        <w:rPr>
          <w:rFonts w:hint="eastAsia" w:ascii="宋体" w:hAnsi="宋体" w:eastAsia="宋体" w:cs="宋体"/>
          <w:color w:val="000000"/>
          <w:kern w:val="0"/>
          <w:sz w:val="22"/>
          <w:szCs w:val="22"/>
          <w:lang w:val="zh-CN"/>
        </w:rPr>
      </w:pPr>
      <w:bookmarkStart w:id="521" w:name="_bookmark265"/>
      <w:bookmarkEnd w:id="521"/>
      <w:r>
        <w:rPr>
          <w:rFonts w:hint="eastAsia" w:ascii="宋体" w:hAnsi="宋体" w:eastAsia="宋体" w:cs="宋体"/>
          <w:color w:val="000000"/>
          <w:kern w:val="0"/>
          <w:sz w:val="22"/>
          <w:szCs w:val="22"/>
          <w:lang w:val="zh-CN"/>
        </w:rPr>
        <w:t>17.3</w:t>
      </w:r>
      <w:r>
        <w:rPr>
          <w:rFonts w:hint="eastAsia" w:ascii="宋体" w:hAnsi="宋体" w:eastAsia="宋体" w:cs="宋体"/>
          <w:color w:val="000000"/>
          <w:spacing w:val="58"/>
          <w:kern w:val="0"/>
          <w:sz w:val="22"/>
          <w:szCs w:val="22"/>
          <w:lang w:val="zh-CN"/>
        </w:rPr>
        <w:t xml:space="preserve"> </w:t>
      </w:r>
      <w:r>
        <w:rPr>
          <w:rFonts w:hint="eastAsia" w:ascii="宋体" w:hAnsi="宋体" w:eastAsia="宋体" w:cs="宋体"/>
          <w:color w:val="000000"/>
          <w:kern w:val="0"/>
          <w:sz w:val="22"/>
          <w:szCs w:val="22"/>
          <w:lang w:val="zh-CN"/>
        </w:rPr>
        <w:t>工程进度付款</w:t>
      </w:r>
    </w:p>
    <w:p w14:paraId="6351D641">
      <w:pPr>
        <w:keepNext w:val="0"/>
        <w:keepLines w:val="0"/>
        <w:pageBreakBefore w:val="0"/>
        <w:widowControl w:val="0"/>
        <w:tabs>
          <w:tab w:val="left" w:pos="3780"/>
        </w:tabs>
        <w:kinsoku/>
        <w:wordWrap/>
        <w:overflowPunct/>
        <w:topLinePunct w:val="0"/>
        <w:autoSpaceDE/>
        <w:autoSpaceDN/>
        <w:bidi w:val="0"/>
        <w:adjustRightInd/>
        <w:spacing w:line="240" w:lineRule="exact"/>
        <w:ind w:firstLine="440" w:firstLineChars="200"/>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 xml:space="preserve">（1）付款条件说明： 合同生效后 ，达到付款条件起 30 日内，支付合同总金额的 30.00%。 </w:t>
      </w:r>
    </w:p>
    <w:p w14:paraId="0D2A5864">
      <w:pPr>
        <w:keepNext w:val="0"/>
        <w:keepLines w:val="0"/>
        <w:pageBreakBefore w:val="0"/>
        <w:widowControl/>
        <w:suppressLineNumbers w:val="0"/>
        <w:kinsoku/>
        <w:wordWrap/>
        <w:overflowPunct/>
        <w:topLinePunct w:val="0"/>
        <w:autoSpaceDE/>
        <w:autoSpaceDN/>
        <w:bidi w:val="0"/>
        <w:adjustRightInd/>
        <w:snapToGrid/>
        <w:ind w:firstLine="440" w:firstLineChars="200"/>
        <w:jc w:val="left"/>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 xml:space="preserve">（2）付款条件说明：主线工程完工后 ，达到付款条件起 30 日内，支付合同总金额的 50.00%。 </w:t>
      </w:r>
    </w:p>
    <w:p w14:paraId="07610A77">
      <w:pPr>
        <w:keepNext w:val="0"/>
        <w:keepLines w:val="0"/>
        <w:pageBreakBefore w:val="0"/>
        <w:widowControl w:val="0"/>
        <w:tabs>
          <w:tab w:val="left" w:pos="3780"/>
        </w:tabs>
        <w:kinsoku/>
        <w:wordWrap/>
        <w:overflowPunct/>
        <w:topLinePunct w:val="0"/>
        <w:autoSpaceDE/>
        <w:autoSpaceDN/>
        <w:bidi w:val="0"/>
        <w:adjustRightInd/>
        <w:spacing w:line="240" w:lineRule="exact"/>
        <w:ind w:firstLine="440" w:firstLineChars="200"/>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 xml:space="preserve">（3）付款条件说明： 验收合格后 ，达到付款条件起 30 日内，支付合同总金额的 17.00%。 </w:t>
      </w:r>
    </w:p>
    <w:p w14:paraId="50DA8BD9">
      <w:pPr>
        <w:pStyle w:val="7"/>
        <w:keepNext w:val="0"/>
        <w:keepLines w:val="0"/>
        <w:pageBreakBefore w:val="0"/>
        <w:widowControl w:val="0"/>
        <w:kinsoku/>
        <w:wordWrap/>
        <w:overflowPunct/>
        <w:topLinePunct w:val="0"/>
        <w:autoSpaceDE/>
        <w:autoSpaceDN/>
        <w:bidi w:val="0"/>
        <w:adjustRightInd/>
        <w:spacing w:line="240" w:lineRule="exact"/>
        <w:textAlignment w:val="auto"/>
        <w:rPr>
          <w:rFonts w:hint="eastAsia" w:ascii="宋体" w:hAnsi="宋体" w:eastAsia="宋体" w:cs="宋体"/>
          <w:color w:val="auto"/>
          <w:sz w:val="22"/>
          <w:szCs w:val="22"/>
          <w:lang w:val="zh-CN"/>
        </w:rPr>
      </w:pPr>
      <w:r>
        <w:rPr>
          <w:rFonts w:hint="eastAsia" w:ascii="宋体" w:hAnsi="宋体" w:eastAsia="宋体" w:cs="宋体"/>
          <w:color w:val="auto"/>
          <w:sz w:val="22"/>
          <w:szCs w:val="22"/>
          <w:lang w:val="en-US" w:eastAsia="zh-CN"/>
        </w:rPr>
        <w:t>（4）付款条件说明： 质保期结束后 ，达到付款条件起 30 日内，支付合同总金额的 3.00%。</w:t>
      </w:r>
    </w:p>
    <w:p w14:paraId="41A52972">
      <w:pPr>
        <w:tabs>
          <w:tab w:val="left" w:pos="9120"/>
        </w:tabs>
        <w:autoSpaceDE w:val="0"/>
        <w:autoSpaceDN w:val="0"/>
        <w:snapToGrid w:val="0"/>
        <w:ind w:firstLine="440" w:firstLineChars="200"/>
        <w:jc w:val="left"/>
        <w:rPr>
          <w:rFonts w:hint="eastAsia" w:ascii="宋体" w:hAnsi="宋体" w:eastAsia="宋体" w:cs="宋体"/>
          <w:color w:val="000000"/>
          <w:kern w:val="0"/>
          <w:sz w:val="22"/>
          <w:szCs w:val="22"/>
          <w:u w:val="single"/>
          <w:lang w:val="zh-CN"/>
        </w:rPr>
      </w:pPr>
      <w:r>
        <w:rPr>
          <w:rFonts w:hint="eastAsia" w:ascii="宋体" w:hAnsi="宋体" w:eastAsia="宋体" w:cs="宋体"/>
          <w:color w:val="000000"/>
          <w:kern w:val="0"/>
          <w:sz w:val="22"/>
          <w:szCs w:val="22"/>
          <w:lang w:val="zh-CN"/>
        </w:rPr>
        <w:t>17.3.5  农民工工资保证金的缴存时间：</w:t>
      </w:r>
      <w:r>
        <w:rPr>
          <w:rFonts w:hint="eastAsia" w:ascii="宋体" w:hAnsi="宋体" w:eastAsia="宋体" w:cs="宋体"/>
          <w:color w:val="000000"/>
          <w:kern w:val="0"/>
          <w:sz w:val="22"/>
          <w:szCs w:val="22"/>
          <w:u w:val="single"/>
          <w:lang w:val="zh-CN"/>
        </w:rPr>
        <w:t xml:space="preserve">                         </w:t>
      </w:r>
    </w:p>
    <w:p w14:paraId="58811A22">
      <w:pPr>
        <w:tabs>
          <w:tab w:val="left" w:pos="9120"/>
        </w:tabs>
        <w:autoSpaceDE w:val="0"/>
        <w:autoSpaceDN w:val="0"/>
        <w:snapToGrid w:val="0"/>
        <w:ind w:firstLine="440" w:firstLineChars="200"/>
        <w:jc w:val="left"/>
        <w:rPr>
          <w:rFonts w:hint="eastAsia" w:ascii="宋体" w:hAnsi="宋体" w:eastAsia="宋体" w:cs="宋体"/>
          <w:color w:val="000000"/>
          <w:kern w:val="0"/>
          <w:sz w:val="22"/>
          <w:szCs w:val="22"/>
          <w:lang w:val="zh-CN"/>
        </w:rPr>
      </w:pPr>
      <w:r>
        <w:rPr>
          <w:rFonts w:hint="eastAsia" w:ascii="宋体" w:hAnsi="宋体" w:eastAsia="宋体" w:cs="宋体"/>
          <w:color w:val="000000"/>
          <w:kern w:val="0"/>
          <w:sz w:val="22"/>
          <w:szCs w:val="22"/>
          <w:lang w:val="zh-CN"/>
        </w:rPr>
        <w:t>农民工工资保证金的缴存金额：</w:t>
      </w:r>
      <w:r>
        <w:rPr>
          <w:rFonts w:hint="eastAsia" w:ascii="宋体" w:hAnsi="宋体" w:eastAsia="宋体" w:cs="宋体"/>
          <w:color w:val="000000"/>
          <w:kern w:val="0"/>
          <w:sz w:val="22"/>
          <w:szCs w:val="22"/>
          <w:u w:val="single"/>
          <w:lang w:val="zh-CN"/>
        </w:rPr>
        <w:t xml:space="preserve">                         </w:t>
      </w:r>
      <w:r>
        <w:rPr>
          <w:rFonts w:hint="eastAsia" w:ascii="宋体" w:hAnsi="宋体" w:eastAsia="宋体" w:cs="宋体"/>
          <w:color w:val="000000"/>
          <w:kern w:val="0"/>
          <w:sz w:val="22"/>
          <w:szCs w:val="22"/>
          <w:lang w:val="zh-CN"/>
        </w:rPr>
        <w:t xml:space="preserve">                        </w:t>
      </w:r>
    </w:p>
    <w:p w14:paraId="66EA3D8B">
      <w:pPr>
        <w:tabs>
          <w:tab w:val="left" w:pos="9120"/>
        </w:tabs>
        <w:autoSpaceDE w:val="0"/>
        <w:autoSpaceDN w:val="0"/>
        <w:snapToGrid w:val="0"/>
        <w:ind w:firstLine="440" w:firstLineChars="200"/>
        <w:jc w:val="left"/>
        <w:rPr>
          <w:rFonts w:hint="eastAsia" w:ascii="宋体" w:hAnsi="宋体" w:eastAsia="宋体" w:cs="宋体"/>
          <w:color w:val="000000"/>
          <w:kern w:val="0"/>
          <w:sz w:val="22"/>
          <w:szCs w:val="22"/>
          <w:lang w:val="zh-CN"/>
        </w:rPr>
      </w:pPr>
      <w:r>
        <w:rPr>
          <w:rFonts w:hint="eastAsia" w:ascii="宋体" w:hAnsi="宋体" w:eastAsia="宋体" w:cs="宋体"/>
          <w:color w:val="000000"/>
          <w:kern w:val="0"/>
          <w:sz w:val="22"/>
          <w:szCs w:val="22"/>
          <w:lang w:val="zh-CN"/>
        </w:rPr>
        <w:t>农民工工资保证金的扣留条件：</w:t>
      </w:r>
      <w:r>
        <w:rPr>
          <w:rFonts w:hint="eastAsia" w:ascii="宋体" w:hAnsi="宋体" w:eastAsia="宋体" w:cs="宋体"/>
          <w:color w:val="000000"/>
          <w:kern w:val="0"/>
          <w:sz w:val="22"/>
          <w:szCs w:val="22"/>
          <w:u w:val="single"/>
          <w:lang w:val="zh-CN"/>
        </w:rPr>
        <w:t xml:space="preserve">                         </w:t>
      </w:r>
      <w:r>
        <w:rPr>
          <w:rFonts w:hint="eastAsia" w:ascii="宋体" w:hAnsi="宋体" w:eastAsia="宋体" w:cs="宋体"/>
          <w:color w:val="000000"/>
          <w:kern w:val="0"/>
          <w:sz w:val="22"/>
          <w:szCs w:val="22"/>
          <w:lang w:val="zh-CN"/>
        </w:rPr>
        <w:t xml:space="preserve">                       </w:t>
      </w:r>
    </w:p>
    <w:p w14:paraId="67E91287">
      <w:pPr>
        <w:tabs>
          <w:tab w:val="left" w:pos="9120"/>
        </w:tabs>
        <w:autoSpaceDE w:val="0"/>
        <w:autoSpaceDN w:val="0"/>
        <w:snapToGrid w:val="0"/>
        <w:ind w:firstLine="440" w:firstLineChars="200"/>
        <w:jc w:val="left"/>
        <w:rPr>
          <w:rFonts w:hint="eastAsia" w:ascii="宋体" w:hAnsi="宋体" w:eastAsia="宋体" w:cs="宋体"/>
          <w:color w:val="000000"/>
          <w:kern w:val="0"/>
          <w:sz w:val="22"/>
          <w:szCs w:val="22"/>
          <w:lang w:val="zh-CN"/>
        </w:rPr>
      </w:pPr>
      <w:r>
        <w:rPr>
          <w:rFonts w:hint="eastAsia" w:ascii="宋体" w:hAnsi="宋体" w:eastAsia="宋体" w:cs="宋体"/>
          <w:color w:val="000000"/>
          <w:kern w:val="0"/>
          <w:sz w:val="22"/>
          <w:szCs w:val="22"/>
          <w:lang w:val="zh-CN"/>
        </w:rPr>
        <w:t>农民工工资保证金的返还时间：</w:t>
      </w:r>
      <w:r>
        <w:rPr>
          <w:rFonts w:hint="eastAsia" w:ascii="宋体" w:hAnsi="宋体" w:eastAsia="宋体" w:cs="宋体"/>
          <w:color w:val="000000"/>
          <w:kern w:val="0"/>
          <w:sz w:val="22"/>
          <w:szCs w:val="22"/>
          <w:u w:val="single"/>
          <w:lang w:val="zh-CN"/>
        </w:rPr>
        <w:t xml:space="preserve">                         </w:t>
      </w:r>
      <w:r>
        <w:rPr>
          <w:rFonts w:hint="eastAsia" w:ascii="宋体" w:hAnsi="宋体" w:eastAsia="宋体" w:cs="宋体"/>
          <w:color w:val="000000"/>
          <w:kern w:val="0"/>
          <w:sz w:val="22"/>
          <w:szCs w:val="22"/>
          <w:lang w:val="zh-CN"/>
        </w:rPr>
        <w:t xml:space="preserve">                        </w:t>
      </w:r>
    </w:p>
    <w:p w14:paraId="6E5C10EA">
      <w:pPr>
        <w:tabs>
          <w:tab w:val="left" w:pos="9120"/>
        </w:tabs>
        <w:autoSpaceDE w:val="0"/>
        <w:autoSpaceDN w:val="0"/>
        <w:snapToGrid w:val="0"/>
        <w:ind w:firstLine="440" w:firstLineChars="200"/>
        <w:jc w:val="left"/>
        <w:rPr>
          <w:rFonts w:hint="eastAsia" w:ascii="宋体" w:hAnsi="宋体" w:eastAsia="宋体" w:cs="宋体"/>
          <w:color w:val="000000"/>
          <w:kern w:val="0"/>
          <w:sz w:val="22"/>
          <w:szCs w:val="22"/>
          <w:lang w:val="zh-CN"/>
        </w:rPr>
      </w:pPr>
      <w:r>
        <w:rPr>
          <w:rFonts w:hint="eastAsia" w:ascii="宋体" w:hAnsi="宋体" w:eastAsia="宋体" w:cs="宋体"/>
          <w:color w:val="000000"/>
          <w:kern w:val="0"/>
          <w:sz w:val="22"/>
          <w:szCs w:val="22"/>
          <w:lang w:val="zh-CN"/>
        </w:rPr>
        <w:t>21.1  不可抗力的确认</w:t>
      </w:r>
    </w:p>
    <w:p w14:paraId="072F226C">
      <w:pPr>
        <w:tabs>
          <w:tab w:val="left" w:pos="9120"/>
        </w:tabs>
        <w:autoSpaceDE w:val="0"/>
        <w:autoSpaceDN w:val="0"/>
        <w:snapToGrid w:val="0"/>
        <w:ind w:firstLine="440" w:firstLineChars="200"/>
        <w:jc w:val="left"/>
        <w:rPr>
          <w:rFonts w:hint="eastAsia" w:ascii="宋体" w:hAnsi="宋体" w:eastAsia="宋体" w:cs="宋体"/>
          <w:color w:val="000000"/>
          <w:kern w:val="0"/>
          <w:sz w:val="22"/>
          <w:szCs w:val="22"/>
          <w:lang w:val="zh-CN"/>
        </w:rPr>
      </w:pPr>
      <w:r>
        <w:rPr>
          <w:rFonts w:hint="eastAsia" w:ascii="宋体" w:hAnsi="宋体" w:eastAsia="宋体" w:cs="宋体"/>
          <w:color w:val="000000"/>
          <w:kern w:val="0"/>
          <w:sz w:val="22"/>
          <w:szCs w:val="22"/>
          <w:lang w:val="zh-CN"/>
        </w:rPr>
        <w:t>21.1.1  （6）不可抗力的其他情形：</w:t>
      </w:r>
      <w:r>
        <w:rPr>
          <w:rFonts w:hint="eastAsia" w:ascii="宋体" w:hAnsi="宋体" w:eastAsia="宋体" w:cs="宋体"/>
          <w:color w:val="000000"/>
          <w:kern w:val="0"/>
          <w:sz w:val="22"/>
          <w:szCs w:val="22"/>
          <w:u w:val="single"/>
          <w:lang w:val="zh-CN"/>
        </w:rPr>
        <w:t xml:space="preserve">                       </w:t>
      </w:r>
      <w:r>
        <w:rPr>
          <w:rFonts w:hint="eastAsia" w:ascii="宋体" w:hAnsi="宋体" w:eastAsia="宋体" w:cs="宋体"/>
          <w:color w:val="000000"/>
          <w:kern w:val="0"/>
          <w:sz w:val="22"/>
          <w:szCs w:val="22"/>
          <w:lang w:val="zh-CN"/>
        </w:rPr>
        <w:t xml:space="preserve">       </w:t>
      </w:r>
    </w:p>
    <w:p w14:paraId="296CBDF5">
      <w:pPr>
        <w:tabs>
          <w:tab w:val="left" w:pos="9120"/>
        </w:tabs>
        <w:autoSpaceDE w:val="0"/>
        <w:autoSpaceDN w:val="0"/>
        <w:snapToGrid w:val="0"/>
        <w:ind w:firstLine="440" w:firstLineChars="200"/>
        <w:jc w:val="left"/>
        <w:rPr>
          <w:rFonts w:hint="eastAsia" w:ascii="宋体" w:hAnsi="宋体" w:eastAsia="宋体" w:cs="宋体"/>
          <w:color w:val="000000"/>
          <w:kern w:val="0"/>
          <w:sz w:val="22"/>
          <w:szCs w:val="22"/>
          <w:lang w:val="zh-CN"/>
        </w:rPr>
      </w:pPr>
      <w:bookmarkStart w:id="522" w:name="bookmark278"/>
      <w:bookmarkEnd w:id="522"/>
      <w:r>
        <w:rPr>
          <w:rFonts w:hint="eastAsia" w:ascii="宋体" w:hAnsi="宋体" w:eastAsia="宋体" w:cs="宋体"/>
          <w:color w:val="000000"/>
          <w:kern w:val="0"/>
          <w:sz w:val="22"/>
          <w:szCs w:val="22"/>
          <w:lang w:val="zh-CN"/>
        </w:rPr>
        <w:t>22.1  承包人违约</w:t>
      </w:r>
    </w:p>
    <w:p w14:paraId="09B34C14">
      <w:pPr>
        <w:tabs>
          <w:tab w:val="left" w:pos="9120"/>
        </w:tabs>
        <w:autoSpaceDE w:val="0"/>
        <w:autoSpaceDN w:val="0"/>
        <w:snapToGrid w:val="0"/>
        <w:ind w:firstLine="440" w:firstLineChars="200"/>
        <w:jc w:val="left"/>
        <w:rPr>
          <w:rFonts w:hint="eastAsia" w:ascii="宋体" w:hAnsi="宋体" w:eastAsia="宋体" w:cs="宋体"/>
          <w:color w:val="000000"/>
          <w:kern w:val="0"/>
          <w:sz w:val="22"/>
          <w:szCs w:val="22"/>
          <w:lang w:val="zh-CN"/>
        </w:rPr>
      </w:pPr>
      <w:r>
        <w:rPr>
          <w:rFonts w:hint="eastAsia" w:ascii="宋体" w:hAnsi="宋体" w:eastAsia="宋体" w:cs="宋体"/>
          <w:color w:val="000000"/>
          <w:kern w:val="0"/>
          <w:sz w:val="22"/>
          <w:szCs w:val="22"/>
          <w:lang w:val="zh-CN"/>
        </w:rPr>
        <w:t>22.1.2  当承包人发生第 22.1.1 项约定的违约情况时，发包人有权向承包人</w:t>
      </w:r>
      <w:r>
        <w:rPr>
          <w:rFonts w:hint="eastAsia" w:ascii="宋体" w:hAnsi="宋体" w:eastAsia="宋体" w:cs="宋体"/>
          <w:color w:val="000000"/>
          <w:kern w:val="0"/>
          <w:sz w:val="22"/>
          <w:szCs w:val="22"/>
          <w:lang w:val="en-US" w:eastAsia="zh-CN"/>
        </w:rPr>
        <w:t>罚</w:t>
      </w:r>
      <w:r>
        <w:rPr>
          <w:rFonts w:hint="eastAsia" w:ascii="宋体" w:hAnsi="宋体" w:eastAsia="宋体" w:cs="宋体"/>
          <w:color w:val="000000"/>
          <w:kern w:val="0"/>
          <w:sz w:val="22"/>
          <w:szCs w:val="22"/>
          <w:lang w:val="zh-CN"/>
        </w:rPr>
        <w:t>以违约金，具体约定如下：</w:t>
      </w:r>
      <w:r>
        <w:rPr>
          <w:rFonts w:hint="eastAsia" w:ascii="宋体" w:hAnsi="宋体" w:eastAsia="宋体" w:cs="宋体"/>
          <w:color w:val="000000"/>
          <w:kern w:val="0"/>
          <w:sz w:val="22"/>
          <w:szCs w:val="22"/>
          <w:u w:val="single"/>
          <w:lang w:val="en-US" w:eastAsia="zh-CN"/>
        </w:rPr>
        <w:t xml:space="preserve">                      </w:t>
      </w:r>
      <w:r>
        <w:rPr>
          <w:rFonts w:hint="eastAsia" w:ascii="宋体" w:hAnsi="宋体" w:eastAsia="宋体" w:cs="宋体"/>
          <w:color w:val="000000"/>
          <w:kern w:val="0"/>
          <w:sz w:val="22"/>
          <w:szCs w:val="22"/>
          <w:lang w:val="zh-CN"/>
        </w:rPr>
        <w:t xml:space="preserve">                                </w:t>
      </w:r>
    </w:p>
    <w:p w14:paraId="385DB68A">
      <w:pPr>
        <w:tabs>
          <w:tab w:val="left" w:pos="9120"/>
        </w:tabs>
        <w:autoSpaceDE w:val="0"/>
        <w:autoSpaceDN w:val="0"/>
        <w:snapToGrid w:val="0"/>
        <w:ind w:firstLine="440" w:firstLineChars="200"/>
        <w:jc w:val="left"/>
        <w:rPr>
          <w:rFonts w:hint="eastAsia" w:ascii="宋体" w:hAnsi="宋体" w:eastAsia="宋体" w:cs="宋体"/>
          <w:color w:val="000000"/>
          <w:kern w:val="0"/>
          <w:sz w:val="22"/>
          <w:szCs w:val="22"/>
          <w:lang w:val="zh-CN"/>
        </w:rPr>
      </w:pPr>
      <w:bookmarkStart w:id="523" w:name="bookmark279"/>
      <w:bookmarkEnd w:id="523"/>
      <w:r>
        <w:rPr>
          <w:rFonts w:hint="eastAsia" w:ascii="宋体" w:hAnsi="宋体" w:eastAsia="宋体" w:cs="宋体"/>
          <w:color w:val="000000"/>
          <w:kern w:val="0"/>
          <w:sz w:val="22"/>
          <w:szCs w:val="22"/>
          <w:lang w:val="zh-CN"/>
        </w:rPr>
        <w:t>22.2  发包人违约</w:t>
      </w:r>
    </w:p>
    <w:p w14:paraId="131CC437">
      <w:pPr>
        <w:tabs>
          <w:tab w:val="left" w:pos="9120"/>
        </w:tabs>
        <w:autoSpaceDE w:val="0"/>
        <w:autoSpaceDN w:val="0"/>
        <w:snapToGrid w:val="0"/>
        <w:ind w:firstLine="440" w:firstLineChars="200"/>
        <w:jc w:val="left"/>
        <w:rPr>
          <w:rFonts w:hint="eastAsia" w:ascii="宋体" w:hAnsi="宋体" w:eastAsia="宋体" w:cs="宋体"/>
          <w:color w:val="000000"/>
          <w:kern w:val="0"/>
          <w:sz w:val="22"/>
          <w:szCs w:val="22"/>
          <w:lang w:val="zh-CN"/>
        </w:rPr>
      </w:pPr>
      <w:r>
        <w:rPr>
          <w:rFonts w:hint="eastAsia" w:ascii="宋体" w:hAnsi="宋体" w:eastAsia="宋体" w:cs="宋体"/>
          <w:color w:val="000000"/>
          <w:kern w:val="0"/>
          <w:sz w:val="22"/>
          <w:szCs w:val="22"/>
          <w:lang w:val="zh-CN"/>
        </w:rPr>
        <w:t>22.2.2  发包人无正当理由不按时返还履约保证金、质量保证金或农民工工资保 证金的，发包人应向承包人支付的违约金如下：</w:t>
      </w:r>
      <w:r>
        <w:rPr>
          <w:rFonts w:hint="eastAsia" w:ascii="宋体" w:hAnsi="宋体" w:eastAsia="宋体" w:cs="宋体"/>
          <w:color w:val="000000"/>
          <w:kern w:val="0"/>
          <w:sz w:val="22"/>
          <w:szCs w:val="22"/>
          <w:u w:val="single"/>
          <w:lang w:val="en-US" w:eastAsia="zh-CN"/>
        </w:rPr>
        <w:t xml:space="preserve">                      </w:t>
      </w:r>
      <w:r>
        <w:rPr>
          <w:rFonts w:hint="eastAsia" w:ascii="宋体" w:hAnsi="宋体" w:eastAsia="宋体" w:cs="宋体"/>
          <w:color w:val="000000"/>
          <w:kern w:val="0"/>
          <w:sz w:val="22"/>
          <w:szCs w:val="22"/>
          <w:lang w:val="zh-CN"/>
        </w:rPr>
        <w:t xml:space="preserve">                                </w:t>
      </w:r>
    </w:p>
    <w:p w14:paraId="488D3448">
      <w:pPr>
        <w:tabs>
          <w:tab w:val="left" w:pos="9120"/>
        </w:tabs>
        <w:autoSpaceDE w:val="0"/>
        <w:autoSpaceDN w:val="0"/>
        <w:snapToGrid w:val="0"/>
        <w:ind w:firstLine="440" w:firstLineChars="200"/>
        <w:jc w:val="left"/>
        <w:rPr>
          <w:rFonts w:hint="eastAsia" w:ascii="宋体" w:hAnsi="宋体" w:eastAsia="宋体" w:cs="宋体"/>
          <w:color w:val="000000"/>
          <w:kern w:val="0"/>
          <w:sz w:val="22"/>
          <w:szCs w:val="22"/>
          <w:lang w:val="zh-CN"/>
        </w:rPr>
      </w:pPr>
    </w:p>
    <w:bookmarkEnd w:id="513"/>
    <w:bookmarkEnd w:id="514"/>
    <w:bookmarkEnd w:id="515"/>
    <w:bookmarkEnd w:id="516"/>
    <w:p w14:paraId="6549FF5F">
      <w:pPr>
        <w:widowControl/>
        <w:spacing w:after="200" w:line="276" w:lineRule="auto"/>
        <w:jc w:val="center"/>
        <w:rPr>
          <w:rFonts w:hint="eastAsia" w:ascii="宋体" w:hAnsi="宋体" w:eastAsia="宋体" w:cs="宋体"/>
          <w:color w:val="0C0C0C"/>
          <w:kern w:val="0"/>
          <w:sz w:val="28"/>
          <w:szCs w:val="28"/>
        </w:rPr>
      </w:pPr>
      <w:r>
        <w:rPr>
          <w:rFonts w:hint="eastAsia" w:ascii="宋体" w:hAnsi="宋体" w:eastAsia="宋体" w:cs="宋体"/>
          <w:color w:val="0C0C0C"/>
          <w:sz w:val="22"/>
        </w:rPr>
        <w:br w:type="page"/>
      </w:r>
    </w:p>
    <w:p w14:paraId="2510502E">
      <w:pPr>
        <w:spacing w:line="276" w:lineRule="auto"/>
        <w:jc w:val="center"/>
        <w:rPr>
          <w:rFonts w:hint="eastAsia" w:ascii="宋体" w:hAnsi="宋体" w:eastAsia="宋体" w:cs="宋体"/>
          <w:b/>
          <w:color w:val="0C0C0C"/>
          <w:sz w:val="22"/>
        </w:rPr>
      </w:pPr>
      <w:bookmarkStart w:id="524" w:name="_Toc120443088"/>
      <w:bookmarkStart w:id="525" w:name="_Toc139464394"/>
      <w:bookmarkStart w:id="526" w:name="_Toc139462830"/>
      <w:bookmarkStart w:id="527" w:name="_Toc139463629"/>
      <w:r>
        <w:rPr>
          <w:rFonts w:hint="eastAsia" w:ascii="宋体" w:hAnsi="宋体" w:eastAsia="宋体" w:cs="宋体"/>
          <w:b/>
          <w:color w:val="0C0C0C"/>
          <w:sz w:val="22"/>
        </w:rPr>
        <w:t>第三节　合同附件格式</w:t>
      </w:r>
      <w:bookmarkEnd w:id="524"/>
      <w:bookmarkEnd w:id="525"/>
      <w:bookmarkEnd w:id="526"/>
      <w:bookmarkEnd w:id="527"/>
    </w:p>
    <w:p w14:paraId="33E56DA0">
      <w:pPr>
        <w:pStyle w:val="3"/>
        <w:snapToGrid w:val="0"/>
        <w:spacing w:before="0" w:after="0" w:line="240" w:lineRule="auto"/>
        <w:ind w:firstLine="440"/>
        <w:contextualSpacing/>
        <w:rPr>
          <w:rFonts w:hint="eastAsia" w:ascii="宋体" w:hAnsi="宋体" w:eastAsia="宋体" w:cs="宋体"/>
          <w:color w:val="0C0C0C"/>
          <w:sz w:val="22"/>
          <w:szCs w:val="24"/>
        </w:rPr>
      </w:pPr>
      <w:bookmarkStart w:id="528" w:name="_Toc152042547"/>
      <w:bookmarkStart w:id="529" w:name="_Toc179632786"/>
      <w:bookmarkStart w:id="530" w:name="_Toc492453816"/>
      <w:bookmarkStart w:id="531" w:name="_Toc139463630"/>
      <w:bookmarkStart w:id="532" w:name="_Toc120443089"/>
      <w:bookmarkStart w:id="533" w:name="_Toc508705451"/>
      <w:bookmarkStart w:id="534" w:name="_Toc144974827"/>
      <w:bookmarkStart w:id="535" w:name="_Toc508699219"/>
      <w:bookmarkStart w:id="536" w:name="_Toc152045768"/>
      <w:bookmarkStart w:id="537" w:name="_Toc139464395"/>
      <w:bookmarkStart w:id="538" w:name="_Toc139462831"/>
      <w:r>
        <w:rPr>
          <w:rFonts w:hint="eastAsia" w:ascii="宋体" w:hAnsi="宋体" w:eastAsia="宋体" w:cs="宋体"/>
          <w:color w:val="0C0C0C"/>
          <w:sz w:val="22"/>
          <w:szCs w:val="24"/>
        </w:rPr>
        <w:t>附件一：合同协议书</w:t>
      </w:r>
      <w:bookmarkEnd w:id="528"/>
      <w:bookmarkEnd w:id="529"/>
      <w:bookmarkEnd w:id="530"/>
      <w:bookmarkEnd w:id="531"/>
      <w:bookmarkEnd w:id="532"/>
      <w:bookmarkEnd w:id="533"/>
      <w:bookmarkEnd w:id="534"/>
      <w:bookmarkEnd w:id="535"/>
      <w:bookmarkEnd w:id="536"/>
      <w:bookmarkEnd w:id="537"/>
      <w:bookmarkEnd w:id="538"/>
    </w:p>
    <w:p w14:paraId="590E04F7">
      <w:pPr>
        <w:spacing w:line="360" w:lineRule="auto"/>
        <w:jc w:val="center"/>
        <w:rPr>
          <w:rFonts w:hint="eastAsia" w:ascii="宋体" w:hAnsi="宋体" w:eastAsia="宋体" w:cs="宋体"/>
          <w:color w:val="0C0C0C"/>
          <w:sz w:val="28"/>
        </w:rPr>
      </w:pPr>
      <w:r>
        <w:rPr>
          <w:rFonts w:hint="eastAsia" w:ascii="宋体" w:hAnsi="宋体" w:eastAsia="宋体" w:cs="宋体"/>
          <w:color w:val="0C0C0C"/>
          <w:sz w:val="28"/>
        </w:rPr>
        <w:t>合同协议书</w:t>
      </w:r>
    </w:p>
    <w:p w14:paraId="2727ED2C">
      <w:pPr>
        <w:widowControl/>
        <w:spacing w:line="360" w:lineRule="auto"/>
        <w:ind w:firstLine="660" w:firstLineChars="300"/>
        <w:jc w:val="left"/>
        <w:rPr>
          <w:rFonts w:hint="eastAsia" w:ascii="宋体" w:hAnsi="宋体" w:eastAsia="宋体" w:cs="宋体"/>
          <w:color w:val="0C0C0C"/>
          <w:kern w:val="96"/>
          <w:sz w:val="22"/>
          <w:szCs w:val="21"/>
        </w:rPr>
      </w:pPr>
      <w:r>
        <w:rPr>
          <w:rFonts w:hint="eastAsia" w:ascii="宋体" w:hAnsi="宋体" w:eastAsia="宋体" w:cs="宋体"/>
          <w:color w:val="0C0C0C"/>
          <w:kern w:val="96"/>
          <w:sz w:val="22"/>
          <w:szCs w:val="21"/>
          <w:u w:val="single"/>
        </w:rPr>
        <w:t xml:space="preserve">         </w:t>
      </w:r>
      <w:r>
        <w:rPr>
          <w:rFonts w:hint="eastAsia" w:ascii="宋体" w:hAnsi="宋体" w:eastAsia="宋体" w:cs="宋体"/>
          <w:color w:val="0C0C0C"/>
          <w:kern w:val="96"/>
          <w:sz w:val="22"/>
          <w:szCs w:val="21"/>
        </w:rPr>
        <w:t>（发包人名称，以下简称“发包人”）为实施</w:t>
      </w:r>
      <w:r>
        <w:rPr>
          <w:rFonts w:hint="eastAsia" w:ascii="宋体" w:hAnsi="宋体" w:eastAsia="宋体" w:cs="宋体"/>
          <w:color w:val="0C0C0C"/>
          <w:kern w:val="96"/>
          <w:sz w:val="22"/>
          <w:szCs w:val="21"/>
          <w:u w:val="single"/>
        </w:rPr>
        <w:t xml:space="preserve">                 </w:t>
      </w:r>
      <w:r>
        <w:rPr>
          <w:rFonts w:hint="eastAsia" w:ascii="宋体" w:hAnsi="宋体" w:eastAsia="宋体" w:cs="宋体"/>
          <w:color w:val="0C0C0C"/>
          <w:kern w:val="96"/>
          <w:sz w:val="22"/>
          <w:szCs w:val="21"/>
        </w:rPr>
        <w:t>（项目名称），已接受</w:t>
      </w:r>
      <w:r>
        <w:rPr>
          <w:rFonts w:hint="eastAsia" w:ascii="宋体" w:hAnsi="宋体" w:eastAsia="宋体" w:cs="宋体"/>
          <w:color w:val="0C0C0C"/>
          <w:kern w:val="96"/>
          <w:sz w:val="22"/>
          <w:szCs w:val="21"/>
          <w:u w:val="single"/>
        </w:rPr>
        <w:t xml:space="preserve">             </w:t>
      </w:r>
      <w:r>
        <w:rPr>
          <w:rFonts w:hint="eastAsia" w:ascii="宋体" w:hAnsi="宋体" w:eastAsia="宋体" w:cs="宋体"/>
          <w:color w:val="0C0C0C"/>
          <w:kern w:val="96"/>
          <w:sz w:val="22"/>
          <w:szCs w:val="21"/>
        </w:rPr>
        <w:t>（承包人名称，以下简称“承包人”）对该项目</w:t>
      </w:r>
      <w:r>
        <w:rPr>
          <w:rFonts w:hint="eastAsia" w:ascii="宋体" w:hAnsi="宋体" w:eastAsia="宋体" w:cs="宋体"/>
          <w:color w:val="0C0C0C"/>
          <w:kern w:val="96"/>
          <w:sz w:val="22"/>
          <w:szCs w:val="21"/>
          <w:u w:val="single"/>
        </w:rPr>
        <w:t xml:space="preserve">      </w:t>
      </w:r>
      <w:r>
        <w:rPr>
          <w:rFonts w:hint="eastAsia" w:ascii="宋体" w:hAnsi="宋体" w:eastAsia="宋体" w:cs="宋体"/>
          <w:color w:val="0C0C0C"/>
          <w:kern w:val="96"/>
          <w:sz w:val="22"/>
          <w:szCs w:val="21"/>
        </w:rPr>
        <w:t>施工的投标。发包人和承包人共同达成如下协议。</w:t>
      </w:r>
    </w:p>
    <w:p w14:paraId="432CE2A6">
      <w:pPr>
        <w:widowControl/>
        <w:spacing w:line="360" w:lineRule="auto"/>
        <w:ind w:left="315" w:leftChars="150" w:firstLine="110" w:firstLineChars="50"/>
        <w:jc w:val="left"/>
        <w:rPr>
          <w:rFonts w:hint="eastAsia" w:ascii="宋体" w:hAnsi="宋体" w:eastAsia="宋体" w:cs="宋体"/>
          <w:color w:val="0C0C0C"/>
          <w:kern w:val="96"/>
          <w:sz w:val="22"/>
          <w:szCs w:val="21"/>
        </w:rPr>
      </w:pPr>
      <w:r>
        <w:rPr>
          <w:rFonts w:hint="eastAsia" w:ascii="宋体" w:hAnsi="宋体" w:eastAsia="宋体" w:cs="宋体"/>
          <w:color w:val="0C0C0C"/>
          <w:kern w:val="96"/>
          <w:sz w:val="22"/>
          <w:szCs w:val="21"/>
        </w:rPr>
        <w:t>1．项目概况：该项目</w:t>
      </w:r>
      <w:r>
        <w:rPr>
          <w:rFonts w:hint="eastAsia" w:ascii="宋体" w:hAnsi="宋体" w:eastAsia="宋体" w:cs="宋体"/>
          <w:color w:val="0C0C0C"/>
          <w:kern w:val="0"/>
          <w:sz w:val="22"/>
          <w:szCs w:val="21"/>
        </w:rPr>
        <w:t>，起止桩号为K</w:t>
      </w:r>
      <w:r>
        <w:rPr>
          <w:rFonts w:hint="eastAsia" w:ascii="宋体" w:hAnsi="宋体" w:eastAsia="宋体" w:cs="宋体"/>
          <w:color w:val="0C0C0C"/>
          <w:kern w:val="0"/>
          <w:sz w:val="22"/>
          <w:szCs w:val="21"/>
          <w:u w:val="single"/>
        </w:rPr>
        <w:t xml:space="preserve">     </w:t>
      </w:r>
      <w:r>
        <w:rPr>
          <w:rFonts w:hint="eastAsia" w:ascii="宋体" w:hAnsi="宋体" w:eastAsia="宋体" w:cs="宋体"/>
          <w:color w:val="0C0C0C"/>
          <w:kern w:val="0"/>
          <w:sz w:val="22"/>
          <w:szCs w:val="21"/>
        </w:rPr>
        <w:t>-  K</w:t>
      </w:r>
      <w:r>
        <w:rPr>
          <w:rFonts w:hint="eastAsia" w:ascii="宋体" w:hAnsi="宋体" w:eastAsia="宋体" w:cs="宋体"/>
          <w:color w:val="0C0C0C"/>
          <w:kern w:val="0"/>
          <w:sz w:val="22"/>
          <w:szCs w:val="21"/>
          <w:u w:val="single"/>
        </w:rPr>
        <w:t xml:space="preserve">      </w:t>
      </w:r>
      <w:r>
        <w:rPr>
          <w:rFonts w:hint="eastAsia" w:ascii="宋体" w:hAnsi="宋体" w:eastAsia="宋体" w:cs="宋体"/>
          <w:color w:val="0C0C0C"/>
          <w:kern w:val="0"/>
          <w:sz w:val="22"/>
          <w:szCs w:val="21"/>
        </w:rPr>
        <w:t>至K</w:t>
      </w:r>
      <w:r>
        <w:rPr>
          <w:rFonts w:hint="eastAsia" w:ascii="宋体" w:hAnsi="宋体" w:eastAsia="宋体" w:cs="宋体"/>
          <w:color w:val="0C0C0C"/>
          <w:kern w:val="0"/>
          <w:sz w:val="22"/>
          <w:szCs w:val="21"/>
          <w:u w:val="single"/>
        </w:rPr>
        <w:t xml:space="preserve">     </w:t>
      </w:r>
      <w:r>
        <w:rPr>
          <w:rFonts w:hint="eastAsia" w:ascii="宋体" w:hAnsi="宋体" w:eastAsia="宋体" w:cs="宋体"/>
          <w:color w:val="0C0C0C"/>
          <w:kern w:val="0"/>
          <w:sz w:val="22"/>
          <w:szCs w:val="21"/>
        </w:rPr>
        <w:t>-  K</w:t>
      </w:r>
      <w:r>
        <w:rPr>
          <w:rFonts w:hint="eastAsia" w:ascii="宋体" w:hAnsi="宋体" w:eastAsia="宋体" w:cs="宋体"/>
          <w:color w:val="0C0C0C"/>
          <w:kern w:val="0"/>
          <w:sz w:val="22"/>
          <w:szCs w:val="21"/>
          <w:u w:val="single"/>
        </w:rPr>
        <w:t xml:space="preserve">      </w:t>
      </w:r>
      <w:r>
        <w:rPr>
          <w:rFonts w:hint="eastAsia" w:ascii="宋体" w:hAnsi="宋体" w:eastAsia="宋体" w:cs="宋体"/>
          <w:color w:val="0C0C0C"/>
          <w:kern w:val="0"/>
          <w:sz w:val="22"/>
          <w:szCs w:val="21"/>
        </w:rPr>
        <w:t>，公路等级为</w:t>
      </w:r>
      <w:r>
        <w:rPr>
          <w:rFonts w:hint="eastAsia" w:ascii="宋体" w:hAnsi="宋体" w:eastAsia="宋体" w:cs="宋体"/>
          <w:color w:val="0C0C0C"/>
          <w:kern w:val="0"/>
          <w:sz w:val="22"/>
          <w:szCs w:val="21"/>
          <w:u w:val="single"/>
        </w:rPr>
        <w:t xml:space="preserve">   </w:t>
      </w:r>
      <w:r>
        <w:rPr>
          <w:rFonts w:hint="eastAsia" w:ascii="宋体" w:hAnsi="宋体" w:eastAsia="宋体" w:cs="宋体"/>
          <w:color w:val="0C0C0C"/>
          <w:kern w:val="0"/>
          <w:sz w:val="22"/>
          <w:szCs w:val="21"/>
        </w:rPr>
        <w:t>，设计速度为</w:t>
      </w:r>
      <w:r>
        <w:rPr>
          <w:rFonts w:hint="eastAsia" w:ascii="宋体" w:hAnsi="宋体" w:eastAsia="宋体" w:cs="宋体"/>
          <w:color w:val="0C0C0C"/>
          <w:kern w:val="0"/>
          <w:sz w:val="22"/>
          <w:szCs w:val="21"/>
          <w:u w:val="single"/>
        </w:rPr>
        <w:t xml:space="preserve">   </w:t>
      </w:r>
      <w:r>
        <w:rPr>
          <w:rFonts w:hint="eastAsia" w:ascii="宋体" w:hAnsi="宋体" w:eastAsia="宋体" w:cs="宋体"/>
          <w:color w:val="0C0C0C"/>
          <w:kern w:val="0"/>
          <w:sz w:val="22"/>
          <w:szCs w:val="21"/>
        </w:rPr>
        <w:t>，</w:t>
      </w:r>
      <w:r>
        <w:rPr>
          <w:rFonts w:hint="eastAsia" w:ascii="宋体" w:hAnsi="宋体" w:eastAsia="宋体" w:cs="宋体"/>
          <w:color w:val="0C0C0C"/>
          <w:kern w:val="0"/>
          <w:sz w:val="22"/>
          <w:szCs w:val="21"/>
          <w:u w:val="single"/>
        </w:rPr>
        <w:t xml:space="preserve">     </w:t>
      </w:r>
      <w:r>
        <w:rPr>
          <w:rFonts w:hint="eastAsia" w:ascii="宋体" w:hAnsi="宋体" w:eastAsia="宋体" w:cs="宋体"/>
          <w:color w:val="0C0C0C"/>
          <w:kern w:val="0"/>
          <w:sz w:val="22"/>
          <w:szCs w:val="21"/>
        </w:rPr>
        <w:t>路面，长约</w:t>
      </w:r>
      <w:r>
        <w:rPr>
          <w:rFonts w:hint="eastAsia" w:ascii="宋体" w:hAnsi="宋体" w:eastAsia="宋体" w:cs="宋体"/>
          <w:color w:val="0C0C0C"/>
          <w:kern w:val="0"/>
          <w:sz w:val="22"/>
          <w:szCs w:val="21"/>
          <w:u w:val="single"/>
        </w:rPr>
        <w:t xml:space="preserve">    </w:t>
      </w:r>
      <w:r>
        <w:rPr>
          <w:rFonts w:hint="eastAsia" w:ascii="宋体" w:hAnsi="宋体" w:eastAsia="宋体" w:cs="宋体"/>
          <w:color w:val="0C0C0C"/>
          <w:kern w:val="0"/>
          <w:sz w:val="22"/>
          <w:szCs w:val="21"/>
        </w:rPr>
        <w:t>km。</w:t>
      </w:r>
      <w:r>
        <w:rPr>
          <w:rFonts w:hint="eastAsia" w:ascii="宋体" w:hAnsi="宋体" w:eastAsia="宋体" w:cs="宋体"/>
          <w:color w:val="0C0C0C"/>
          <w:kern w:val="96"/>
          <w:sz w:val="22"/>
          <w:szCs w:val="21"/>
        </w:rPr>
        <w:t xml:space="preserve"> </w:t>
      </w:r>
    </w:p>
    <w:p w14:paraId="1215A6AB">
      <w:pPr>
        <w:widowControl/>
        <w:spacing w:line="360" w:lineRule="auto"/>
        <w:ind w:firstLine="440" w:firstLineChars="200"/>
        <w:jc w:val="left"/>
        <w:rPr>
          <w:rFonts w:hint="eastAsia" w:ascii="宋体" w:hAnsi="宋体" w:eastAsia="宋体" w:cs="宋体"/>
          <w:color w:val="0C0C0C"/>
          <w:kern w:val="96"/>
          <w:sz w:val="22"/>
          <w:szCs w:val="21"/>
        </w:rPr>
      </w:pPr>
      <w:r>
        <w:rPr>
          <w:rFonts w:hint="eastAsia" w:ascii="宋体" w:hAnsi="宋体" w:eastAsia="宋体" w:cs="宋体"/>
          <w:color w:val="0C0C0C"/>
          <w:kern w:val="96"/>
          <w:sz w:val="22"/>
          <w:szCs w:val="21"/>
        </w:rPr>
        <w:t>2. 下列文件应视为构成合同文件的组成部分：</w:t>
      </w:r>
    </w:p>
    <w:p w14:paraId="7702F4ED">
      <w:pPr>
        <w:widowControl/>
        <w:spacing w:line="360" w:lineRule="auto"/>
        <w:ind w:firstLine="440" w:firstLineChars="200"/>
        <w:jc w:val="left"/>
        <w:rPr>
          <w:rFonts w:hint="eastAsia" w:ascii="宋体" w:hAnsi="宋体" w:eastAsia="宋体" w:cs="宋体"/>
          <w:color w:val="0C0C0C"/>
          <w:kern w:val="96"/>
          <w:sz w:val="22"/>
          <w:szCs w:val="21"/>
        </w:rPr>
      </w:pPr>
      <w:r>
        <w:rPr>
          <w:rFonts w:hint="eastAsia" w:ascii="宋体" w:hAnsi="宋体" w:eastAsia="宋体" w:cs="宋体"/>
          <w:color w:val="0C0C0C"/>
          <w:kern w:val="96"/>
          <w:sz w:val="22"/>
          <w:szCs w:val="21"/>
        </w:rPr>
        <w:t>（1）本协议书及各种合同附件（含评标期间和合同协商过程中的澄清文件和补充资料）；</w:t>
      </w:r>
    </w:p>
    <w:p w14:paraId="37DA12D9">
      <w:pPr>
        <w:widowControl/>
        <w:spacing w:line="360" w:lineRule="auto"/>
        <w:ind w:firstLine="440" w:firstLineChars="200"/>
        <w:jc w:val="left"/>
        <w:rPr>
          <w:rFonts w:hint="eastAsia" w:ascii="宋体" w:hAnsi="宋体" w:eastAsia="宋体" w:cs="宋体"/>
          <w:color w:val="0C0C0C"/>
          <w:kern w:val="96"/>
          <w:sz w:val="22"/>
          <w:szCs w:val="21"/>
        </w:rPr>
      </w:pPr>
      <w:r>
        <w:rPr>
          <w:rFonts w:hint="eastAsia" w:ascii="宋体" w:hAnsi="宋体" w:eastAsia="宋体" w:cs="宋体"/>
          <w:color w:val="0C0C0C"/>
          <w:kern w:val="96"/>
          <w:sz w:val="22"/>
          <w:szCs w:val="21"/>
        </w:rPr>
        <w:t>（2）中标通知书；</w:t>
      </w:r>
    </w:p>
    <w:p w14:paraId="0F859E4D">
      <w:pPr>
        <w:widowControl/>
        <w:spacing w:line="360" w:lineRule="auto"/>
        <w:ind w:firstLine="440" w:firstLineChars="200"/>
        <w:jc w:val="left"/>
        <w:rPr>
          <w:rFonts w:hint="eastAsia" w:ascii="宋体" w:hAnsi="宋体" w:eastAsia="宋体" w:cs="宋体"/>
          <w:color w:val="0C0C0C"/>
          <w:kern w:val="96"/>
          <w:sz w:val="22"/>
          <w:szCs w:val="21"/>
        </w:rPr>
      </w:pPr>
      <w:r>
        <w:rPr>
          <w:rFonts w:hint="eastAsia" w:ascii="宋体" w:hAnsi="宋体" w:eastAsia="宋体" w:cs="宋体"/>
          <w:color w:val="0C0C0C"/>
          <w:kern w:val="96"/>
          <w:sz w:val="22"/>
          <w:szCs w:val="21"/>
        </w:rPr>
        <w:t>（3）补遗书；</w:t>
      </w:r>
    </w:p>
    <w:p w14:paraId="17C3A1AA">
      <w:pPr>
        <w:widowControl/>
        <w:spacing w:line="360" w:lineRule="auto"/>
        <w:ind w:firstLine="440" w:firstLineChars="200"/>
        <w:jc w:val="left"/>
        <w:rPr>
          <w:rFonts w:hint="eastAsia" w:ascii="宋体" w:hAnsi="宋体" w:eastAsia="宋体" w:cs="宋体"/>
          <w:color w:val="0C0C0C"/>
          <w:kern w:val="96"/>
          <w:sz w:val="22"/>
          <w:szCs w:val="21"/>
        </w:rPr>
      </w:pPr>
      <w:r>
        <w:rPr>
          <w:rFonts w:hint="eastAsia" w:ascii="宋体" w:hAnsi="宋体" w:eastAsia="宋体" w:cs="宋体"/>
          <w:color w:val="0C0C0C"/>
          <w:kern w:val="96"/>
          <w:sz w:val="22"/>
          <w:szCs w:val="21"/>
        </w:rPr>
        <w:t>（4）投标函；</w:t>
      </w:r>
    </w:p>
    <w:p w14:paraId="6901A118">
      <w:pPr>
        <w:widowControl/>
        <w:spacing w:line="360" w:lineRule="auto"/>
        <w:ind w:firstLine="440" w:firstLineChars="200"/>
        <w:jc w:val="left"/>
        <w:rPr>
          <w:rFonts w:hint="eastAsia" w:ascii="宋体" w:hAnsi="宋体" w:eastAsia="宋体" w:cs="宋体"/>
          <w:color w:val="0C0C0C"/>
          <w:kern w:val="96"/>
          <w:sz w:val="22"/>
          <w:szCs w:val="21"/>
        </w:rPr>
      </w:pPr>
      <w:r>
        <w:rPr>
          <w:rFonts w:hint="eastAsia" w:ascii="宋体" w:hAnsi="宋体" w:eastAsia="宋体" w:cs="宋体"/>
          <w:color w:val="0C0C0C"/>
          <w:kern w:val="96"/>
          <w:sz w:val="22"/>
          <w:szCs w:val="21"/>
        </w:rPr>
        <w:t>（5）项目专用合同条款；</w:t>
      </w:r>
    </w:p>
    <w:p w14:paraId="3081A656">
      <w:pPr>
        <w:widowControl/>
        <w:spacing w:line="360" w:lineRule="auto"/>
        <w:ind w:firstLine="440" w:firstLineChars="200"/>
        <w:jc w:val="left"/>
        <w:rPr>
          <w:rFonts w:hint="eastAsia" w:ascii="宋体" w:hAnsi="宋体" w:eastAsia="宋体" w:cs="宋体"/>
          <w:color w:val="0C0C0C"/>
          <w:kern w:val="96"/>
          <w:sz w:val="22"/>
          <w:szCs w:val="21"/>
        </w:rPr>
      </w:pPr>
      <w:r>
        <w:rPr>
          <w:rFonts w:hint="eastAsia" w:ascii="宋体" w:hAnsi="宋体" w:eastAsia="宋体" w:cs="宋体"/>
          <w:color w:val="0C0C0C"/>
          <w:kern w:val="96"/>
          <w:sz w:val="22"/>
          <w:szCs w:val="21"/>
        </w:rPr>
        <w:t>（6）公路工程专用合同条款；</w:t>
      </w:r>
    </w:p>
    <w:p w14:paraId="0576E74D">
      <w:pPr>
        <w:widowControl/>
        <w:spacing w:line="360" w:lineRule="auto"/>
        <w:ind w:firstLine="440" w:firstLineChars="200"/>
        <w:jc w:val="left"/>
        <w:rPr>
          <w:rFonts w:hint="eastAsia" w:ascii="宋体" w:hAnsi="宋体" w:eastAsia="宋体" w:cs="宋体"/>
          <w:color w:val="0C0C0C"/>
          <w:kern w:val="96"/>
          <w:sz w:val="22"/>
          <w:szCs w:val="21"/>
        </w:rPr>
      </w:pPr>
      <w:r>
        <w:rPr>
          <w:rFonts w:hint="eastAsia" w:ascii="宋体" w:hAnsi="宋体" w:eastAsia="宋体" w:cs="宋体"/>
          <w:color w:val="0C0C0C"/>
          <w:kern w:val="96"/>
          <w:sz w:val="22"/>
          <w:szCs w:val="21"/>
        </w:rPr>
        <w:t>（7）通用合同条款；</w:t>
      </w:r>
    </w:p>
    <w:p w14:paraId="2AD86041">
      <w:pPr>
        <w:widowControl/>
        <w:spacing w:line="360" w:lineRule="auto"/>
        <w:ind w:firstLine="440" w:firstLineChars="200"/>
        <w:jc w:val="left"/>
        <w:rPr>
          <w:rFonts w:hint="eastAsia" w:ascii="宋体" w:hAnsi="宋体" w:eastAsia="宋体" w:cs="宋体"/>
          <w:color w:val="0C0C0C"/>
          <w:kern w:val="96"/>
          <w:sz w:val="22"/>
          <w:szCs w:val="21"/>
        </w:rPr>
      </w:pPr>
      <w:r>
        <w:rPr>
          <w:rFonts w:hint="eastAsia" w:ascii="宋体" w:hAnsi="宋体" w:eastAsia="宋体" w:cs="宋体"/>
          <w:color w:val="0C0C0C"/>
          <w:kern w:val="96"/>
          <w:sz w:val="22"/>
          <w:szCs w:val="21"/>
        </w:rPr>
        <w:t>（8）技术规范；</w:t>
      </w:r>
    </w:p>
    <w:p w14:paraId="5D54E773">
      <w:pPr>
        <w:widowControl/>
        <w:spacing w:line="360" w:lineRule="auto"/>
        <w:ind w:firstLine="440" w:firstLineChars="200"/>
        <w:jc w:val="left"/>
        <w:rPr>
          <w:rFonts w:hint="eastAsia" w:ascii="宋体" w:hAnsi="宋体" w:eastAsia="宋体" w:cs="宋体"/>
          <w:color w:val="0C0C0C"/>
          <w:kern w:val="96"/>
          <w:sz w:val="22"/>
          <w:szCs w:val="21"/>
        </w:rPr>
      </w:pPr>
      <w:r>
        <w:rPr>
          <w:rFonts w:hint="eastAsia" w:ascii="宋体" w:hAnsi="宋体" w:eastAsia="宋体" w:cs="宋体"/>
          <w:color w:val="0C0C0C"/>
          <w:kern w:val="96"/>
          <w:sz w:val="22"/>
          <w:szCs w:val="21"/>
        </w:rPr>
        <w:t>（9）图纸；</w:t>
      </w:r>
    </w:p>
    <w:p w14:paraId="038EB47A">
      <w:pPr>
        <w:widowControl/>
        <w:spacing w:line="360" w:lineRule="auto"/>
        <w:ind w:firstLine="440" w:firstLineChars="200"/>
        <w:jc w:val="left"/>
        <w:rPr>
          <w:rFonts w:hint="eastAsia" w:ascii="宋体" w:hAnsi="宋体" w:eastAsia="宋体" w:cs="宋体"/>
          <w:color w:val="0C0C0C"/>
          <w:kern w:val="96"/>
          <w:sz w:val="22"/>
          <w:szCs w:val="21"/>
        </w:rPr>
      </w:pPr>
      <w:r>
        <w:rPr>
          <w:rFonts w:hint="eastAsia" w:ascii="宋体" w:hAnsi="宋体" w:eastAsia="宋体" w:cs="宋体"/>
          <w:color w:val="0C0C0C"/>
          <w:kern w:val="96"/>
          <w:sz w:val="22"/>
          <w:szCs w:val="21"/>
        </w:rPr>
        <w:t>（10）已标价工程量清单；</w:t>
      </w:r>
    </w:p>
    <w:p w14:paraId="00B601FF">
      <w:pPr>
        <w:widowControl/>
        <w:spacing w:line="360" w:lineRule="auto"/>
        <w:ind w:firstLine="440" w:firstLineChars="200"/>
        <w:jc w:val="left"/>
        <w:rPr>
          <w:rFonts w:hint="eastAsia" w:ascii="宋体" w:hAnsi="宋体" w:eastAsia="宋体" w:cs="宋体"/>
          <w:color w:val="0C0C0C"/>
          <w:kern w:val="96"/>
          <w:sz w:val="22"/>
          <w:szCs w:val="21"/>
        </w:rPr>
      </w:pPr>
      <w:r>
        <w:rPr>
          <w:rFonts w:hint="eastAsia" w:ascii="宋体" w:hAnsi="宋体" w:eastAsia="宋体" w:cs="宋体"/>
          <w:color w:val="0C0C0C"/>
          <w:kern w:val="96"/>
          <w:sz w:val="22"/>
          <w:szCs w:val="21"/>
        </w:rPr>
        <w:t>（11）承包人有关人员、设备投入的承诺</w:t>
      </w:r>
    </w:p>
    <w:p w14:paraId="2DF74A22">
      <w:pPr>
        <w:widowControl/>
        <w:spacing w:line="360" w:lineRule="auto"/>
        <w:ind w:firstLine="440" w:firstLineChars="200"/>
        <w:jc w:val="left"/>
        <w:rPr>
          <w:rFonts w:hint="eastAsia" w:ascii="宋体" w:hAnsi="宋体" w:eastAsia="宋体" w:cs="宋体"/>
          <w:color w:val="0C0C0C"/>
          <w:kern w:val="96"/>
          <w:sz w:val="22"/>
          <w:szCs w:val="21"/>
        </w:rPr>
      </w:pPr>
      <w:r>
        <w:rPr>
          <w:rFonts w:hint="eastAsia" w:ascii="宋体" w:hAnsi="宋体" w:eastAsia="宋体" w:cs="宋体"/>
          <w:color w:val="0C0C0C"/>
          <w:kern w:val="96"/>
          <w:sz w:val="22"/>
          <w:szCs w:val="21"/>
        </w:rPr>
        <w:t>（12）其他合同文件。</w:t>
      </w:r>
    </w:p>
    <w:p w14:paraId="071790B6">
      <w:pPr>
        <w:spacing w:line="360" w:lineRule="auto"/>
        <w:ind w:firstLine="440" w:firstLineChars="200"/>
        <w:rPr>
          <w:rFonts w:hint="eastAsia" w:ascii="宋体" w:hAnsi="宋体" w:eastAsia="宋体" w:cs="宋体"/>
          <w:color w:val="0C0C0C"/>
          <w:kern w:val="96"/>
          <w:sz w:val="22"/>
          <w:szCs w:val="21"/>
        </w:rPr>
      </w:pPr>
      <w:r>
        <w:rPr>
          <w:rFonts w:hint="eastAsia" w:ascii="宋体" w:hAnsi="宋体" w:eastAsia="宋体" w:cs="宋体"/>
          <w:color w:val="0C0C0C"/>
          <w:kern w:val="96"/>
          <w:sz w:val="22"/>
          <w:szCs w:val="21"/>
        </w:rPr>
        <w:t>上述合同文件互相补充和解释，如果合同文件之间存在矛盾或不一致之处，以合同约定次序在先者为准。</w:t>
      </w:r>
    </w:p>
    <w:p w14:paraId="66129B24">
      <w:pPr>
        <w:widowControl/>
        <w:spacing w:line="360" w:lineRule="auto"/>
        <w:ind w:firstLine="440" w:firstLineChars="200"/>
        <w:jc w:val="left"/>
        <w:rPr>
          <w:rFonts w:hint="eastAsia" w:ascii="宋体" w:hAnsi="宋体" w:eastAsia="宋体" w:cs="宋体"/>
          <w:color w:val="0C0C0C"/>
          <w:kern w:val="96"/>
          <w:sz w:val="22"/>
          <w:szCs w:val="21"/>
        </w:rPr>
      </w:pPr>
      <w:r>
        <w:rPr>
          <w:rFonts w:hint="eastAsia" w:ascii="宋体" w:hAnsi="宋体" w:eastAsia="宋体" w:cs="宋体"/>
          <w:color w:val="0C0C0C"/>
          <w:kern w:val="96"/>
          <w:sz w:val="22"/>
          <w:szCs w:val="21"/>
        </w:rPr>
        <w:t xml:space="preserve"> 3. 根据工程量清单所列的预计数量和单价或总额价计算的签约合同价：人民币（大写）</w:t>
      </w:r>
      <w:r>
        <w:rPr>
          <w:rFonts w:hint="eastAsia" w:ascii="宋体" w:hAnsi="宋体" w:eastAsia="宋体" w:cs="宋体"/>
          <w:color w:val="0C0C0C"/>
          <w:kern w:val="96"/>
          <w:sz w:val="22"/>
          <w:szCs w:val="21"/>
          <w:u w:val="single"/>
        </w:rPr>
        <w:t xml:space="preserve">           </w:t>
      </w:r>
      <w:r>
        <w:rPr>
          <w:rFonts w:hint="eastAsia" w:ascii="宋体" w:hAnsi="宋体" w:eastAsia="宋体" w:cs="宋体"/>
          <w:color w:val="0C0C0C"/>
          <w:kern w:val="96"/>
          <w:sz w:val="22"/>
          <w:szCs w:val="21"/>
        </w:rPr>
        <w:t>元（¥</w:t>
      </w:r>
      <w:r>
        <w:rPr>
          <w:rFonts w:hint="eastAsia" w:ascii="宋体" w:hAnsi="宋体" w:eastAsia="宋体" w:cs="宋体"/>
          <w:color w:val="0C0C0C"/>
          <w:kern w:val="96"/>
          <w:sz w:val="22"/>
          <w:szCs w:val="21"/>
          <w:u w:val="single"/>
        </w:rPr>
        <w:t xml:space="preserve">       元</w:t>
      </w:r>
      <w:r>
        <w:rPr>
          <w:rFonts w:hint="eastAsia" w:ascii="宋体" w:hAnsi="宋体" w:eastAsia="宋体" w:cs="宋体"/>
          <w:color w:val="0C0C0C"/>
          <w:kern w:val="96"/>
          <w:sz w:val="22"/>
          <w:szCs w:val="21"/>
        </w:rPr>
        <w:t>）。</w:t>
      </w:r>
    </w:p>
    <w:p w14:paraId="516E6DA5">
      <w:pPr>
        <w:widowControl/>
        <w:spacing w:line="360" w:lineRule="auto"/>
        <w:ind w:firstLine="440" w:firstLineChars="200"/>
        <w:jc w:val="left"/>
        <w:rPr>
          <w:rFonts w:hint="eastAsia" w:ascii="宋体" w:hAnsi="宋体" w:eastAsia="宋体" w:cs="宋体"/>
          <w:color w:val="0C0C0C"/>
          <w:kern w:val="96"/>
          <w:sz w:val="22"/>
          <w:szCs w:val="21"/>
        </w:rPr>
      </w:pPr>
      <w:r>
        <w:rPr>
          <w:rFonts w:hint="eastAsia" w:ascii="宋体" w:hAnsi="宋体" w:eastAsia="宋体" w:cs="宋体"/>
          <w:color w:val="0C0C0C"/>
          <w:kern w:val="96"/>
          <w:sz w:val="22"/>
          <w:szCs w:val="21"/>
        </w:rPr>
        <w:t>4. 承包人项目经理：</w:t>
      </w:r>
      <w:r>
        <w:rPr>
          <w:rFonts w:hint="eastAsia" w:ascii="宋体" w:hAnsi="宋体" w:eastAsia="宋体" w:cs="宋体"/>
          <w:color w:val="0C0C0C"/>
          <w:kern w:val="96"/>
          <w:sz w:val="22"/>
          <w:szCs w:val="21"/>
          <w:u w:val="single"/>
        </w:rPr>
        <w:t xml:space="preserve">             </w:t>
      </w:r>
      <w:r>
        <w:rPr>
          <w:rFonts w:hint="eastAsia" w:ascii="宋体" w:hAnsi="宋体" w:eastAsia="宋体" w:cs="宋体"/>
          <w:color w:val="0C0C0C"/>
          <w:kern w:val="96"/>
          <w:sz w:val="22"/>
          <w:szCs w:val="21"/>
        </w:rPr>
        <w:t>。承包人项目总工：</w:t>
      </w:r>
      <w:r>
        <w:rPr>
          <w:rFonts w:hint="eastAsia" w:ascii="宋体" w:hAnsi="宋体" w:eastAsia="宋体" w:cs="宋体"/>
          <w:color w:val="0C0C0C"/>
          <w:kern w:val="96"/>
          <w:sz w:val="22"/>
          <w:szCs w:val="21"/>
          <w:u w:val="single"/>
        </w:rPr>
        <w:t xml:space="preserve">             </w:t>
      </w:r>
      <w:r>
        <w:rPr>
          <w:rFonts w:hint="eastAsia" w:ascii="宋体" w:hAnsi="宋体" w:eastAsia="宋体" w:cs="宋体"/>
          <w:color w:val="0C0C0C"/>
          <w:kern w:val="96"/>
          <w:sz w:val="22"/>
          <w:szCs w:val="21"/>
        </w:rPr>
        <w:t>。</w:t>
      </w:r>
    </w:p>
    <w:p w14:paraId="647BE3D1">
      <w:pPr>
        <w:widowControl/>
        <w:spacing w:line="360" w:lineRule="auto"/>
        <w:ind w:firstLine="440" w:firstLineChars="200"/>
        <w:jc w:val="left"/>
        <w:rPr>
          <w:rFonts w:hint="eastAsia" w:ascii="宋体" w:hAnsi="宋体" w:eastAsia="宋体" w:cs="宋体"/>
          <w:color w:val="0C0C0C"/>
          <w:kern w:val="96"/>
          <w:sz w:val="22"/>
          <w:szCs w:val="21"/>
        </w:rPr>
      </w:pPr>
      <w:r>
        <w:rPr>
          <w:rFonts w:hint="eastAsia" w:ascii="宋体" w:hAnsi="宋体" w:eastAsia="宋体" w:cs="宋体"/>
          <w:color w:val="0C0C0C"/>
          <w:kern w:val="96"/>
          <w:sz w:val="22"/>
          <w:szCs w:val="21"/>
        </w:rPr>
        <w:t>5.工程质量符合</w:t>
      </w:r>
      <w:r>
        <w:rPr>
          <w:rFonts w:hint="eastAsia" w:ascii="宋体" w:hAnsi="宋体" w:eastAsia="宋体" w:cs="宋体"/>
          <w:color w:val="0C0C0C"/>
          <w:kern w:val="96"/>
          <w:sz w:val="22"/>
          <w:szCs w:val="21"/>
          <w:u w:val="single"/>
        </w:rPr>
        <w:t xml:space="preserve">                   </w:t>
      </w:r>
      <w:r>
        <w:rPr>
          <w:rFonts w:hint="eastAsia" w:ascii="宋体" w:hAnsi="宋体" w:eastAsia="宋体" w:cs="宋体"/>
          <w:color w:val="0C0C0C"/>
          <w:kern w:val="96"/>
          <w:sz w:val="22"/>
          <w:szCs w:val="21"/>
        </w:rPr>
        <w:t>标准。工程安全目标：</w:t>
      </w:r>
      <w:r>
        <w:rPr>
          <w:rFonts w:hint="eastAsia" w:ascii="宋体" w:hAnsi="宋体" w:eastAsia="宋体" w:cs="宋体"/>
          <w:color w:val="0C0C0C"/>
          <w:kern w:val="96"/>
          <w:sz w:val="22"/>
          <w:szCs w:val="21"/>
          <w:u w:val="single"/>
        </w:rPr>
        <w:t xml:space="preserve">               </w:t>
      </w:r>
    </w:p>
    <w:p w14:paraId="75998946">
      <w:pPr>
        <w:widowControl/>
        <w:spacing w:line="360" w:lineRule="auto"/>
        <w:ind w:firstLine="440" w:firstLineChars="200"/>
        <w:jc w:val="left"/>
        <w:rPr>
          <w:rFonts w:hint="eastAsia" w:ascii="宋体" w:hAnsi="宋体" w:eastAsia="宋体" w:cs="宋体"/>
          <w:color w:val="0C0C0C"/>
          <w:kern w:val="96"/>
          <w:sz w:val="22"/>
          <w:szCs w:val="21"/>
        </w:rPr>
      </w:pPr>
      <w:r>
        <w:rPr>
          <w:rFonts w:hint="eastAsia" w:ascii="宋体" w:hAnsi="宋体" w:eastAsia="宋体" w:cs="宋体"/>
          <w:color w:val="0C0C0C"/>
          <w:kern w:val="96"/>
          <w:sz w:val="22"/>
          <w:szCs w:val="21"/>
        </w:rPr>
        <w:t>6. 承包人承诺按合同约定承担工程的实施、完成及缺陷修复。</w:t>
      </w:r>
    </w:p>
    <w:p w14:paraId="0FD67A4D">
      <w:pPr>
        <w:widowControl/>
        <w:spacing w:line="360" w:lineRule="auto"/>
        <w:ind w:firstLine="440" w:firstLineChars="200"/>
        <w:jc w:val="left"/>
        <w:rPr>
          <w:rFonts w:hint="eastAsia" w:ascii="宋体" w:hAnsi="宋体" w:eastAsia="宋体" w:cs="宋体"/>
          <w:color w:val="0C0C0C"/>
          <w:kern w:val="96"/>
          <w:sz w:val="22"/>
          <w:szCs w:val="21"/>
        </w:rPr>
      </w:pPr>
      <w:r>
        <w:rPr>
          <w:rFonts w:hint="eastAsia" w:ascii="宋体" w:hAnsi="宋体" w:eastAsia="宋体" w:cs="宋体"/>
          <w:color w:val="0C0C0C"/>
          <w:kern w:val="96"/>
          <w:sz w:val="22"/>
          <w:szCs w:val="21"/>
        </w:rPr>
        <w:t>7. 发包人承诺按合同约定的条件、时间和方式向承包人支付合同价款。</w:t>
      </w:r>
    </w:p>
    <w:p w14:paraId="37321016">
      <w:pPr>
        <w:widowControl/>
        <w:spacing w:line="360" w:lineRule="auto"/>
        <w:ind w:firstLine="440" w:firstLineChars="200"/>
        <w:jc w:val="left"/>
        <w:rPr>
          <w:rFonts w:hint="eastAsia" w:ascii="宋体" w:hAnsi="宋体" w:eastAsia="宋体" w:cs="宋体"/>
          <w:color w:val="0C0C0C"/>
          <w:kern w:val="96"/>
          <w:sz w:val="22"/>
          <w:szCs w:val="21"/>
        </w:rPr>
      </w:pPr>
      <w:r>
        <w:rPr>
          <w:rFonts w:hint="eastAsia" w:ascii="宋体" w:hAnsi="宋体" w:eastAsia="宋体" w:cs="宋体"/>
          <w:color w:val="0C0C0C"/>
          <w:kern w:val="96"/>
          <w:sz w:val="22"/>
          <w:szCs w:val="21"/>
        </w:rPr>
        <w:t>8. 承包人应按照监理人指示开工，工期为</w:t>
      </w:r>
      <w:r>
        <w:rPr>
          <w:rFonts w:hint="eastAsia" w:ascii="宋体" w:hAnsi="宋体" w:eastAsia="宋体" w:cs="宋体"/>
          <w:color w:val="0C0C0C"/>
          <w:kern w:val="96"/>
          <w:sz w:val="22"/>
          <w:szCs w:val="21"/>
          <w:u w:val="single"/>
        </w:rPr>
        <w:t xml:space="preserve">   </w:t>
      </w:r>
      <w:r>
        <w:rPr>
          <w:rFonts w:hint="eastAsia" w:ascii="宋体" w:hAnsi="宋体" w:eastAsia="宋体" w:cs="宋体"/>
          <w:color w:val="0C0C0C"/>
          <w:kern w:val="96"/>
          <w:sz w:val="22"/>
          <w:szCs w:val="21"/>
        </w:rPr>
        <w:t>日历天。</w:t>
      </w:r>
    </w:p>
    <w:p w14:paraId="1AD62971">
      <w:pPr>
        <w:widowControl/>
        <w:spacing w:line="360" w:lineRule="auto"/>
        <w:ind w:firstLine="440" w:firstLineChars="200"/>
        <w:jc w:val="left"/>
        <w:rPr>
          <w:rFonts w:hint="eastAsia" w:ascii="宋体" w:hAnsi="宋体" w:eastAsia="宋体" w:cs="宋体"/>
          <w:color w:val="0C0C0C"/>
          <w:kern w:val="96"/>
          <w:sz w:val="22"/>
          <w:szCs w:val="21"/>
        </w:rPr>
      </w:pPr>
      <w:r>
        <w:rPr>
          <w:rFonts w:hint="eastAsia" w:ascii="宋体" w:hAnsi="宋体" w:eastAsia="宋体" w:cs="宋体"/>
          <w:color w:val="0C0C0C"/>
          <w:kern w:val="96"/>
          <w:sz w:val="22"/>
          <w:szCs w:val="21"/>
        </w:rPr>
        <w:t>9. 在施工过程中因施工引起的外界纠纷由承包人自行解决。</w:t>
      </w:r>
    </w:p>
    <w:p w14:paraId="486BC9BE">
      <w:pPr>
        <w:widowControl/>
        <w:spacing w:line="360" w:lineRule="auto"/>
        <w:ind w:firstLine="440" w:firstLineChars="200"/>
        <w:jc w:val="left"/>
        <w:rPr>
          <w:rFonts w:hint="eastAsia" w:ascii="宋体" w:hAnsi="宋体" w:eastAsia="宋体" w:cs="宋体"/>
          <w:color w:val="0C0C0C"/>
          <w:kern w:val="96"/>
          <w:sz w:val="22"/>
          <w:szCs w:val="21"/>
        </w:rPr>
      </w:pPr>
      <w:r>
        <w:rPr>
          <w:rFonts w:hint="eastAsia" w:ascii="宋体" w:hAnsi="宋体" w:eastAsia="宋体" w:cs="宋体"/>
          <w:color w:val="0C0C0C"/>
          <w:kern w:val="96"/>
          <w:sz w:val="22"/>
          <w:szCs w:val="21"/>
        </w:rPr>
        <w:t>10. 本协议书在承包人提供履约担保后，由双方法定代表人或其委托代理人签署并加盖单位章后生效。全部工程完工后经竣交工验收合格、缺陷责任期满签发缺陷责任终止证书后生效。</w:t>
      </w:r>
    </w:p>
    <w:p w14:paraId="6205B0F2">
      <w:pPr>
        <w:widowControl/>
        <w:spacing w:line="360" w:lineRule="auto"/>
        <w:ind w:firstLine="440" w:firstLineChars="200"/>
        <w:jc w:val="left"/>
        <w:rPr>
          <w:rFonts w:hint="eastAsia" w:ascii="宋体" w:hAnsi="宋体" w:eastAsia="宋体" w:cs="宋体"/>
          <w:color w:val="0C0C0C"/>
          <w:kern w:val="96"/>
          <w:sz w:val="22"/>
          <w:szCs w:val="21"/>
        </w:rPr>
      </w:pPr>
      <w:r>
        <w:rPr>
          <w:rFonts w:hint="eastAsia" w:ascii="宋体" w:hAnsi="宋体" w:eastAsia="宋体" w:cs="宋体"/>
          <w:color w:val="0C0C0C"/>
          <w:kern w:val="96"/>
          <w:sz w:val="22"/>
          <w:szCs w:val="21"/>
        </w:rPr>
        <w:t>11.本协议书正本二份、副本</w:t>
      </w:r>
      <w:r>
        <w:rPr>
          <w:rFonts w:hint="eastAsia" w:ascii="宋体" w:hAnsi="宋体" w:eastAsia="宋体" w:cs="宋体"/>
          <w:color w:val="0C0C0C"/>
          <w:kern w:val="96"/>
          <w:sz w:val="22"/>
          <w:szCs w:val="21"/>
          <w:u w:val="single"/>
        </w:rPr>
        <w:t xml:space="preserve">   </w:t>
      </w:r>
      <w:r>
        <w:rPr>
          <w:rFonts w:hint="eastAsia" w:ascii="宋体" w:hAnsi="宋体" w:eastAsia="宋体" w:cs="宋体"/>
          <w:color w:val="0C0C0C"/>
          <w:kern w:val="96"/>
          <w:sz w:val="22"/>
          <w:szCs w:val="21"/>
        </w:rPr>
        <w:t>份，合同双方各执正本一份，副本</w:t>
      </w:r>
      <w:r>
        <w:rPr>
          <w:rFonts w:hint="eastAsia" w:ascii="宋体" w:hAnsi="宋体" w:eastAsia="宋体" w:cs="宋体"/>
          <w:color w:val="0C0C0C"/>
          <w:kern w:val="96"/>
          <w:sz w:val="22"/>
          <w:szCs w:val="21"/>
          <w:u w:val="single"/>
        </w:rPr>
        <w:t xml:space="preserve">   </w:t>
      </w:r>
      <w:r>
        <w:rPr>
          <w:rFonts w:hint="eastAsia" w:ascii="宋体" w:hAnsi="宋体" w:eastAsia="宋体" w:cs="宋体"/>
          <w:color w:val="0C0C0C"/>
          <w:kern w:val="96"/>
          <w:sz w:val="22"/>
          <w:szCs w:val="21"/>
        </w:rPr>
        <w:t>份，当正本与副本的内容不一致时，以正本为准。</w:t>
      </w:r>
    </w:p>
    <w:p w14:paraId="7A2E9C34">
      <w:pPr>
        <w:widowControl/>
        <w:spacing w:line="360" w:lineRule="auto"/>
        <w:ind w:firstLine="440" w:firstLineChars="200"/>
        <w:jc w:val="left"/>
        <w:rPr>
          <w:rFonts w:hint="eastAsia" w:ascii="宋体" w:hAnsi="宋体" w:eastAsia="宋体" w:cs="宋体"/>
          <w:color w:val="0C0C0C"/>
          <w:kern w:val="96"/>
          <w:sz w:val="22"/>
          <w:szCs w:val="21"/>
        </w:rPr>
      </w:pPr>
      <w:r>
        <w:rPr>
          <w:rFonts w:hint="eastAsia" w:ascii="宋体" w:hAnsi="宋体" w:eastAsia="宋体" w:cs="宋体"/>
          <w:color w:val="0C0C0C"/>
          <w:kern w:val="96"/>
          <w:sz w:val="22"/>
          <w:szCs w:val="21"/>
        </w:rPr>
        <w:t>12.本合同未尽事宜，另行签订补充协议。补充协议是合同的组成部分。</w:t>
      </w:r>
    </w:p>
    <w:p w14:paraId="4A8EED34">
      <w:pPr>
        <w:widowControl/>
        <w:spacing w:line="360" w:lineRule="auto"/>
        <w:jc w:val="left"/>
        <w:rPr>
          <w:rFonts w:hint="eastAsia" w:ascii="宋体" w:hAnsi="宋体" w:eastAsia="宋体" w:cs="宋体"/>
          <w:color w:val="0C0C0C"/>
          <w:kern w:val="96"/>
          <w:sz w:val="22"/>
          <w:szCs w:val="21"/>
        </w:rPr>
      </w:pPr>
    </w:p>
    <w:p w14:paraId="643900AB">
      <w:pPr>
        <w:widowControl/>
        <w:spacing w:line="360" w:lineRule="auto"/>
        <w:ind w:firstLine="440" w:firstLineChars="200"/>
        <w:jc w:val="left"/>
        <w:rPr>
          <w:rFonts w:hint="eastAsia" w:ascii="宋体" w:hAnsi="宋体" w:eastAsia="宋体" w:cs="宋体"/>
          <w:color w:val="0C0C0C"/>
          <w:kern w:val="96"/>
          <w:sz w:val="22"/>
          <w:szCs w:val="21"/>
        </w:rPr>
      </w:pPr>
      <w:r>
        <w:rPr>
          <w:rFonts w:hint="eastAsia" w:ascii="宋体" w:hAnsi="宋体" w:eastAsia="宋体" w:cs="宋体"/>
          <w:color w:val="0C0C0C"/>
          <w:kern w:val="96"/>
          <w:sz w:val="22"/>
          <w:szCs w:val="21"/>
        </w:rPr>
        <w:t>发包人：</w:t>
      </w:r>
      <w:r>
        <w:rPr>
          <w:rFonts w:hint="eastAsia" w:ascii="宋体" w:hAnsi="宋体" w:eastAsia="宋体" w:cs="宋体"/>
          <w:color w:val="0C0C0C"/>
          <w:kern w:val="96"/>
          <w:sz w:val="22"/>
          <w:szCs w:val="21"/>
          <w:u w:val="single"/>
        </w:rPr>
        <w:t xml:space="preserve">              </w:t>
      </w:r>
      <w:r>
        <w:rPr>
          <w:rFonts w:hint="eastAsia" w:ascii="宋体" w:hAnsi="宋体" w:eastAsia="宋体" w:cs="宋体"/>
          <w:color w:val="0C0C0C"/>
          <w:kern w:val="0"/>
          <w:sz w:val="22"/>
          <w:szCs w:val="21"/>
        </w:rPr>
        <w:t>（盖单位章）</w:t>
      </w:r>
      <w:r>
        <w:rPr>
          <w:rFonts w:hint="eastAsia" w:ascii="宋体" w:hAnsi="宋体" w:eastAsia="宋体" w:cs="宋体"/>
          <w:color w:val="0C0C0C"/>
          <w:kern w:val="96"/>
          <w:sz w:val="22"/>
          <w:szCs w:val="21"/>
        </w:rPr>
        <w:t xml:space="preserve">      承包人：</w:t>
      </w:r>
      <w:r>
        <w:rPr>
          <w:rFonts w:hint="eastAsia" w:ascii="宋体" w:hAnsi="宋体" w:eastAsia="宋体" w:cs="宋体"/>
          <w:color w:val="0C0C0C"/>
          <w:kern w:val="96"/>
          <w:sz w:val="22"/>
          <w:szCs w:val="21"/>
          <w:u w:val="single"/>
        </w:rPr>
        <w:t xml:space="preserve">             </w:t>
      </w:r>
      <w:r>
        <w:rPr>
          <w:rFonts w:hint="eastAsia" w:ascii="宋体" w:hAnsi="宋体" w:eastAsia="宋体" w:cs="宋体"/>
          <w:color w:val="0C0C0C"/>
          <w:kern w:val="0"/>
          <w:sz w:val="22"/>
          <w:szCs w:val="21"/>
        </w:rPr>
        <w:t>（盖单位章）</w:t>
      </w:r>
    </w:p>
    <w:p w14:paraId="629706E9">
      <w:pPr>
        <w:widowControl/>
        <w:spacing w:line="360" w:lineRule="auto"/>
        <w:ind w:firstLine="440" w:firstLineChars="200"/>
        <w:jc w:val="left"/>
        <w:rPr>
          <w:rFonts w:hint="eastAsia" w:ascii="宋体" w:hAnsi="宋体" w:eastAsia="宋体" w:cs="宋体"/>
          <w:color w:val="0C0C0C"/>
          <w:kern w:val="96"/>
          <w:sz w:val="22"/>
          <w:szCs w:val="21"/>
          <w:u w:val="single"/>
        </w:rPr>
      </w:pPr>
      <w:r>
        <w:rPr>
          <w:rFonts w:hint="eastAsia" w:ascii="宋体" w:hAnsi="宋体" w:eastAsia="宋体" w:cs="宋体"/>
          <w:color w:val="0C0C0C"/>
          <w:kern w:val="96"/>
          <w:sz w:val="22"/>
          <w:szCs w:val="21"/>
        </w:rPr>
        <w:t>法定代表人:</w:t>
      </w:r>
      <w:r>
        <w:rPr>
          <w:rFonts w:hint="eastAsia" w:ascii="宋体" w:hAnsi="宋体" w:eastAsia="宋体" w:cs="宋体"/>
          <w:color w:val="0C0C0C"/>
          <w:kern w:val="96"/>
          <w:sz w:val="22"/>
          <w:szCs w:val="21"/>
          <w:u w:val="single"/>
        </w:rPr>
        <w:t xml:space="preserve">               </w:t>
      </w:r>
      <w:r>
        <w:rPr>
          <w:rFonts w:hint="eastAsia" w:ascii="宋体" w:hAnsi="宋体" w:eastAsia="宋体" w:cs="宋体"/>
          <w:color w:val="0C0C0C"/>
          <w:kern w:val="96"/>
          <w:sz w:val="22"/>
          <w:szCs w:val="21"/>
        </w:rPr>
        <w:t xml:space="preserve">              法定代表人:</w:t>
      </w:r>
      <w:r>
        <w:rPr>
          <w:rFonts w:hint="eastAsia" w:ascii="宋体" w:hAnsi="宋体" w:eastAsia="宋体" w:cs="宋体"/>
          <w:color w:val="0C0C0C"/>
          <w:kern w:val="96"/>
          <w:sz w:val="22"/>
          <w:szCs w:val="21"/>
          <w:u w:val="single"/>
        </w:rPr>
        <w:t xml:space="preserve">               </w:t>
      </w:r>
    </w:p>
    <w:p w14:paraId="21C77F76">
      <w:pPr>
        <w:widowControl/>
        <w:spacing w:after="200" w:line="360" w:lineRule="auto"/>
        <w:ind w:firstLine="440" w:firstLineChars="200"/>
        <w:jc w:val="left"/>
        <w:rPr>
          <w:rFonts w:hint="eastAsia" w:ascii="宋体" w:hAnsi="宋体" w:eastAsia="宋体" w:cs="宋体"/>
          <w:color w:val="0C0C0C"/>
          <w:kern w:val="96"/>
          <w:sz w:val="22"/>
          <w:szCs w:val="21"/>
        </w:rPr>
      </w:pPr>
      <w:r>
        <w:rPr>
          <w:rFonts w:hint="eastAsia" w:ascii="宋体" w:hAnsi="宋体" w:eastAsia="宋体" w:cs="宋体"/>
          <w:color w:val="0C0C0C"/>
          <w:kern w:val="96"/>
          <w:sz w:val="22"/>
          <w:szCs w:val="21"/>
        </w:rPr>
        <w:t>或其委托代理人：</w:t>
      </w:r>
      <w:r>
        <w:rPr>
          <w:rFonts w:hint="eastAsia" w:ascii="宋体" w:hAnsi="宋体" w:eastAsia="宋体" w:cs="宋体"/>
          <w:color w:val="0C0C0C"/>
          <w:kern w:val="96"/>
          <w:sz w:val="22"/>
          <w:szCs w:val="21"/>
          <w:u w:val="single"/>
        </w:rPr>
        <w:t xml:space="preserve">          </w:t>
      </w:r>
      <w:r>
        <w:rPr>
          <w:rFonts w:hint="eastAsia" w:ascii="宋体" w:hAnsi="宋体" w:eastAsia="宋体" w:cs="宋体"/>
          <w:color w:val="0C0C0C"/>
          <w:kern w:val="96"/>
          <w:sz w:val="22"/>
          <w:szCs w:val="21"/>
        </w:rPr>
        <w:t xml:space="preserve"> </w:t>
      </w:r>
      <w:r>
        <w:rPr>
          <w:rFonts w:hint="eastAsia" w:ascii="宋体" w:hAnsi="宋体" w:eastAsia="宋体" w:cs="宋体"/>
          <w:color w:val="0C0C0C"/>
          <w:kern w:val="0"/>
          <w:sz w:val="22"/>
          <w:szCs w:val="21"/>
        </w:rPr>
        <w:t>（签字）</w:t>
      </w:r>
      <w:r>
        <w:rPr>
          <w:rFonts w:hint="eastAsia" w:ascii="宋体" w:hAnsi="宋体" w:eastAsia="宋体" w:cs="宋体"/>
          <w:color w:val="0C0C0C"/>
          <w:kern w:val="96"/>
          <w:sz w:val="22"/>
          <w:szCs w:val="21"/>
        </w:rPr>
        <w:t xml:space="preserve">     或其委托代理人：</w:t>
      </w:r>
      <w:r>
        <w:rPr>
          <w:rFonts w:hint="eastAsia" w:ascii="宋体" w:hAnsi="宋体" w:eastAsia="宋体" w:cs="宋体"/>
          <w:color w:val="0C0C0C"/>
          <w:kern w:val="96"/>
          <w:sz w:val="22"/>
          <w:szCs w:val="21"/>
          <w:u w:val="single"/>
        </w:rPr>
        <w:t xml:space="preserve">        </w:t>
      </w:r>
      <w:r>
        <w:rPr>
          <w:rFonts w:hint="eastAsia" w:ascii="宋体" w:hAnsi="宋体" w:eastAsia="宋体" w:cs="宋体"/>
          <w:color w:val="0C0C0C"/>
          <w:kern w:val="0"/>
          <w:sz w:val="22"/>
          <w:szCs w:val="21"/>
        </w:rPr>
        <w:t>（签字）</w:t>
      </w:r>
    </w:p>
    <w:p w14:paraId="6E46D80C">
      <w:pPr>
        <w:widowControl/>
        <w:snapToGrid w:val="0"/>
        <w:spacing w:after="200" w:line="360" w:lineRule="auto"/>
        <w:ind w:firstLine="440" w:firstLineChars="200"/>
        <w:jc w:val="left"/>
        <w:rPr>
          <w:rFonts w:hint="eastAsia" w:ascii="宋体" w:hAnsi="宋体" w:eastAsia="宋体" w:cs="宋体"/>
          <w:color w:val="0C0C0C"/>
          <w:kern w:val="0"/>
          <w:sz w:val="22"/>
          <w:szCs w:val="21"/>
        </w:rPr>
      </w:pPr>
      <w:r>
        <w:rPr>
          <w:rFonts w:hint="eastAsia" w:ascii="宋体" w:hAnsi="宋体" w:eastAsia="宋体" w:cs="宋体"/>
          <w:color w:val="0C0C0C"/>
          <w:kern w:val="96"/>
          <w:sz w:val="22"/>
          <w:szCs w:val="21"/>
        </w:rPr>
        <w:t xml:space="preserve">                                                   </w:t>
      </w:r>
      <w:r>
        <w:rPr>
          <w:rFonts w:hint="eastAsia" w:ascii="宋体" w:hAnsi="宋体" w:eastAsia="宋体" w:cs="宋体"/>
          <w:color w:val="0C0C0C"/>
          <w:kern w:val="96"/>
          <w:sz w:val="22"/>
          <w:szCs w:val="21"/>
          <w:u w:val="single"/>
        </w:rPr>
        <w:t xml:space="preserve">     </w:t>
      </w:r>
      <w:r>
        <w:rPr>
          <w:rFonts w:hint="eastAsia" w:ascii="宋体" w:hAnsi="宋体" w:eastAsia="宋体" w:cs="宋体"/>
          <w:color w:val="0C0C0C"/>
          <w:kern w:val="96"/>
          <w:sz w:val="22"/>
          <w:szCs w:val="21"/>
        </w:rPr>
        <w:t>年</w:t>
      </w:r>
      <w:r>
        <w:rPr>
          <w:rFonts w:hint="eastAsia" w:ascii="宋体" w:hAnsi="宋体" w:eastAsia="宋体" w:cs="宋体"/>
          <w:color w:val="0C0C0C"/>
          <w:kern w:val="96"/>
          <w:sz w:val="22"/>
          <w:szCs w:val="21"/>
          <w:u w:val="single"/>
        </w:rPr>
        <w:t xml:space="preserve">    </w:t>
      </w:r>
      <w:r>
        <w:rPr>
          <w:rFonts w:hint="eastAsia" w:ascii="宋体" w:hAnsi="宋体" w:eastAsia="宋体" w:cs="宋体"/>
          <w:color w:val="0C0C0C"/>
          <w:kern w:val="96"/>
          <w:sz w:val="22"/>
          <w:szCs w:val="21"/>
        </w:rPr>
        <w:t>月</w:t>
      </w:r>
      <w:r>
        <w:rPr>
          <w:rFonts w:hint="eastAsia" w:ascii="宋体" w:hAnsi="宋体" w:eastAsia="宋体" w:cs="宋体"/>
          <w:color w:val="0C0C0C"/>
          <w:kern w:val="96"/>
          <w:sz w:val="22"/>
          <w:szCs w:val="21"/>
          <w:u w:val="single"/>
        </w:rPr>
        <w:t xml:space="preserve">    </w:t>
      </w:r>
      <w:r>
        <w:rPr>
          <w:rFonts w:hint="eastAsia" w:ascii="宋体" w:hAnsi="宋体" w:eastAsia="宋体" w:cs="宋体"/>
          <w:color w:val="0C0C0C"/>
          <w:kern w:val="96"/>
          <w:sz w:val="22"/>
          <w:szCs w:val="21"/>
        </w:rPr>
        <w:t>日</w:t>
      </w:r>
    </w:p>
    <w:p w14:paraId="3C2FEA62">
      <w:pPr>
        <w:spacing w:line="276" w:lineRule="auto"/>
        <w:rPr>
          <w:rFonts w:hint="eastAsia" w:ascii="宋体" w:hAnsi="宋体" w:eastAsia="宋体" w:cs="宋体"/>
          <w:b/>
          <w:bCs/>
          <w:color w:val="0C0C0C"/>
          <w:kern w:val="0"/>
          <w:sz w:val="24"/>
        </w:rPr>
      </w:pPr>
      <w:r>
        <w:rPr>
          <w:rFonts w:hint="eastAsia" w:ascii="宋体" w:hAnsi="宋体" w:eastAsia="宋体" w:cs="宋体"/>
          <w:b/>
          <w:bCs/>
          <w:color w:val="0C0C0C"/>
          <w:kern w:val="0"/>
          <w:sz w:val="24"/>
        </w:rPr>
        <w:br w:type="page"/>
      </w:r>
    </w:p>
    <w:p w14:paraId="47A8E682">
      <w:pPr>
        <w:pStyle w:val="3"/>
        <w:snapToGrid w:val="0"/>
        <w:spacing w:before="0" w:after="0" w:line="240" w:lineRule="auto"/>
        <w:ind w:firstLine="440"/>
        <w:contextualSpacing/>
        <w:rPr>
          <w:rFonts w:hint="eastAsia" w:ascii="宋体" w:hAnsi="宋体" w:eastAsia="宋体" w:cs="宋体"/>
          <w:color w:val="0C0C0C"/>
          <w:sz w:val="22"/>
          <w:szCs w:val="24"/>
        </w:rPr>
      </w:pPr>
      <w:bookmarkStart w:id="539" w:name="_Toc120443090"/>
      <w:bookmarkStart w:id="540" w:name="_Toc139464396"/>
      <w:bookmarkStart w:id="541" w:name="_Toc139462832"/>
      <w:bookmarkStart w:id="542" w:name="_Toc139463631"/>
      <w:r>
        <w:rPr>
          <w:rFonts w:hint="eastAsia" w:ascii="宋体" w:hAnsi="宋体" w:eastAsia="宋体" w:cs="宋体"/>
          <w:color w:val="0C0C0C"/>
          <w:sz w:val="22"/>
          <w:szCs w:val="24"/>
        </w:rPr>
        <w:t>附件二　廉政合同</w:t>
      </w:r>
      <w:bookmarkEnd w:id="539"/>
      <w:bookmarkEnd w:id="540"/>
      <w:bookmarkEnd w:id="541"/>
      <w:bookmarkEnd w:id="542"/>
    </w:p>
    <w:p w14:paraId="22DCED6C">
      <w:pPr>
        <w:widowControl/>
        <w:spacing w:line="276" w:lineRule="auto"/>
        <w:jc w:val="center"/>
        <w:rPr>
          <w:rFonts w:hint="eastAsia" w:ascii="宋体" w:hAnsi="宋体" w:eastAsia="宋体" w:cs="宋体"/>
          <w:color w:val="0C0C0C"/>
          <w:kern w:val="0"/>
          <w:sz w:val="28"/>
          <w:szCs w:val="28"/>
        </w:rPr>
      </w:pPr>
      <w:r>
        <w:rPr>
          <w:rFonts w:hint="eastAsia" w:ascii="宋体" w:hAnsi="宋体" w:eastAsia="宋体" w:cs="宋体"/>
          <w:color w:val="0C0C0C"/>
          <w:kern w:val="0"/>
          <w:sz w:val="28"/>
          <w:szCs w:val="28"/>
        </w:rPr>
        <w:t>廉政合同</w:t>
      </w:r>
    </w:p>
    <w:p w14:paraId="4F13B65F">
      <w:pPr>
        <w:widowControl/>
        <w:spacing w:line="276" w:lineRule="auto"/>
        <w:ind w:firstLine="440" w:firstLineChars="200"/>
        <w:jc w:val="left"/>
        <w:rPr>
          <w:rFonts w:hint="eastAsia" w:ascii="宋体" w:hAnsi="宋体" w:eastAsia="宋体" w:cs="宋体"/>
          <w:color w:val="0C0C0C"/>
          <w:kern w:val="0"/>
          <w:sz w:val="22"/>
          <w:szCs w:val="21"/>
        </w:rPr>
      </w:pPr>
      <w:r>
        <w:rPr>
          <w:rFonts w:hint="eastAsia" w:ascii="宋体" w:hAnsi="宋体" w:eastAsia="宋体" w:cs="宋体"/>
          <w:color w:val="0C0C0C"/>
          <w:kern w:val="0"/>
          <w:sz w:val="22"/>
          <w:szCs w:val="21"/>
        </w:rPr>
        <w:t>根据《关于在交通基础设施建设中加强廉政建设的若干意见》以及有关工程建设、廉政建设的规定，为做好工程建设中的党风廉政建设，保证工程建设高效优质，保证建设资金的安全和有效使用以及投资效益，</w:t>
      </w:r>
      <w:r>
        <w:rPr>
          <w:rFonts w:hint="eastAsia" w:ascii="宋体" w:hAnsi="宋体" w:eastAsia="宋体" w:cs="宋体"/>
          <w:color w:val="0C0C0C"/>
          <w:kern w:val="0"/>
          <w:sz w:val="22"/>
          <w:szCs w:val="21"/>
          <w:u w:val="single"/>
        </w:rPr>
        <w:t>　　　　　（项目名称）</w:t>
      </w:r>
      <w:r>
        <w:rPr>
          <w:rFonts w:hint="eastAsia" w:ascii="宋体" w:hAnsi="宋体" w:eastAsia="宋体" w:cs="宋体"/>
          <w:color w:val="0C0C0C"/>
          <w:kern w:val="0"/>
          <w:sz w:val="22"/>
          <w:szCs w:val="21"/>
        </w:rPr>
        <w:t>的项目法人</w:t>
      </w:r>
      <w:r>
        <w:rPr>
          <w:rFonts w:hint="eastAsia" w:ascii="宋体" w:hAnsi="宋体" w:eastAsia="宋体" w:cs="宋体"/>
          <w:color w:val="0C0C0C"/>
          <w:kern w:val="0"/>
          <w:sz w:val="22"/>
          <w:szCs w:val="21"/>
          <w:u w:val="single"/>
        </w:rPr>
        <w:t>　　　　</w:t>
      </w:r>
      <w:r>
        <w:rPr>
          <w:rFonts w:hint="eastAsia" w:ascii="宋体" w:hAnsi="宋体" w:eastAsia="宋体" w:cs="宋体"/>
          <w:color w:val="0C0C0C"/>
          <w:kern w:val="0"/>
          <w:sz w:val="22"/>
          <w:szCs w:val="21"/>
        </w:rPr>
        <w:t>（项目法人名称，以下简称“发包人”）与该项目</w:t>
      </w:r>
      <w:r>
        <w:rPr>
          <w:rFonts w:hint="eastAsia" w:ascii="宋体" w:hAnsi="宋体" w:eastAsia="宋体" w:cs="宋体"/>
          <w:color w:val="0C0C0C"/>
          <w:kern w:val="0"/>
          <w:sz w:val="22"/>
          <w:szCs w:val="21"/>
          <w:u w:val="single"/>
        </w:rPr>
        <w:t>　　</w:t>
      </w:r>
      <w:r>
        <w:rPr>
          <w:rFonts w:hint="eastAsia" w:ascii="宋体" w:hAnsi="宋体" w:eastAsia="宋体" w:cs="宋体"/>
          <w:color w:val="0C0C0C"/>
          <w:kern w:val="0"/>
          <w:sz w:val="22"/>
          <w:szCs w:val="21"/>
        </w:rPr>
        <w:t>标段的施工单位</w:t>
      </w:r>
      <w:r>
        <w:rPr>
          <w:rFonts w:hint="eastAsia" w:ascii="宋体" w:hAnsi="宋体" w:eastAsia="宋体" w:cs="宋体"/>
          <w:color w:val="0C0C0C"/>
          <w:kern w:val="0"/>
          <w:sz w:val="22"/>
          <w:szCs w:val="21"/>
          <w:u w:val="single"/>
        </w:rPr>
        <w:t>　　　</w:t>
      </w:r>
      <w:r>
        <w:rPr>
          <w:rFonts w:hint="eastAsia" w:ascii="宋体" w:hAnsi="宋体" w:eastAsia="宋体" w:cs="宋体"/>
          <w:color w:val="0C0C0C"/>
          <w:kern w:val="0"/>
          <w:sz w:val="22"/>
          <w:szCs w:val="21"/>
        </w:rPr>
        <w:t>（施工单位名称，以下简称“承包人”），特订立如下合同。</w:t>
      </w:r>
    </w:p>
    <w:p w14:paraId="3C33D799">
      <w:pPr>
        <w:widowControl/>
        <w:spacing w:line="276" w:lineRule="auto"/>
        <w:jc w:val="left"/>
        <w:rPr>
          <w:rFonts w:hint="eastAsia" w:ascii="宋体" w:hAnsi="宋体" w:eastAsia="宋体" w:cs="宋体"/>
          <w:color w:val="0C0C0C"/>
          <w:kern w:val="0"/>
          <w:sz w:val="22"/>
          <w:szCs w:val="21"/>
        </w:rPr>
      </w:pPr>
      <w:r>
        <w:rPr>
          <w:rFonts w:hint="eastAsia" w:ascii="宋体" w:hAnsi="宋体" w:eastAsia="宋体" w:cs="宋体"/>
          <w:color w:val="0C0C0C"/>
          <w:kern w:val="0"/>
          <w:sz w:val="22"/>
          <w:szCs w:val="21"/>
        </w:rPr>
        <w:t>　　1.发包人和承包人双方的权利和义务</w:t>
      </w:r>
    </w:p>
    <w:p w14:paraId="57550E04">
      <w:pPr>
        <w:widowControl/>
        <w:spacing w:line="276" w:lineRule="auto"/>
        <w:jc w:val="left"/>
        <w:rPr>
          <w:rFonts w:hint="eastAsia" w:ascii="宋体" w:hAnsi="宋体" w:eastAsia="宋体" w:cs="宋体"/>
          <w:color w:val="0C0C0C"/>
          <w:kern w:val="0"/>
          <w:sz w:val="22"/>
          <w:szCs w:val="21"/>
        </w:rPr>
      </w:pPr>
      <w:r>
        <w:rPr>
          <w:rFonts w:hint="eastAsia" w:ascii="宋体" w:hAnsi="宋体" w:eastAsia="宋体" w:cs="宋体"/>
          <w:color w:val="0C0C0C"/>
          <w:kern w:val="0"/>
          <w:sz w:val="22"/>
          <w:szCs w:val="21"/>
        </w:rPr>
        <w:t>　 （1）严格遵守党的政策规定和国家在关法律法规及交通运输部的有关规定。</w:t>
      </w:r>
    </w:p>
    <w:p w14:paraId="396BA150">
      <w:pPr>
        <w:widowControl/>
        <w:spacing w:line="276" w:lineRule="auto"/>
        <w:jc w:val="left"/>
        <w:rPr>
          <w:rFonts w:hint="eastAsia" w:ascii="宋体" w:hAnsi="宋体" w:eastAsia="宋体" w:cs="宋体"/>
          <w:color w:val="0C0C0C"/>
          <w:kern w:val="0"/>
          <w:sz w:val="22"/>
          <w:szCs w:val="21"/>
        </w:rPr>
      </w:pPr>
      <w:r>
        <w:rPr>
          <w:rFonts w:hint="eastAsia" w:ascii="宋体" w:hAnsi="宋体" w:eastAsia="宋体" w:cs="宋体"/>
          <w:color w:val="0C0C0C"/>
          <w:kern w:val="0"/>
          <w:sz w:val="22"/>
          <w:szCs w:val="21"/>
        </w:rPr>
        <w:t>　 （2）严格执行</w:t>
      </w:r>
      <w:r>
        <w:rPr>
          <w:rFonts w:hint="eastAsia" w:ascii="宋体" w:hAnsi="宋体" w:eastAsia="宋体" w:cs="宋体"/>
          <w:color w:val="0C0C0C"/>
          <w:kern w:val="0"/>
          <w:sz w:val="22"/>
          <w:szCs w:val="21"/>
          <w:u w:val="single"/>
        </w:rPr>
        <w:t>　　　</w:t>
      </w:r>
      <w:r>
        <w:rPr>
          <w:rFonts w:hint="eastAsia" w:ascii="宋体" w:hAnsi="宋体" w:eastAsia="宋体" w:cs="宋体"/>
          <w:color w:val="0C0C0C"/>
          <w:kern w:val="0"/>
          <w:sz w:val="22"/>
          <w:szCs w:val="21"/>
        </w:rPr>
        <w:t>（项目名称）</w:t>
      </w:r>
      <w:r>
        <w:rPr>
          <w:rFonts w:hint="eastAsia" w:ascii="宋体" w:hAnsi="宋体" w:eastAsia="宋体" w:cs="宋体"/>
          <w:color w:val="0C0C0C"/>
          <w:kern w:val="0"/>
          <w:sz w:val="22"/>
          <w:szCs w:val="21"/>
          <w:u w:val="single"/>
        </w:rPr>
        <w:t>　　</w:t>
      </w:r>
      <w:r>
        <w:rPr>
          <w:rFonts w:hint="eastAsia" w:ascii="宋体" w:hAnsi="宋体" w:eastAsia="宋体" w:cs="宋体"/>
          <w:color w:val="0C0C0C"/>
          <w:kern w:val="0"/>
          <w:sz w:val="22"/>
          <w:szCs w:val="21"/>
        </w:rPr>
        <w:t>标段施工合同文件，自觉按合同办事。</w:t>
      </w:r>
    </w:p>
    <w:p w14:paraId="7EF41E92">
      <w:pPr>
        <w:widowControl/>
        <w:spacing w:line="276" w:lineRule="auto"/>
        <w:jc w:val="left"/>
        <w:rPr>
          <w:rFonts w:hint="eastAsia" w:ascii="宋体" w:hAnsi="宋体" w:eastAsia="宋体" w:cs="宋体"/>
          <w:color w:val="0C0C0C"/>
          <w:kern w:val="0"/>
          <w:sz w:val="22"/>
          <w:szCs w:val="21"/>
        </w:rPr>
      </w:pPr>
      <w:r>
        <w:rPr>
          <w:rFonts w:hint="eastAsia" w:ascii="宋体" w:hAnsi="宋体" w:eastAsia="宋体" w:cs="宋体"/>
          <w:color w:val="0C0C0C"/>
          <w:kern w:val="0"/>
          <w:sz w:val="22"/>
          <w:szCs w:val="21"/>
        </w:rPr>
        <w:t>　 （3）双方的业务活动坚持公开、公正、诚信、透明的原则（法律认定的商业秘密和合同文件另有规定除外），不得损害国家和集体利益，不得违反工程建设管理规章制度。</w:t>
      </w:r>
    </w:p>
    <w:p w14:paraId="61DD85C9">
      <w:pPr>
        <w:widowControl/>
        <w:spacing w:line="276" w:lineRule="auto"/>
        <w:jc w:val="left"/>
        <w:rPr>
          <w:rFonts w:hint="eastAsia" w:ascii="宋体" w:hAnsi="宋体" w:eastAsia="宋体" w:cs="宋体"/>
          <w:color w:val="0C0C0C"/>
          <w:kern w:val="0"/>
          <w:sz w:val="22"/>
          <w:szCs w:val="21"/>
        </w:rPr>
      </w:pPr>
      <w:r>
        <w:rPr>
          <w:rFonts w:hint="eastAsia" w:ascii="宋体" w:hAnsi="宋体" w:eastAsia="宋体" w:cs="宋体"/>
          <w:color w:val="0C0C0C"/>
          <w:kern w:val="0"/>
          <w:sz w:val="22"/>
          <w:szCs w:val="21"/>
        </w:rPr>
        <w:t>　　（4）建立健全廉政制度，开展廉政教育，设立廉政告示牌，公布举报电话，监督并认真查处违法违纪行为。</w:t>
      </w:r>
    </w:p>
    <w:p w14:paraId="4E75F6CD">
      <w:pPr>
        <w:widowControl/>
        <w:spacing w:line="276" w:lineRule="auto"/>
        <w:jc w:val="left"/>
        <w:rPr>
          <w:rFonts w:hint="eastAsia" w:ascii="宋体" w:hAnsi="宋体" w:eastAsia="宋体" w:cs="宋体"/>
          <w:color w:val="0C0C0C"/>
          <w:kern w:val="0"/>
          <w:sz w:val="22"/>
          <w:szCs w:val="21"/>
        </w:rPr>
      </w:pPr>
      <w:r>
        <w:rPr>
          <w:rFonts w:hint="eastAsia" w:ascii="宋体" w:hAnsi="宋体" w:eastAsia="宋体" w:cs="宋体"/>
          <w:color w:val="0C0C0C"/>
          <w:kern w:val="0"/>
          <w:sz w:val="22"/>
          <w:szCs w:val="21"/>
        </w:rPr>
        <w:t>　　（5）发现对方在业务活动中有违反廉政规定的行为，有及时提醒对方纠正的权利和义务。</w:t>
      </w:r>
    </w:p>
    <w:p w14:paraId="5335159A">
      <w:pPr>
        <w:widowControl/>
        <w:spacing w:line="276" w:lineRule="auto"/>
        <w:jc w:val="left"/>
        <w:rPr>
          <w:rFonts w:hint="eastAsia" w:ascii="宋体" w:hAnsi="宋体" w:eastAsia="宋体" w:cs="宋体"/>
          <w:color w:val="0C0C0C"/>
          <w:kern w:val="0"/>
          <w:sz w:val="22"/>
          <w:szCs w:val="21"/>
        </w:rPr>
      </w:pPr>
      <w:r>
        <w:rPr>
          <w:rFonts w:hint="eastAsia" w:ascii="宋体" w:hAnsi="宋体" w:eastAsia="宋体" w:cs="宋体"/>
          <w:color w:val="0C0C0C"/>
          <w:kern w:val="0"/>
          <w:sz w:val="22"/>
          <w:szCs w:val="21"/>
        </w:rPr>
        <w:t>　　（6）发现对方严重违反本合同义务条款的行为，有向其上级有关部门举报、建议给予处理并要求告知处理结果的权利。</w:t>
      </w:r>
    </w:p>
    <w:p w14:paraId="16E5C689">
      <w:pPr>
        <w:widowControl/>
        <w:spacing w:line="276" w:lineRule="auto"/>
        <w:jc w:val="left"/>
        <w:rPr>
          <w:rFonts w:hint="eastAsia" w:ascii="宋体" w:hAnsi="宋体" w:eastAsia="宋体" w:cs="宋体"/>
          <w:color w:val="0C0C0C"/>
          <w:kern w:val="0"/>
          <w:sz w:val="22"/>
          <w:szCs w:val="21"/>
        </w:rPr>
      </w:pPr>
      <w:r>
        <w:rPr>
          <w:rFonts w:hint="eastAsia" w:ascii="宋体" w:hAnsi="宋体" w:eastAsia="宋体" w:cs="宋体"/>
          <w:color w:val="0C0C0C"/>
          <w:kern w:val="0"/>
          <w:sz w:val="22"/>
          <w:szCs w:val="21"/>
        </w:rPr>
        <w:t>　　2.发包人的义务</w:t>
      </w:r>
    </w:p>
    <w:p w14:paraId="702697D3">
      <w:pPr>
        <w:widowControl/>
        <w:spacing w:line="276" w:lineRule="auto"/>
        <w:jc w:val="left"/>
        <w:rPr>
          <w:rFonts w:hint="eastAsia" w:ascii="宋体" w:hAnsi="宋体" w:eastAsia="宋体" w:cs="宋体"/>
          <w:color w:val="0C0C0C"/>
          <w:kern w:val="0"/>
          <w:sz w:val="22"/>
          <w:szCs w:val="21"/>
        </w:rPr>
      </w:pPr>
      <w:r>
        <w:rPr>
          <w:rFonts w:hint="eastAsia" w:ascii="宋体" w:hAnsi="宋体" w:eastAsia="宋体" w:cs="宋体"/>
          <w:color w:val="0C0C0C"/>
          <w:kern w:val="0"/>
          <w:sz w:val="22"/>
          <w:szCs w:val="21"/>
        </w:rPr>
        <w:t>　　（1）发包人及其工作人员不得索要或接受承包人的礼金、有价证券和贵重物品，不得让承包人报销任何应由发包人或发包人工作人员个人支付的费用等。</w:t>
      </w:r>
    </w:p>
    <w:p w14:paraId="37D0B1B6">
      <w:pPr>
        <w:widowControl/>
        <w:spacing w:line="276" w:lineRule="auto"/>
        <w:jc w:val="left"/>
        <w:rPr>
          <w:rFonts w:hint="eastAsia" w:ascii="宋体" w:hAnsi="宋体" w:eastAsia="宋体" w:cs="宋体"/>
          <w:color w:val="0C0C0C"/>
          <w:kern w:val="0"/>
          <w:sz w:val="22"/>
          <w:szCs w:val="21"/>
        </w:rPr>
      </w:pPr>
      <w:r>
        <w:rPr>
          <w:rFonts w:hint="eastAsia" w:ascii="宋体" w:hAnsi="宋体" w:eastAsia="宋体" w:cs="宋体"/>
          <w:color w:val="0C0C0C"/>
          <w:kern w:val="0"/>
          <w:sz w:val="22"/>
          <w:szCs w:val="21"/>
        </w:rPr>
        <w:t>　　（2）发包人工作人员不得参加承包人安排的超标准宴请和娱乐活动；不得接受承包人提供的通讯工具、交通工具和高档办公用品等。</w:t>
      </w:r>
    </w:p>
    <w:p w14:paraId="0D40CB98">
      <w:pPr>
        <w:widowControl/>
        <w:spacing w:line="276" w:lineRule="auto"/>
        <w:ind w:firstLine="550" w:firstLineChars="250"/>
        <w:jc w:val="left"/>
        <w:rPr>
          <w:rFonts w:hint="eastAsia" w:ascii="宋体" w:hAnsi="宋体" w:eastAsia="宋体" w:cs="宋体"/>
          <w:color w:val="0C0C0C"/>
          <w:kern w:val="0"/>
          <w:sz w:val="22"/>
          <w:szCs w:val="21"/>
        </w:rPr>
      </w:pPr>
      <w:r>
        <w:rPr>
          <w:rFonts w:hint="eastAsia" w:ascii="宋体" w:hAnsi="宋体" w:eastAsia="宋体" w:cs="宋体"/>
          <w:color w:val="0C0C0C"/>
          <w:kern w:val="0"/>
          <w:sz w:val="22"/>
          <w:szCs w:val="21"/>
        </w:rPr>
        <w:t>（3）发包人及其工作人员不得要求或者接受承包人为其住房装修、婚丧嫁娶活动、配偶子女的工作安排以及出国出境、旅游等提供方便等。</w:t>
      </w:r>
    </w:p>
    <w:p w14:paraId="0BD4864E">
      <w:pPr>
        <w:widowControl/>
        <w:spacing w:line="276" w:lineRule="auto"/>
        <w:jc w:val="left"/>
        <w:rPr>
          <w:rFonts w:hint="eastAsia" w:ascii="宋体" w:hAnsi="宋体" w:eastAsia="宋体" w:cs="宋体"/>
          <w:color w:val="0C0C0C"/>
          <w:kern w:val="0"/>
          <w:sz w:val="22"/>
          <w:szCs w:val="21"/>
        </w:rPr>
      </w:pPr>
      <w:r>
        <w:rPr>
          <w:rFonts w:hint="eastAsia" w:ascii="宋体" w:hAnsi="宋体" w:eastAsia="宋体" w:cs="宋体"/>
          <w:color w:val="0C0C0C"/>
          <w:kern w:val="0"/>
          <w:sz w:val="22"/>
          <w:szCs w:val="21"/>
        </w:rPr>
        <w:t>　　（4）发包人工作人员及其配偶、子女不得从事与发包人工程有关的材料设备供应、工程分包、劳务等经济活动等。</w:t>
      </w:r>
    </w:p>
    <w:p w14:paraId="3F36C8A0">
      <w:pPr>
        <w:widowControl/>
        <w:spacing w:line="276" w:lineRule="auto"/>
        <w:jc w:val="left"/>
        <w:rPr>
          <w:rFonts w:hint="eastAsia" w:ascii="宋体" w:hAnsi="宋体" w:eastAsia="宋体" w:cs="宋体"/>
          <w:color w:val="0C0C0C"/>
          <w:kern w:val="0"/>
          <w:sz w:val="22"/>
          <w:szCs w:val="21"/>
        </w:rPr>
      </w:pPr>
      <w:r>
        <w:rPr>
          <w:rFonts w:hint="eastAsia" w:ascii="宋体" w:hAnsi="宋体" w:eastAsia="宋体" w:cs="宋体"/>
          <w:color w:val="0C0C0C"/>
          <w:kern w:val="0"/>
          <w:sz w:val="22"/>
          <w:szCs w:val="21"/>
        </w:rPr>
        <w:t>　　（5）发包人及其工作人员不得以任何理由向承包人推荐分包单位或推销材料，不得要求承包人购买合同规定外的材料和设备。</w:t>
      </w:r>
    </w:p>
    <w:p w14:paraId="6EFCBE5B">
      <w:pPr>
        <w:widowControl/>
        <w:spacing w:line="276" w:lineRule="auto"/>
        <w:jc w:val="left"/>
        <w:rPr>
          <w:rFonts w:hint="eastAsia" w:ascii="宋体" w:hAnsi="宋体" w:eastAsia="宋体" w:cs="宋体"/>
          <w:color w:val="0C0C0C"/>
          <w:kern w:val="0"/>
          <w:sz w:val="22"/>
          <w:szCs w:val="21"/>
        </w:rPr>
      </w:pPr>
      <w:r>
        <w:rPr>
          <w:rFonts w:hint="eastAsia" w:ascii="宋体" w:hAnsi="宋体" w:eastAsia="宋体" w:cs="宋体"/>
          <w:color w:val="0C0C0C"/>
          <w:kern w:val="0"/>
          <w:sz w:val="22"/>
          <w:szCs w:val="21"/>
        </w:rPr>
        <w:t>　　（6）发包人工作人员要秉公办事，不准营私舞弊，不准利用职权从事各种个人有偿中介活动和安排个人施工队伍。</w:t>
      </w:r>
    </w:p>
    <w:p w14:paraId="4477A3FD">
      <w:pPr>
        <w:widowControl/>
        <w:spacing w:line="276" w:lineRule="auto"/>
        <w:jc w:val="left"/>
        <w:rPr>
          <w:rFonts w:hint="eastAsia" w:ascii="宋体" w:hAnsi="宋体" w:eastAsia="宋体" w:cs="宋体"/>
          <w:color w:val="0C0C0C"/>
          <w:kern w:val="0"/>
          <w:sz w:val="22"/>
          <w:szCs w:val="21"/>
        </w:rPr>
      </w:pPr>
      <w:r>
        <w:rPr>
          <w:rFonts w:hint="eastAsia" w:ascii="宋体" w:hAnsi="宋体" w:eastAsia="宋体" w:cs="宋体"/>
          <w:color w:val="0C0C0C"/>
          <w:kern w:val="0"/>
          <w:sz w:val="22"/>
          <w:szCs w:val="21"/>
        </w:rPr>
        <w:t>　　3.承包人义务</w:t>
      </w:r>
    </w:p>
    <w:p w14:paraId="73126C21">
      <w:pPr>
        <w:widowControl/>
        <w:spacing w:line="276" w:lineRule="auto"/>
        <w:jc w:val="left"/>
        <w:rPr>
          <w:rFonts w:hint="eastAsia" w:ascii="宋体" w:hAnsi="宋体" w:eastAsia="宋体" w:cs="宋体"/>
          <w:color w:val="0C0C0C"/>
          <w:kern w:val="0"/>
          <w:sz w:val="22"/>
          <w:szCs w:val="21"/>
        </w:rPr>
      </w:pPr>
      <w:r>
        <w:rPr>
          <w:rFonts w:hint="eastAsia" w:ascii="宋体" w:hAnsi="宋体" w:eastAsia="宋体" w:cs="宋体"/>
          <w:color w:val="0C0C0C"/>
          <w:kern w:val="0"/>
          <w:sz w:val="22"/>
          <w:szCs w:val="21"/>
        </w:rPr>
        <w:t>　　（1）承包人不得以任何理由向发包人及其工作人员行贿或馈赠礼金、有价证券、贵重礼品。</w:t>
      </w:r>
    </w:p>
    <w:p w14:paraId="330C3942">
      <w:pPr>
        <w:widowControl/>
        <w:spacing w:line="276" w:lineRule="auto"/>
        <w:jc w:val="left"/>
        <w:rPr>
          <w:rFonts w:hint="eastAsia" w:ascii="宋体" w:hAnsi="宋体" w:eastAsia="宋体" w:cs="宋体"/>
          <w:color w:val="0C0C0C"/>
          <w:kern w:val="0"/>
          <w:sz w:val="22"/>
          <w:szCs w:val="21"/>
        </w:rPr>
      </w:pPr>
      <w:r>
        <w:rPr>
          <w:rFonts w:hint="eastAsia" w:ascii="宋体" w:hAnsi="宋体" w:eastAsia="宋体" w:cs="宋体"/>
          <w:color w:val="0C0C0C"/>
          <w:kern w:val="0"/>
          <w:sz w:val="22"/>
          <w:szCs w:val="21"/>
        </w:rPr>
        <w:t>　　（2）承包人不得以任何名义为发包人及其工作人员报销应由发包人单位或个人支付的任何费用。</w:t>
      </w:r>
    </w:p>
    <w:p w14:paraId="54610B2F">
      <w:pPr>
        <w:widowControl/>
        <w:spacing w:line="276" w:lineRule="auto"/>
        <w:jc w:val="left"/>
        <w:rPr>
          <w:rFonts w:hint="eastAsia" w:ascii="宋体" w:hAnsi="宋体" w:eastAsia="宋体" w:cs="宋体"/>
          <w:color w:val="0C0C0C"/>
          <w:kern w:val="0"/>
          <w:sz w:val="22"/>
          <w:szCs w:val="21"/>
        </w:rPr>
      </w:pPr>
      <w:r>
        <w:rPr>
          <w:rFonts w:hint="eastAsia" w:ascii="宋体" w:hAnsi="宋体" w:eastAsia="宋体" w:cs="宋体"/>
          <w:color w:val="0C0C0C"/>
          <w:kern w:val="0"/>
          <w:sz w:val="22"/>
          <w:szCs w:val="21"/>
        </w:rPr>
        <w:t>　　（3）承包人不得以任何理由安排发包人工作人员参加超标准宴请及娱乐活动。</w:t>
      </w:r>
    </w:p>
    <w:p w14:paraId="1AA27058">
      <w:pPr>
        <w:widowControl/>
        <w:spacing w:line="276" w:lineRule="auto"/>
        <w:jc w:val="left"/>
        <w:rPr>
          <w:rFonts w:hint="eastAsia" w:ascii="宋体" w:hAnsi="宋体" w:eastAsia="宋体" w:cs="宋体"/>
          <w:color w:val="0C0C0C"/>
          <w:kern w:val="0"/>
          <w:sz w:val="22"/>
          <w:szCs w:val="21"/>
        </w:rPr>
      </w:pPr>
      <w:r>
        <w:rPr>
          <w:rFonts w:hint="eastAsia" w:ascii="宋体" w:hAnsi="宋体" w:eastAsia="宋体" w:cs="宋体"/>
          <w:color w:val="0C0C0C"/>
          <w:kern w:val="0"/>
          <w:sz w:val="22"/>
          <w:szCs w:val="21"/>
        </w:rPr>
        <w:t>　　（4）承包人不得为发包人单位和个人购置或提供通讯工具、交通工具和高档办公用品等。</w:t>
      </w:r>
    </w:p>
    <w:p w14:paraId="74845945">
      <w:pPr>
        <w:widowControl/>
        <w:spacing w:line="276" w:lineRule="auto"/>
        <w:jc w:val="left"/>
        <w:rPr>
          <w:rFonts w:hint="eastAsia" w:ascii="宋体" w:hAnsi="宋体" w:eastAsia="宋体" w:cs="宋体"/>
          <w:color w:val="0C0C0C"/>
          <w:kern w:val="0"/>
          <w:sz w:val="22"/>
          <w:szCs w:val="21"/>
        </w:rPr>
      </w:pPr>
      <w:r>
        <w:rPr>
          <w:rFonts w:hint="eastAsia" w:ascii="宋体" w:hAnsi="宋体" w:eastAsia="宋体" w:cs="宋体"/>
          <w:color w:val="0C0C0C"/>
          <w:kern w:val="0"/>
          <w:sz w:val="22"/>
          <w:szCs w:val="21"/>
        </w:rPr>
        <w:t>　　4.违约责任</w:t>
      </w:r>
    </w:p>
    <w:p w14:paraId="6136B9B0">
      <w:pPr>
        <w:widowControl/>
        <w:spacing w:line="276" w:lineRule="auto"/>
        <w:jc w:val="left"/>
        <w:rPr>
          <w:rFonts w:hint="eastAsia" w:ascii="宋体" w:hAnsi="宋体" w:eastAsia="宋体" w:cs="宋体"/>
          <w:color w:val="0C0C0C"/>
          <w:kern w:val="0"/>
          <w:sz w:val="22"/>
          <w:szCs w:val="21"/>
        </w:rPr>
      </w:pPr>
      <w:r>
        <w:rPr>
          <w:rFonts w:hint="eastAsia" w:ascii="宋体" w:hAnsi="宋体" w:eastAsia="宋体" w:cs="宋体"/>
          <w:color w:val="0C0C0C"/>
          <w:kern w:val="0"/>
          <w:sz w:val="22"/>
          <w:szCs w:val="21"/>
        </w:rPr>
        <w:t>　　（1）发包人及其工作人员违反本合同第1、2条，按管理权限，依据有关规定给予党纪、政纪或组织处理；涉嫌犯罪的，移交司法机关追究刑事责任；给承包人单位造成经济损失的，应予以赔偿。</w:t>
      </w:r>
    </w:p>
    <w:p w14:paraId="3C167B25">
      <w:pPr>
        <w:widowControl/>
        <w:spacing w:line="276" w:lineRule="auto"/>
        <w:jc w:val="left"/>
        <w:rPr>
          <w:rFonts w:hint="eastAsia" w:ascii="宋体" w:hAnsi="宋体" w:eastAsia="宋体" w:cs="宋体"/>
          <w:color w:val="0C0C0C"/>
          <w:kern w:val="0"/>
          <w:sz w:val="22"/>
          <w:szCs w:val="21"/>
        </w:rPr>
      </w:pPr>
      <w:r>
        <w:rPr>
          <w:rFonts w:hint="eastAsia" w:ascii="宋体" w:hAnsi="宋体" w:eastAsia="宋体" w:cs="宋体"/>
          <w:color w:val="0C0C0C"/>
          <w:kern w:val="0"/>
          <w:sz w:val="22"/>
          <w:szCs w:val="21"/>
        </w:rPr>
        <w:t>　　（2）承包人及其工作人员违反本合同第1、3条，按管理权限，依据有关规定给予党纪、政纪或组织处理；给发包人单位造成经济损失的，应予以赔偿；情节严重的，发包人建议交通工程建设主管部门给予承包人一至三年内不得进入其主管的交通工程建设市场的处罚。</w:t>
      </w:r>
    </w:p>
    <w:p w14:paraId="7C4AE025">
      <w:pPr>
        <w:widowControl/>
        <w:spacing w:line="276" w:lineRule="auto"/>
        <w:ind w:firstLine="440" w:firstLineChars="200"/>
        <w:jc w:val="left"/>
        <w:rPr>
          <w:rFonts w:hint="eastAsia" w:ascii="宋体" w:hAnsi="宋体" w:eastAsia="宋体" w:cs="宋体"/>
          <w:color w:val="0C0C0C"/>
          <w:kern w:val="0"/>
          <w:sz w:val="22"/>
          <w:szCs w:val="21"/>
        </w:rPr>
      </w:pPr>
      <w:r>
        <w:rPr>
          <w:rFonts w:hint="eastAsia" w:ascii="宋体" w:hAnsi="宋体" w:eastAsia="宋体" w:cs="宋体"/>
          <w:color w:val="0C0C0C"/>
          <w:kern w:val="0"/>
          <w:sz w:val="22"/>
          <w:szCs w:val="21"/>
        </w:rPr>
        <w:t>5.双方约定：本合同由双方或双方上级单位的纪检监察机关负责监督执行。由发包人或发包人上级单位的纪检监察部门约请承包人或承包人上级单位纪检监察部门对本合同执行情况进行检查，提出在本合同规定范围内的裁定意见。</w:t>
      </w:r>
    </w:p>
    <w:p w14:paraId="311BEEAF">
      <w:pPr>
        <w:widowControl/>
        <w:spacing w:line="276" w:lineRule="auto"/>
        <w:jc w:val="left"/>
        <w:rPr>
          <w:rFonts w:hint="eastAsia" w:ascii="宋体" w:hAnsi="宋体" w:eastAsia="宋体" w:cs="宋体"/>
          <w:color w:val="0C0C0C"/>
          <w:kern w:val="0"/>
          <w:sz w:val="22"/>
          <w:szCs w:val="21"/>
        </w:rPr>
      </w:pPr>
      <w:r>
        <w:rPr>
          <w:rFonts w:hint="eastAsia" w:ascii="宋体" w:hAnsi="宋体" w:eastAsia="宋体" w:cs="宋体"/>
          <w:color w:val="0C0C0C"/>
          <w:kern w:val="0"/>
          <w:sz w:val="22"/>
          <w:szCs w:val="21"/>
        </w:rPr>
        <w:t>　　6.本合同有效期为发包人和承包人签署之日起至该工程项目竣工验收后止。</w:t>
      </w:r>
    </w:p>
    <w:p w14:paraId="7B6CD7B6">
      <w:pPr>
        <w:widowControl/>
        <w:spacing w:line="276" w:lineRule="auto"/>
        <w:jc w:val="left"/>
        <w:rPr>
          <w:rFonts w:hint="eastAsia" w:ascii="宋体" w:hAnsi="宋体" w:eastAsia="宋体" w:cs="宋体"/>
          <w:color w:val="0C0C0C"/>
          <w:kern w:val="0"/>
          <w:sz w:val="22"/>
          <w:szCs w:val="21"/>
        </w:rPr>
      </w:pPr>
      <w:r>
        <w:rPr>
          <w:rFonts w:hint="eastAsia" w:ascii="宋体" w:hAnsi="宋体" w:eastAsia="宋体" w:cs="宋体"/>
          <w:color w:val="0C0C0C"/>
          <w:kern w:val="0"/>
          <w:sz w:val="22"/>
          <w:szCs w:val="21"/>
        </w:rPr>
        <w:t>　　7.本合同作为</w:t>
      </w:r>
      <w:r>
        <w:rPr>
          <w:rFonts w:hint="eastAsia" w:ascii="宋体" w:hAnsi="宋体" w:eastAsia="宋体" w:cs="宋体"/>
          <w:color w:val="0C0C0C"/>
          <w:kern w:val="0"/>
          <w:sz w:val="22"/>
          <w:szCs w:val="21"/>
          <w:u w:val="single"/>
        </w:rPr>
        <w:t>　　　</w:t>
      </w:r>
      <w:r>
        <w:rPr>
          <w:rFonts w:hint="eastAsia" w:ascii="宋体" w:hAnsi="宋体" w:eastAsia="宋体" w:cs="宋体"/>
          <w:color w:val="0C0C0C"/>
          <w:kern w:val="0"/>
          <w:sz w:val="22"/>
          <w:szCs w:val="21"/>
        </w:rPr>
        <w:t>（项目名称</w:t>
      </w:r>
      <w:r>
        <w:rPr>
          <w:rFonts w:hint="eastAsia" w:ascii="宋体" w:hAnsi="宋体" w:eastAsia="宋体" w:cs="宋体"/>
          <w:color w:val="0C0C0C"/>
          <w:kern w:val="0"/>
          <w:sz w:val="22"/>
          <w:szCs w:val="21"/>
          <w:u w:val="single"/>
        </w:rPr>
        <w:t>）　　</w:t>
      </w:r>
      <w:r>
        <w:rPr>
          <w:rFonts w:hint="eastAsia" w:ascii="宋体" w:hAnsi="宋体" w:eastAsia="宋体" w:cs="宋体"/>
          <w:color w:val="0C0C0C"/>
          <w:kern w:val="0"/>
          <w:sz w:val="22"/>
          <w:szCs w:val="21"/>
        </w:rPr>
        <w:t>标段施工合同的附件，与工程施工合同具有同等的法律效力，经合同双方签署后立即生效。</w:t>
      </w:r>
    </w:p>
    <w:p w14:paraId="07DCC4FA">
      <w:pPr>
        <w:widowControl/>
        <w:spacing w:line="276" w:lineRule="auto"/>
        <w:jc w:val="left"/>
        <w:rPr>
          <w:rFonts w:hint="eastAsia" w:ascii="宋体" w:hAnsi="宋体" w:eastAsia="宋体" w:cs="宋体"/>
          <w:color w:val="0C0C0C"/>
          <w:kern w:val="0"/>
          <w:sz w:val="22"/>
          <w:szCs w:val="21"/>
        </w:rPr>
      </w:pPr>
      <w:r>
        <w:rPr>
          <w:rFonts w:hint="eastAsia" w:ascii="宋体" w:hAnsi="宋体" w:eastAsia="宋体" w:cs="宋体"/>
          <w:color w:val="0C0C0C"/>
          <w:kern w:val="0"/>
          <w:sz w:val="22"/>
          <w:szCs w:val="21"/>
        </w:rPr>
        <w:t>　　8.本合同一式四份，由发包人和承包人各执一份，送交发包人和承包人的监督单位各一份。</w:t>
      </w:r>
    </w:p>
    <w:p w14:paraId="2B61E3B4">
      <w:pPr>
        <w:widowControl/>
        <w:spacing w:line="276" w:lineRule="auto"/>
        <w:jc w:val="left"/>
        <w:rPr>
          <w:rFonts w:hint="eastAsia" w:ascii="宋体" w:hAnsi="宋体" w:eastAsia="宋体" w:cs="宋体"/>
          <w:color w:val="0C0C0C"/>
          <w:kern w:val="0"/>
          <w:sz w:val="22"/>
          <w:szCs w:val="21"/>
        </w:rPr>
      </w:pPr>
    </w:p>
    <w:p w14:paraId="71EBC0EC">
      <w:pPr>
        <w:widowControl/>
        <w:spacing w:line="276" w:lineRule="auto"/>
        <w:jc w:val="left"/>
        <w:rPr>
          <w:rFonts w:hint="eastAsia" w:ascii="宋体" w:hAnsi="宋体" w:eastAsia="宋体" w:cs="宋体"/>
          <w:color w:val="0C0C0C"/>
          <w:kern w:val="0"/>
          <w:sz w:val="22"/>
          <w:szCs w:val="21"/>
        </w:rPr>
      </w:pPr>
      <w:r>
        <w:rPr>
          <w:rFonts w:hint="eastAsia" w:ascii="宋体" w:hAnsi="宋体" w:eastAsia="宋体" w:cs="宋体"/>
          <w:color w:val="0C0C0C"/>
          <w:kern w:val="0"/>
          <w:sz w:val="22"/>
          <w:szCs w:val="21"/>
        </w:rPr>
        <w:t>发包人：</w:t>
      </w:r>
      <w:r>
        <w:rPr>
          <w:rFonts w:hint="eastAsia" w:ascii="宋体" w:hAnsi="宋体" w:eastAsia="宋体" w:cs="宋体"/>
          <w:color w:val="0C0C0C"/>
          <w:kern w:val="0"/>
          <w:sz w:val="22"/>
          <w:szCs w:val="21"/>
          <w:u w:val="single"/>
        </w:rPr>
        <w:t xml:space="preserve">         　       </w:t>
      </w:r>
      <w:r>
        <w:rPr>
          <w:rFonts w:hint="eastAsia" w:ascii="宋体" w:hAnsi="宋体" w:eastAsia="宋体" w:cs="宋体"/>
          <w:color w:val="0C0C0C"/>
          <w:kern w:val="0"/>
          <w:sz w:val="22"/>
          <w:szCs w:val="21"/>
        </w:rPr>
        <w:t>（盖单位章）     承包人：</w:t>
      </w:r>
      <w:r>
        <w:rPr>
          <w:rFonts w:hint="eastAsia" w:ascii="宋体" w:hAnsi="宋体" w:eastAsia="宋体" w:cs="宋体"/>
          <w:color w:val="0C0C0C"/>
          <w:kern w:val="0"/>
          <w:sz w:val="22"/>
          <w:szCs w:val="21"/>
          <w:u w:val="single"/>
        </w:rPr>
        <w:t xml:space="preserve">                   </w:t>
      </w:r>
      <w:r>
        <w:rPr>
          <w:rFonts w:hint="eastAsia" w:ascii="宋体" w:hAnsi="宋体" w:eastAsia="宋体" w:cs="宋体"/>
          <w:color w:val="0C0C0C"/>
          <w:kern w:val="0"/>
          <w:sz w:val="22"/>
          <w:szCs w:val="21"/>
        </w:rPr>
        <w:t>（盖单位章）</w:t>
      </w:r>
    </w:p>
    <w:p w14:paraId="49437A6E">
      <w:pPr>
        <w:widowControl/>
        <w:spacing w:line="276" w:lineRule="auto"/>
        <w:jc w:val="left"/>
        <w:rPr>
          <w:rFonts w:hint="eastAsia" w:ascii="宋体" w:hAnsi="宋体" w:eastAsia="宋体" w:cs="宋体"/>
          <w:color w:val="0C0C0C"/>
          <w:kern w:val="0"/>
          <w:sz w:val="22"/>
          <w:szCs w:val="21"/>
        </w:rPr>
      </w:pPr>
      <w:r>
        <w:rPr>
          <w:rFonts w:hint="eastAsia" w:ascii="宋体" w:hAnsi="宋体" w:eastAsia="宋体" w:cs="宋体"/>
          <w:color w:val="0C0C0C"/>
          <w:kern w:val="0"/>
          <w:sz w:val="22"/>
          <w:szCs w:val="21"/>
        </w:rPr>
        <w:t>法定代表人或其委托代理人：</w:t>
      </w:r>
      <w:r>
        <w:rPr>
          <w:rFonts w:hint="eastAsia" w:ascii="宋体" w:hAnsi="宋体" w:eastAsia="宋体" w:cs="宋体"/>
          <w:color w:val="0C0C0C"/>
          <w:kern w:val="0"/>
          <w:sz w:val="22"/>
          <w:szCs w:val="21"/>
          <w:u w:val="single"/>
        </w:rPr>
        <w:t xml:space="preserve">    </w:t>
      </w:r>
      <w:r>
        <w:rPr>
          <w:rFonts w:hint="eastAsia" w:ascii="宋体" w:hAnsi="宋体" w:eastAsia="宋体" w:cs="宋体"/>
          <w:color w:val="0C0C0C"/>
          <w:kern w:val="0"/>
          <w:sz w:val="22"/>
          <w:szCs w:val="21"/>
        </w:rPr>
        <w:t>（签字）    法定代表人或其委托代理人：</w:t>
      </w:r>
      <w:r>
        <w:rPr>
          <w:rFonts w:hint="eastAsia" w:ascii="宋体" w:hAnsi="宋体" w:eastAsia="宋体" w:cs="宋体"/>
          <w:color w:val="0C0C0C"/>
          <w:kern w:val="0"/>
          <w:sz w:val="22"/>
          <w:szCs w:val="21"/>
          <w:u w:val="single"/>
        </w:rPr>
        <w:t xml:space="preserve">      </w:t>
      </w:r>
      <w:r>
        <w:rPr>
          <w:rFonts w:hint="eastAsia" w:ascii="宋体" w:hAnsi="宋体" w:eastAsia="宋体" w:cs="宋体"/>
          <w:color w:val="0C0C0C"/>
          <w:kern w:val="0"/>
          <w:sz w:val="22"/>
          <w:szCs w:val="21"/>
        </w:rPr>
        <w:t>（签字）</w:t>
      </w:r>
    </w:p>
    <w:p w14:paraId="429854FF">
      <w:pPr>
        <w:widowControl/>
        <w:spacing w:line="276" w:lineRule="auto"/>
        <w:ind w:firstLine="1320" w:firstLineChars="600"/>
        <w:jc w:val="left"/>
        <w:rPr>
          <w:rFonts w:hint="eastAsia" w:ascii="宋体" w:hAnsi="宋体" w:eastAsia="宋体" w:cs="宋体"/>
          <w:color w:val="0C0C0C"/>
          <w:kern w:val="0"/>
          <w:sz w:val="22"/>
          <w:szCs w:val="21"/>
        </w:rPr>
      </w:pPr>
      <w:r>
        <w:rPr>
          <w:rFonts w:hint="eastAsia" w:ascii="宋体" w:hAnsi="宋体" w:eastAsia="宋体" w:cs="宋体"/>
          <w:color w:val="0C0C0C"/>
          <w:kern w:val="0"/>
          <w:sz w:val="22"/>
          <w:szCs w:val="21"/>
        </w:rPr>
        <w:t xml:space="preserve">        　　　　　  </w:t>
      </w:r>
    </w:p>
    <w:p w14:paraId="535D1750">
      <w:pPr>
        <w:widowControl/>
        <w:spacing w:line="276" w:lineRule="auto"/>
        <w:ind w:firstLine="6050" w:firstLineChars="2750"/>
        <w:jc w:val="left"/>
        <w:rPr>
          <w:rFonts w:hint="eastAsia" w:ascii="宋体" w:hAnsi="宋体" w:eastAsia="宋体" w:cs="宋体"/>
          <w:color w:val="0C0C0C"/>
          <w:kern w:val="0"/>
          <w:sz w:val="22"/>
          <w:szCs w:val="21"/>
        </w:rPr>
      </w:pPr>
      <w:r>
        <w:rPr>
          <w:rFonts w:hint="eastAsia" w:ascii="宋体" w:hAnsi="宋体" w:eastAsia="宋体" w:cs="宋体"/>
          <w:color w:val="0C0C0C"/>
          <w:kern w:val="0"/>
          <w:sz w:val="22"/>
          <w:szCs w:val="21"/>
          <w:u w:val="single"/>
        </w:rPr>
        <w:t xml:space="preserve">      </w:t>
      </w:r>
      <w:r>
        <w:rPr>
          <w:rFonts w:hint="eastAsia" w:ascii="宋体" w:hAnsi="宋体" w:eastAsia="宋体" w:cs="宋体"/>
          <w:color w:val="0C0C0C"/>
          <w:kern w:val="0"/>
          <w:sz w:val="22"/>
          <w:szCs w:val="21"/>
        </w:rPr>
        <w:t>年</w:t>
      </w:r>
      <w:r>
        <w:rPr>
          <w:rFonts w:hint="eastAsia" w:ascii="宋体" w:hAnsi="宋体" w:eastAsia="宋体" w:cs="宋体"/>
          <w:color w:val="0C0C0C"/>
          <w:kern w:val="0"/>
          <w:sz w:val="22"/>
          <w:szCs w:val="21"/>
          <w:u w:val="single"/>
        </w:rPr>
        <w:t xml:space="preserve">     </w:t>
      </w:r>
      <w:r>
        <w:rPr>
          <w:rFonts w:hint="eastAsia" w:ascii="宋体" w:hAnsi="宋体" w:eastAsia="宋体" w:cs="宋体"/>
          <w:color w:val="0C0C0C"/>
          <w:kern w:val="0"/>
          <w:sz w:val="22"/>
          <w:szCs w:val="21"/>
        </w:rPr>
        <w:t xml:space="preserve">月 </w:t>
      </w:r>
      <w:r>
        <w:rPr>
          <w:rFonts w:hint="eastAsia" w:ascii="宋体" w:hAnsi="宋体" w:eastAsia="宋体" w:cs="宋体"/>
          <w:color w:val="0C0C0C"/>
          <w:kern w:val="0"/>
          <w:sz w:val="22"/>
          <w:szCs w:val="21"/>
          <w:u w:val="single"/>
        </w:rPr>
        <w:t xml:space="preserve">     </w:t>
      </w:r>
      <w:r>
        <w:rPr>
          <w:rFonts w:hint="eastAsia" w:ascii="宋体" w:hAnsi="宋体" w:eastAsia="宋体" w:cs="宋体"/>
          <w:color w:val="0C0C0C"/>
          <w:kern w:val="0"/>
          <w:sz w:val="22"/>
          <w:szCs w:val="21"/>
        </w:rPr>
        <w:t>日</w:t>
      </w:r>
    </w:p>
    <w:p w14:paraId="1B3D118D">
      <w:pPr>
        <w:widowControl/>
        <w:spacing w:after="120" w:afterLines="50" w:line="276" w:lineRule="auto"/>
        <w:jc w:val="left"/>
        <w:rPr>
          <w:rFonts w:hint="eastAsia" w:ascii="宋体" w:hAnsi="宋体" w:eastAsia="宋体" w:cs="宋体"/>
          <w:color w:val="0C0C0C"/>
          <w:kern w:val="0"/>
          <w:szCs w:val="21"/>
        </w:rPr>
      </w:pPr>
    </w:p>
    <w:p w14:paraId="667FA728">
      <w:pPr>
        <w:widowControl/>
        <w:spacing w:after="120" w:afterLines="50" w:line="276" w:lineRule="auto"/>
        <w:jc w:val="left"/>
        <w:rPr>
          <w:rFonts w:hint="eastAsia" w:ascii="宋体" w:hAnsi="宋体" w:eastAsia="宋体" w:cs="宋体"/>
          <w:color w:val="0C0C0C"/>
          <w:kern w:val="0"/>
          <w:sz w:val="22"/>
          <w:szCs w:val="21"/>
        </w:rPr>
      </w:pPr>
    </w:p>
    <w:p w14:paraId="724FA5A0">
      <w:pPr>
        <w:widowControl/>
        <w:spacing w:after="120" w:afterLines="50" w:line="276" w:lineRule="auto"/>
        <w:jc w:val="left"/>
        <w:rPr>
          <w:rFonts w:hint="eastAsia" w:ascii="宋体" w:hAnsi="宋体" w:eastAsia="宋体" w:cs="宋体"/>
          <w:color w:val="0C0C0C"/>
          <w:kern w:val="0"/>
          <w:sz w:val="22"/>
          <w:szCs w:val="21"/>
        </w:rPr>
      </w:pPr>
    </w:p>
    <w:p w14:paraId="13BE4C5C">
      <w:pPr>
        <w:widowControl/>
        <w:spacing w:after="120" w:afterLines="50" w:line="276" w:lineRule="auto"/>
        <w:jc w:val="left"/>
        <w:rPr>
          <w:rFonts w:hint="eastAsia" w:ascii="宋体" w:hAnsi="宋体" w:eastAsia="宋体" w:cs="宋体"/>
          <w:color w:val="0C0C0C"/>
          <w:kern w:val="0"/>
          <w:sz w:val="22"/>
          <w:szCs w:val="21"/>
        </w:rPr>
      </w:pPr>
    </w:p>
    <w:p w14:paraId="0CB26956">
      <w:pPr>
        <w:widowControl/>
        <w:spacing w:after="120" w:afterLines="50" w:line="276" w:lineRule="auto"/>
        <w:jc w:val="left"/>
        <w:rPr>
          <w:rFonts w:hint="eastAsia" w:ascii="宋体" w:hAnsi="宋体" w:eastAsia="宋体" w:cs="宋体"/>
          <w:color w:val="0C0C0C"/>
          <w:kern w:val="0"/>
          <w:sz w:val="22"/>
          <w:szCs w:val="21"/>
        </w:rPr>
      </w:pPr>
    </w:p>
    <w:p w14:paraId="4836F807">
      <w:pPr>
        <w:widowControl/>
        <w:spacing w:after="120" w:afterLines="50" w:line="276" w:lineRule="auto"/>
        <w:jc w:val="left"/>
        <w:rPr>
          <w:rFonts w:hint="eastAsia" w:ascii="宋体" w:hAnsi="宋体" w:eastAsia="宋体" w:cs="宋体"/>
          <w:color w:val="0C0C0C"/>
          <w:kern w:val="0"/>
          <w:sz w:val="22"/>
          <w:szCs w:val="21"/>
        </w:rPr>
      </w:pPr>
    </w:p>
    <w:p w14:paraId="6EB13EBE">
      <w:pPr>
        <w:pStyle w:val="5"/>
        <w:ind w:firstLine="420"/>
        <w:rPr>
          <w:rFonts w:hint="eastAsia" w:ascii="宋体" w:hAnsi="宋体" w:eastAsia="宋体" w:cs="宋体"/>
          <w:color w:val="0C0C0C"/>
        </w:rPr>
      </w:pPr>
    </w:p>
    <w:p w14:paraId="29CE7960">
      <w:pPr>
        <w:pStyle w:val="6"/>
        <w:rPr>
          <w:rFonts w:hint="eastAsia" w:ascii="宋体" w:hAnsi="宋体" w:eastAsia="宋体" w:cs="宋体"/>
          <w:color w:val="0C0C0C"/>
        </w:rPr>
      </w:pPr>
    </w:p>
    <w:p w14:paraId="02BF4260">
      <w:pPr>
        <w:rPr>
          <w:rFonts w:hint="eastAsia" w:ascii="宋体" w:hAnsi="宋体" w:eastAsia="宋体" w:cs="宋体"/>
          <w:color w:val="0C0C0C"/>
        </w:rPr>
      </w:pPr>
    </w:p>
    <w:p w14:paraId="2EC72AB4">
      <w:pPr>
        <w:pStyle w:val="5"/>
        <w:ind w:firstLine="420"/>
        <w:rPr>
          <w:rFonts w:hint="eastAsia" w:ascii="宋体" w:hAnsi="宋体" w:eastAsia="宋体" w:cs="宋体"/>
          <w:color w:val="0C0C0C"/>
        </w:rPr>
      </w:pPr>
    </w:p>
    <w:p w14:paraId="34F05A89">
      <w:pPr>
        <w:pStyle w:val="6"/>
        <w:rPr>
          <w:rFonts w:hint="eastAsia" w:ascii="宋体" w:hAnsi="宋体" w:eastAsia="宋体" w:cs="宋体"/>
          <w:color w:val="0C0C0C"/>
        </w:rPr>
      </w:pPr>
    </w:p>
    <w:p w14:paraId="475151C8">
      <w:pPr>
        <w:pStyle w:val="3"/>
        <w:snapToGrid w:val="0"/>
        <w:spacing w:before="0" w:after="0" w:line="240" w:lineRule="auto"/>
        <w:ind w:firstLine="440"/>
        <w:contextualSpacing/>
        <w:rPr>
          <w:rFonts w:hint="eastAsia" w:ascii="宋体" w:hAnsi="宋体" w:eastAsia="宋体" w:cs="宋体"/>
          <w:color w:val="0C0C0C"/>
          <w:sz w:val="22"/>
          <w:szCs w:val="24"/>
        </w:rPr>
      </w:pPr>
      <w:bookmarkStart w:id="543" w:name="_Toc139462833"/>
      <w:bookmarkStart w:id="544" w:name="_Toc139464397"/>
      <w:bookmarkStart w:id="545" w:name="_Toc120443091"/>
      <w:bookmarkStart w:id="546" w:name="_Toc139463632"/>
      <w:r>
        <w:rPr>
          <w:rFonts w:hint="eastAsia" w:ascii="宋体" w:hAnsi="宋体" w:eastAsia="宋体" w:cs="宋体"/>
          <w:color w:val="0C0C0C"/>
          <w:sz w:val="22"/>
          <w:szCs w:val="24"/>
        </w:rPr>
        <w:t>附件三　安全生产合同</w:t>
      </w:r>
      <w:bookmarkEnd w:id="543"/>
      <w:bookmarkEnd w:id="544"/>
      <w:bookmarkEnd w:id="545"/>
      <w:bookmarkEnd w:id="546"/>
    </w:p>
    <w:p w14:paraId="70D02CCF">
      <w:pPr>
        <w:widowControl/>
        <w:spacing w:after="200" w:line="276" w:lineRule="auto"/>
        <w:jc w:val="center"/>
        <w:rPr>
          <w:rFonts w:hint="eastAsia" w:ascii="宋体" w:hAnsi="宋体" w:eastAsia="宋体" w:cs="宋体"/>
          <w:color w:val="0C0C0C"/>
          <w:kern w:val="0"/>
          <w:sz w:val="20"/>
          <w:szCs w:val="21"/>
        </w:rPr>
      </w:pPr>
      <w:r>
        <w:rPr>
          <w:rFonts w:hint="eastAsia" w:ascii="宋体" w:hAnsi="宋体" w:eastAsia="宋体" w:cs="宋体"/>
          <w:color w:val="0C0C0C"/>
          <w:kern w:val="0"/>
          <w:sz w:val="24"/>
          <w:szCs w:val="28"/>
        </w:rPr>
        <w:t>安全生产合同</w:t>
      </w:r>
    </w:p>
    <w:p w14:paraId="5FBC48BB">
      <w:pPr>
        <w:snapToGrid w:val="0"/>
        <w:spacing w:line="276" w:lineRule="auto"/>
        <w:ind w:firstLine="431" w:firstLineChars="196"/>
        <w:rPr>
          <w:rFonts w:hint="eastAsia" w:ascii="宋体" w:hAnsi="宋体" w:eastAsia="宋体" w:cs="宋体"/>
          <w:color w:val="0C0C0C"/>
          <w:sz w:val="22"/>
          <w:u w:val="single"/>
        </w:rPr>
      </w:pPr>
      <w:r>
        <w:rPr>
          <w:rFonts w:hint="eastAsia" w:ascii="宋体" w:hAnsi="宋体" w:eastAsia="宋体" w:cs="宋体"/>
          <w:color w:val="0C0C0C"/>
          <w:sz w:val="22"/>
        </w:rPr>
        <w:t>为在</w:t>
      </w:r>
      <w:r>
        <w:rPr>
          <w:rFonts w:hint="eastAsia" w:ascii="宋体" w:hAnsi="宋体" w:eastAsia="宋体" w:cs="宋体"/>
          <w:color w:val="0C0C0C"/>
          <w:sz w:val="22"/>
          <w:u w:val="single"/>
        </w:rPr>
        <w:t xml:space="preserve">               </w:t>
      </w:r>
      <w:r>
        <w:rPr>
          <w:rFonts w:hint="eastAsia" w:ascii="宋体" w:hAnsi="宋体" w:eastAsia="宋体" w:cs="宋体"/>
          <w:color w:val="0C0C0C"/>
          <w:sz w:val="22"/>
        </w:rPr>
        <w:t>（项目名称）施工合同的实施过程中创造安全、高效的施工环境，切实搞好本项目的安全管理工作，本项目发包人</w:t>
      </w:r>
      <w:r>
        <w:rPr>
          <w:rFonts w:hint="eastAsia" w:ascii="宋体" w:hAnsi="宋体" w:cs="宋体"/>
          <w:color w:val="0C0C0C"/>
          <w:sz w:val="22"/>
          <w:u w:val="single"/>
          <w:lang w:val="en-US" w:eastAsia="zh-CN"/>
        </w:rPr>
        <w:t xml:space="preserve">             </w:t>
      </w:r>
      <w:r>
        <w:rPr>
          <w:rFonts w:hint="eastAsia" w:ascii="宋体" w:hAnsi="宋体" w:eastAsia="宋体" w:cs="宋体"/>
          <w:color w:val="0C0C0C"/>
          <w:sz w:val="22"/>
        </w:rPr>
        <w:t>（发包人名称，以下简称“发包人”）与承包人</w:t>
      </w:r>
      <w:r>
        <w:rPr>
          <w:rFonts w:hint="eastAsia" w:ascii="宋体" w:hAnsi="宋体" w:eastAsia="宋体" w:cs="宋体"/>
          <w:color w:val="0C0C0C"/>
          <w:sz w:val="22"/>
          <w:u w:val="single"/>
        </w:rPr>
        <w:t xml:space="preserve">    </w:t>
      </w:r>
      <w:r>
        <w:rPr>
          <w:rFonts w:hint="eastAsia" w:ascii="宋体" w:hAnsi="宋体" w:eastAsia="宋体" w:cs="宋体"/>
          <w:color w:val="0C0C0C"/>
          <w:sz w:val="22"/>
        </w:rPr>
        <w:t>（承包人名称，以下简称“承包人”）特此签订安全生产合同：</w:t>
      </w:r>
    </w:p>
    <w:p w14:paraId="17512185">
      <w:pPr>
        <w:snapToGrid w:val="0"/>
        <w:spacing w:line="276" w:lineRule="auto"/>
        <w:rPr>
          <w:rFonts w:hint="eastAsia" w:ascii="宋体" w:hAnsi="宋体" w:eastAsia="宋体" w:cs="宋体"/>
          <w:color w:val="0C0C0C"/>
          <w:sz w:val="22"/>
        </w:rPr>
      </w:pPr>
      <w:r>
        <w:rPr>
          <w:rFonts w:hint="eastAsia" w:ascii="宋体" w:hAnsi="宋体" w:eastAsia="宋体" w:cs="宋体"/>
          <w:color w:val="0C0C0C"/>
          <w:sz w:val="22"/>
        </w:rPr>
        <w:t xml:space="preserve">  1.发包人职责</w:t>
      </w:r>
    </w:p>
    <w:p w14:paraId="497E47F8">
      <w:pPr>
        <w:snapToGrid w:val="0"/>
        <w:spacing w:line="276" w:lineRule="auto"/>
        <w:rPr>
          <w:rFonts w:hint="eastAsia" w:ascii="宋体" w:hAnsi="宋体" w:eastAsia="宋体" w:cs="宋体"/>
          <w:color w:val="0C0C0C"/>
          <w:sz w:val="22"/>
        </w:rPr>
      </w:pPr>
      <w:r>
        <w:rPr>
          <w:rFonts w:hint="eastAsia" w:ascii="宋体" w:hAnsi="宋体" w:eastAsia="宋体" w:cs="宋体"/>
          <w:color w:val="0C0C0C"/>
          <w:sz w:val="22"/>
        </w:rPr>
        <w:t xml:space="preserve">  （1）严格遵守国家有关安全生产的法律法规，认真执行工程承包合同中的有关安全要求,达到“零死亡”安全管理目标。 </w:t>
      </w:r>
    </w:p>
    <w:p w14:paraId="0EE579CE">
      <w:pPr>
        <w:snapToGrid w:val="0"/>
        <w:spacing w:line="276" w:lineRule="auto"/>
        <w:rPr>
          <w:rFonts w:hint="eastAsia" w:ascii="宋体" w:hAnsi="宋体" w:eastAsia="宋体" w:cs="宋体"/>
          <w:color w:val="0C0C0C"/>
          <w:sz w:val="22"/>
        </w:rPr>
      </w:pPr>
      <w:r>
        <w:rPr>
          <w:rFonts w:hint="eastAsia" w:ascii="宋体" w:hAnsi="宋体" w:eastAsia="宋体" w:cs="宋体"/>
          <w:color w:val="0C0C0C"/>
          <w:sz w:val="22"/>
        </w:rPr>
        <w:t xml:space="preserve"> （2）按照“安全第一、预防为主”和坚持“管生产必须管安全”的原则进行安全生产管理，做到生产与安全工作同时计划、布置、检查、总结和评比。</w:t>
      </w:r>
    </w:p>
    <w:p w14:paraId="5D130F3B">
      <w:pPr>
        <w:snapToGrid w:val="0"/>
        <w:spacing w:line="276" w:lineRule="auto"/>
        <w:rPr>
          <w:rFonts w:hint="eastAsia" w:ascii="宋体" w:hAnsi="宋体" w:eastAsia="宋体" w:cs="宋体"/>
          <w:color w:val="0C0C0C"/>
          <w:sz w:val="22"/>
        </w:rPr>
      </w:pPr>
      <w:r>
        <w:rPr>
          <w:rFonts w:hint="eastAsia" w:ascii="宋体" w:hAnsi="宋体" w:eastAsia="宋体" w:cs="宋体"/>
          <w:color w:val="0C0C0C"/>
          <w:sz w:val="22"/>
        </w:rPr>
        <w:t xml:space="preserve">  （3）重要的安全设施必须坚持与主体工程“三同时”的原则，即：同时设计、审批，同时施工，同时验收，投入使用。</w:t>
      </w:r>
    </w:p>
    <w:p w14:paraId="6F131197">
      <w:pPr>
        <w:snapToGrid w:val="0"/>
        <w:spacing w:line="276" w:lineRule="auto"/>
        <w:rPr>
          <w:rFonts w:hint="eastAsia" w:ascii="宋体" w:hAnsi="宋体" w:eastAsia="宋体" w:cs="宋体"/>
          <w:color w:val="0C0C0C"/>
          <w:sz w:val="22"/>
        </w:rPr>
      </w:pPr>
      <w:r>
        <w:rPr>
          <w:rFonts w:hint="eastAsia" w:ascii="宋体" w:hAnsi="宋体" w:eastAsia="宋体" w:cs="宋体"/>
          <w:color w:val="0C0C0C"/>
          <w:sz w:val="22"/>
        </w:rPr>
        <w:t xml:space="preserve">  （4）定期召开安全生产调度会，及时传达中央及地方有关安全生产的精神。</w:t>
      </w:r>
    </w:p>
    <w:p w14:paraId="3F17261F">
      <w:pPr>
        <w:snapToGrid w:val="0"/>
        <w:spacing w:line="276" w:lineRule="auto"/>
        <w:rPr>
          <w:rFonts w:hint="eastAsia" w:ascii="宋体" w:hAnsi="宋体" w:eastAsia="宋体" w:cs="宋体"/>
          <w:color w:val="0C0C0C"/>
          <w:sz w:val="22"/>
        </w:rPr>
      </w:pPr>
      <w:r>
        <w:rPr>
          <w:rFonts w:hint="eastAsia" w:ascii="宋体" w:hAnsi="宋体" w:eastAsia="宋体" w:cs="宋体"/>
          <w:color w:val="0C0C0C"/>
          <w:sz w:val="22"/>
        </w:rPr>
        <w:t xml:space="preserve">  （5）组织对承包人施工现场进行安全生产检查，监督承包人及时处理发现的各种安全隐患。</w:t>
      </w:r>
    </w:p>
    <w:p w14:paraId="02308949">
      <w:pPr>
        <w:snapToGrid w:val="0"/>
        <w:spacing w:line="276" w:lineRule="auto"/>
        <w:ind w:firstLine="220" w:firstLineChars="100"/>
        <w:rPr>
          <w:rFonts w:hint="eastAsia" w:ascii="宋体" w:hAnsi="宋体" w:eastAsia="宋体" w:cs="宋体"/>
          <w:color w:val="0C0C0C"/>
          <w:sz w:val="22"/>
        </w:rPr>
      </w:pPr>
      <w:r>
        <w:rPr>
          <w:rFonts w:hint="eastAsia" w:ascii="宋体" w:hAnsi="宋体" w:eastAsia="宋体" w:cs="宋体"/>
          <w:color w:val="0C0C0C"/>
          <w:sz w:val="22"/>
        </w:rPr>
        <w:t>（6）严格遵守国家有关安全生产的法律法规，认真执行工程承包合同中的有关安全要求。</w:t>
      </w:r>
    </w:p>
    <w:p w14:paraId="328C9024">
      <w:pPr>
        <w:snapToGrid w:val="0"/>
        <w:spacing w:line="276" w:lineRule="auto"/>
        <w:ind w:firstLine="220" w:firstLineChars="100"/>
        <w:rPr>
          <w:rFonts w:hint="eastAsia" w:ascii="宋体" w:hAnsi="宋体" w:eastAsia="宋体" w:cs="宋体"/>
          <w:color w:val="0C0C0C"/>
          <w:sz w:val="22"/>
        </w:rPr>
      </w:pPr>
      <w:r>
        <w:rPr>
          <w:rFonts w:hint="eastAsia" w:ascii="宋体" w:hAnsi="宋体" w:eastAsia="宋体" w:cs="宋体"/>
          <w:color w:val="0C0C0C"/>
          <w:sz w:val="22"/>
        </w:rPr>
        <w:t xml:space="preserve">  2.承包人职责</w:t>
      </w:r>
    </w:p>
    <w:p w14:paraId="68025064">
      <w:pPr>
        <w:snapToGrid w:val="0"/>
        <w:spacing w:line="276" w:lineRule="auto"/>
        <w:rPr>
          <w:rFonts w:hint="eastAsia" w:ascii="宋体" w:hAnsi="宋体" w:eastAsia="宋体" w:cs="宋体"/>
          <w:color w:val="0C0C0C"/>
          <w:sz w:val="22"/>
        </w:rPr>
      </w:pPr>
      <w:r>
        <w:rPr>
          <w:rFonts w:hint="eastAsia" w:ascii="宋体" w:hAnsi="宋体" w:eastAsia="宋体" w:cs="宋体"/>
          <w:color w:val="0C0C0C"/>
          <w:sz w:val="22"/>
        </w:rPr>
        <w:t xml:space="preserve">  （1）严格遵守国家有关安全生产的法律法规，认真执行工程承包合同中的有关安全要求,达到“零死亡”安全管理目标。</w:t>
      </w:r>
    </w:p>
    <w:p w14:paraId="61FAA0A8">
      <w:pPr>
        <w:snapToGrid w:val="0"/>
        <w:spacing w:line="276" w:lineRule="auto"/>
        <w:rPr>
          <w:rFonts w:hint="eastAsia" w:ascii="宋体" w:hAnsi="宋体" w:eastAsia="宋体" w:cs="宋体"/>
          <w:color w:val="0C0C0C"/>
          <w:sz w:val="22"/>
        </w:rPr>
      </w:pPr>
      <w:r>
        <w:rPr>
          <w:rFonts w:hint="eastAsia" w:ascii="宋体" w:hAnsi="宋体" w:eastAsia="宋体" w:cs="宋体"/>
          <w:color w:val="0C0C0C"/>
          <w:sz w:val="22"/>
        </w:rPr>
        <w:t xml:space="preserve">  （2）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条款的各项规定，做到生产与安全工作同时计划、布置、检查、总结和评比。</w:t>
      </w:r>
    </w:p>
    <w:p w14:paraId="2A2BC010">
      <w:pPr>
        <w:snapToGrid w:val="0"/>
        <w:spacing w:line="276" w:lineRule="auto"/>
        <w:rPr>
          <w:rFonts w:hint="eastAsia" w:ascii="宋体" w:hAnsi="宋体" w:eastAsia="宋体" w:cs="宋体"/>
          <w:color w:val="0C0C0C"/>
          <w:sz w:val="22"/>
        </w:rPr>
      </w:pPr>
      <w:r>
        <w:rPr>
          <w:rFonts w:hint="eastAsia" w:ascii="宋体" w:hAnsi="宋体" w:eastAsia="宋体" w:cs="宋体"/>
          <w:color w:val="0C0C0C"/>
          <w:sz w:val="22"/>
        </w:rPr>
        <w:t xml:space="preserve">  （3）建立健全安全生产责任制。从派往项目实施的项目经理到生产工人（包括临时雇请的民工）的安全生产管理系统必须做到纵向到底，一环不漏；各职能部门、人员的安全生产责任制做到横向到边，人人有责。项目经理是安全生产的第一责任人。现场设置的安全机构，应按《公路水运工程安全生产监督管理办法》规定的最低数量和资质条件配备专职安全生产管理人员，专职负责所有员工的安全和治安保卫工作及预防事故的发生。安全机构人员有权按有关规定发布指令，并采取保护性措施防止事故发生。</w:t>
      </w:r>
    </w:p>
    <w:p w14:paraId="53D037A5">
      <w:pPr>
        <w:snapToGrid w:val="0"/>
        <w:spacing w:line="276" w:lineRule="auto"/>
        <w:rPr>
          <w:rFonts w:hint="eastAsia" w:ascii="宋体" w:hAnsi="宋体" w:eastAsia="宋体" w:cs="宋体"/>
          <w:color w:val="0C0C0C"/>
          <w:sz w:val="22"/>
        </w:rPr>
      </w:pPr>
      <w:r>
        <w:rPr>
          <w:rFonts w:hint="eastAsia" w:ascii="宋体" w:hAnsi="宋体" w:eastAsia="宋体" w:cs="宋体"/>
          <w:color w:val="0C0C0C"/>
          <w:sz w:val="22"/>
        </w:rPr>
        <w:t xml:space="preserve">  （4）承包人在任何时候都应采用各种合理的预防措施，防止其员工发生任何违法、违禁、暴力或妨碍治安的行为。</w:t>
      </w:r>
    </w:p>
    <w:p w14:paraId="176AD4A3">
      <w:pPr>
        <w:snapToGrid w:val="0"/>
        <w:spacing w:line="276" w:lineRule="auto"/>
        <w:rPr>
          <w:rFonts w:hint="eastAsia" w:ascii="宋体" w:hAnsi="宋体" w:eastAsia="宋体" w:cs="宋体"/>
          <w:color w:val="0C0C0C"/>
          <w:sz w:val="22"/>
        </w:rPr>
      </w:pPr>
      <w:r>
        <w:rPr>
          <w:rFonts w:hint="eastAsia" w:ascii="宋体" w:hAnsi="宋体" w:eastAsia="宋体" w:cs="宋体"/>
          <w:color w:val="0C0C0C"/>
          <w:sz w:val="22"/>
        </w:rPr>
        <w:t xml:space="preserve">  （5）承包人必须具有劳动安全管理部门颁发的安全生产考核合格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14:paraId="6B23D782">
      <w:pPr>
        <w:snapToGrid w:val="0"/>
        <w:spacing w:line="276" w:lineRule="auto"/>
        <w:rPr>
          <w:rFonts w:hint="eastAsia" w:ascii="宋体" w:hAnsi="宋体" w:eastAsia="宋体" w:cs="宋体"/>
          <w:color w:val="0C0C0C"/>
          <w:sz w:val="22"/>
        </w:rPr>
      </w:pPr>
      <w:r>
        <w:rPr>
          <w:rFonts w:hint="eastAsia" w:ascii="宋体" w:hAnsi="宋体" w:eastAsia="宋体" w:cs="宋体"/>
          <w:color w:val="0C0C0C"/>
          <w:sz w:val="22"/>
        </w:rPr>
        <w:t xml:space="preserve">  （6）对于易燃易爆的材料除应专门妥善保管之外，还应配备有足够的消防设施，所有施工人员应熟悉消防设备的性能和使用方法；承包人不得将任何种类的爆炸物给予、易货或以其他方式转让给任何其他人，或允许、容忍上述同样行为。</w:t>
      </w:r>
    </w:p>
    <w:p w14:paraId="7D1B6684">
      <w:pPr>
        <w:snapToGrid w:val="0"/>
        <w:spacing w:line="276" w:lineRule="auto"/>
        <w:rPr>
          <w:rFonts w:hint="eastAsia" w:ascii="宋体" w:hAnsi="宋体" w:eastAsia="宋体" w:cs="宋体"/>
          <w:color w:val="0C0C0C"/>
          <w:sz w:val="22"/>
        </w:rPr>
      </w:pPr>
      <w:r>
        <w:rPr>
          <w:rFonts w:hint="eastAsia" w:ascii="宋体" w:hAnsi="宋体" w:eastAsia="宋体" w:cs="宋体"/>
          <w:color w:val="0C0C0C"/>
          <w:sz w:val="22"/>
        </w:rPr>
        <w:t xml:space="preserve">  （7）操作人员上岗，必须按规定穿戴防护用品。施工负责人和安全检查员应随时检查劳动防护用品的穿戴情况，不按规定穿戴防护用品的人员不得上岗。</w:t>
      </w:r>
    </w:p>
    <w:p w14:paraId="4AE58CF1">
      <w:pPr>
        <w:snapToGrid w:val="0"/>
        <w:spacing w:line="276" w:lineRule="auto"/>
        <w:ind w:firstLine="220" w:firstLineChars="100"/>
        <w:rPr>
          <w:rFonts w:hint="eastAsia" w:ascii="宋体" w:hAnsi="宋体" w:eastAsia="宋体" w:cs="宋体"/>
          <w:color w:val="0C0C0C"/>
          <w:sz w:val="22"/>
        </w:rPr>
      </w:pPr>
      <w:r>
        <w:rPr>
          <w:rFonts w:hint="eastAsia" w:ascii="宋体" w:hAnsi="宋体" w:eastAsia="宋体" w:cs="宋体"/>
          <w:color w:val="0C0C0C"/>
          <w:sz w:val="22"/>
        </w:rPr>
        <w:t>（8）所有施工机具设备和高空作业的设备均应定期检查，并有安全员的签字记录，保证其经常处于完好状态；不合格的机具、设备和劳保护用品严禁使用。</w:t>
      </w:r>
    </w:p>
    <w:p w14:paraId="17D1C658">
      <w:pPr>
        <w:snapToGrid w:val="0"/>
        <w:spacing w:line="276" w:lineRule="auto"/>
        <w:rPr>
          <w:rFonts w:hint="eastAsia" w:ascii="宋体" w:hAnsi="宋体" w:eastAsia="宋体" w:cs="宋体"/>
          <w:color w:val="0C0C0C"/>
          <w:sz w:val="22"/>
        </w:rPr>
      </w:pPr>
      <w:r>
        <w:rPr>
          <w:rFonts w:hint="eastAsia" w:ascii="宋体" w:hAnsi="宋体" w:eastAsia="宋体" w:cs="宋体"/>
          <w:color w:val="0C0C0C"/>
          <w:sz w:val="22"/>
        </w:rPr>
        <w:t xml:space="preserve">  （9）施工中采用新技术、新工艺、新设备、新材料时，必须制定相应的安全技术措施，施工现场必须具有相关的安全标志牌。</w:t>
      </w:r>
    </w:p>
    <w:p w14:paraId="242FE6BB">
      <w:pPr>
        <w:snapToGrid w:val="0"/>
        <w:spacing w:line="276" w:lineRule="auto"/>
        <w:ind w:firstLine="420"/>
        <w:rPr>
          <w:rFonts w:hint="eastAsia" w:ascii="宋体" w:hAnsi="宋体" w:eastAsia="宋体" w:cs="宋体"/>
          <w:color w:val="0C0C0C"/>
          <w:sz w:val="22"/>
        </w:rPr>
      </w:pPr>
      <w:r>
        <w:rPr>
          <w:rFonts w:hint="eastAsia" w:ascii="宋体" w:hAnsi="宋体" w:eastAsia="宋体" w:cs="宋体"/>
          <w:color w:val="0C0C0C"/>
          <w:sz w:val="22"/>
        </w:rPr>
        <w:t>（10）承包人必须按照本工程项目特点，组织制定本工程实施中的生产安全事故应急救援预案；如果发生安全事故，应按照《国务院关于特大安全事故行政责任追究的规定》以及其它有关规定，及时上报有关部门，并坚持“四不放过”的原则，严肃处理相关责任人。</w:t>
      </w:r>
    </w:p>
    <w:p w14:paraId="1C39CB00">
      <w:pPr>
        <w:snapToGrid w:val="0"/>
        <w:spacing w:line="276" w:lineRule="auto"/>
        <w:ind w:firstLine="420"/>
        <w:rPr>
          <w:rFonts w:hint="eastAsia" w:ascii="宋体" w:hAnsi="宋体" w:eastAsia="宋体" w:cs="宋体"/>
          <w:color w:val="0C0C0C"/>
          <w:sz w:val="22"/>
        </w:rPr>
      </w:pPr>
      <w:r>
        <w:rPr>
          <w:rFonts w:hint="eastAsia" w:ascii="宋体" w:hAnsi="宋体" w:eastAsia="宋体" w:cs="宋体"/>
          <w:color w:val="0C0C0C"/>
          <w:sz w:val="22"/>
        </w:rPr>
        <w:t>（11）安全生产费用按照《公路水运工程安全生产监督管理办法》的相关规定使用和管理。</w:t>
      </w:r>
    </w:p>
    <w:p w14:paraId="085056D4">
      <w:pPr>
        <w:snapToGrid w:val="0"/>
        <w:spacing w:line="276" w:lineRule="auto"/>
        <w:ind w:firstLine="440" w:firstLineChars="200"/>
        <w:rPr>
          <w:rFonts w:hint="eastAsia" w:ascii="宋体" w:hAnsi="宋体" w:eastAsia="宋体" w:cs="宋体"/>
          <w:color w:val="0C0C0C"/>
          <w:sz w:val="22"/>
        </w:rPr>
      </w:pPr>
      <w:r>
        <w:rPr>
          <w:rFonts w:hint="eastAsia" w:ascii="宋体" w:hAnsi="宋体" w:eastAsia="宋体" w:cs="宋体"/>
          <w:color w:val="0C0C0C"/>
          <w:sz w:val="22"/>
        </w:rPr>
        <w:t>（12）严格遵守《中华人民共和国安全生产法》、《建设工程安全生产管理条例》等国家有关安全生的法律法规、《公路水运工程安全生产监督管理办法》、《公路工程施工安全技术规程》和《公路筑养路机械操作规程》有关安全生产的规定。认真执行工程承包合同中的有关安全要求。</w:t>
      </w:r>
    </w:p>
    <w:p w14:paraId="7B8947F9">
      <w:pPr>
        <w:snapToGrid w:val="0"/>
        <w:spacing w:line="276" w:lineRule="auto"/>
        <w:rPr>
          <w:rFonts w:hint="eastAsia" w:ascii="宋体" w:hAnsi="宋体" w:eastAsia="宋体" w:cs="宋体"/>
          <w:color w:val="0C0C0C"/>
          <w:sz w:val="22"/>
        </w:rPr>
      </w:pPr>
      <w:r>
        <w:rPr>
          <w:rFonts w:hint="eastAsia" w:ascii="宋体" w:hAnsi="宋体" w:eastAsia="宋体" w:cs="宋体"/>
          <w:color w:val="0C0C0C"/>
          <w:sz w:val="22"/>
        </w:rPr>
        <w:t xml:space="preserve">  3.违约责任</w:t>
      </w:r>
    </w:p>
    <w:p w14:paraId="6E5CAD99">
      <w:pPr>
        <w:snapToGrid w:val="0"/>
        <w:spacing w:line="276" w:lineRule="auto"/>
        <w:ind w:firstLine="420"/>
        <w:rPr>
          <w:rFonts w:hint="eastAsia" w:ascii="宋体" w:hAnsi="宋体" w:eastAsia="宋体" w:cs="宋体"/>
          <w:color w:val="0C0C0C"/>
          <w:sz w:val="22"/>
        </w:rPr>
      </w:pPr>
      <w:r>
        <w:rPr>
          <w:rFonts w:hint="eastAsia" w:ascii="宋体" w:hAnsi="宋体" w:eastAsia="宋体" w:cs="宋体"/>
          <w:color w:val="0C0C0C"/>
          <w:sz w:val="22"/>
        </w:rPr>
        <w:t>如因发包人或承包人违约造成安全事故，将依法追究责任。</w:t>
      </w:r>
    </w:p>
    <w:p w14:paraId="64513CCC">
      <w:pPr>
        <w:snapToGrid w:val="0"/>
        <w:spacing w:line="276" w:lineRule="auto"/>
        <w:ind w:firstLine="220" w:firstLineChars="100"/>
        <w:rPr>
          <w:rFonts w:hint="eastAsia" w:ascii="宋体" w:hAnsi="宋体" w:eastAsia="宋体" w:cs="宋体"/>
          <w:color w:val="0C0C0C"/>
          <w:sz w:val="22"/>
        </w:rPr>
      </w:pPr>
      <w:r>
        <w:rPr>
          <w:rFonts w:hint="eastAsia" w:ascii="宋体" w:hAnsi="宋体" w:eastAsia="宋体" w:cs="宋体"/>
          <w:color w:val="0C0C0C"/>
          <w:sz w:val="22"/>
        </w:rPr>
        <w:t>4.本合同由双方法定代表人或其授权的代理人签署并加盖单位章后生效，全部工程竣工验收后失效。</w:t>
      </w:r>
    </w:p>
    <w:p w14:paraId="4ACE7C76">
      <w:pPr>
        <w:snapToGrid w:val="0"/>
        <w:spacing w:line="276" w:lineRule="auto"/>
        <w:ind w:firstLine="220" w:firstLineChars="100"/>
        <w:rPr>
          <w:rFonts w:hint="eastAsia" w:ascii="宋体" w:hAnsi="宋体" w:eastAsia="宋体" w:cs="宋体"/>
          <w:color w:val="0C0C0C"/>
          <w:sz w:val="22"/>
        </w:rPr>
      </w:pPr>
      <w:r>
        <w:rPr>
          <w:rFonts w:hint="eastAsia" w:ascii="宋体" w:hAnsi="宋体" w:eastAsia="宋体" w:cs="宋体"/>
          <w:color w:val="0C0C0C"/>
          <w:sz w:val="22"/>
        </w:rPr>
        <w:t>5.本合同正本二份，副本</w:t>
      </w:r>
      <w:r>
        <w:rPr>
          <w:rFonts w:hint="eastAsia" w:ascii="宋体" w:hAnsi="宋体" w:eastAsia="宋体" w:cs="宋体"/>
          <w:color w:val="0C0C0C"/>
          <w:sz w:val="22"/>
          <w:u w:val="single"/>
        </w:rPr>
        <w:t xml:space="preserve">  </w:t>
      </w:r>
      <w:r>
        <w:rPr>
          <w:rFonts w:hint="eastAsia" w:ascii="宋体" w:hAnsi="宋体" w:eastAsia="宋体" w:cs="宋体"/>
          <w:color w:val="0C0C0C"/>
          <w:sz w:val="22"/>
        </w:rPr>
        <w:t>份，合同双方各执正本一份，副本</w:t>
      </w:r>
      <w:r>
        <w:rPr>
          <w:rFonts w:hint="eastAsia" w:ascii="宋体" w:hAnsi="宋体" w:eastAsia="宋体" w:cs="宋体"/>
          <w:color w:val="0C0C0C"/>
          <w:sz w:val="22"/>
          <w:u w:val="single"/>
        </w:rPr>
        <w:t xml:space="preserve">  </w:t>
      </w:r>
      <w:r>
        <w:rPr>
          <w:rFonts w:hint="eastAsia" w:ascii="宋体" w:hAnsi="宋体" w:eastAsia="宋体" w:cs="宋体"/>
          <w:color w:val="0C0C0C"/>
          <w:sz w:val="22"/>
        </w:rPr>
        <w:t>份，当正本与副本的内容不一致时，以正本为准。</w:t>
      </w:r>
    </w:p>
    <w:p w14:paraId="7CD6C050">
      <w:pPr>
        <w:snapToGrid w:val="0"/>
        <w:spacing w:line="276" w:lineRule="auto"/>
        <w:ind w:firstLine="420"/>
        <w:rPr>
          <w:rFonts w:hint="eastAsia" w:ascii="宋体" w:hAnsi="宋体" w:eastAsia="宋体" w:cs="宋体"/>
          <w:color w:val="0C0C0C"/>
        </w:rPr>
      </w:pPr>
      <w:r>
        <w:rPr>
          <w:rFonts w:hint="eastAsia" w:ascii="宋体" w:hAnsi="宋体" w:eastAsia="宋体" w:cs="宋体"/>
          <w:color w:val="0C0C0C"/>
          <w:sz w:val="20"/>
        </w:rPr>
        <w:t xml:space="preserve"> </w:t>
      </w:r>
    </w:p>
    <w:p w14:paraId="07063DB2">
      <w:pPr>
        <w:snapToGrid w:val="0"/>
        <w:spacing w:line="276" w:lineRule="auto"/>
        <w:rPr>
          <w:rFonts w:hint="eastAsia" w:ascii="宋体" w:hAnsi="宋体" w:eastAsia="宋体" w:cs="宋体"/>
          <w:color w:val="0C0C0C"/>
          <w:sz w:val="20"/>
        </w:rPr>
      </w:pPr>
      <w:r>
        <w:rPr>
          <w:rFonts w:hint="eastAsia" w:ascii="宋体" w:hAnsi="宋体" w:eastAsia="宋体" w:cs="宋体"/>
          <w:color w:val="0C0C0C"/>
          <w:sz w:val="20"/>
        </w:rPr>
        <w:t>发包人：</w:t>
      </w:r>
      <w:r>
        <w:rPr>
          <w:rFonts w:hint="eastAsia" w:ascii="宋体" w:hAnsi="宋体" w:eastAsia="宋体" w:cs="宋体"/>
          <w:color w:val="0C0C0C"/>
          <w:sz w:val="20"/>
          <w:u w:val="single"/>
        </w:rPr>
        <w:t xml:space="preserve">                 </w:t>
      </w:r>
      <w:r>
        <w:rPr>
          <w:rFonts w:hint="eastAsia" w:ascii="宋体" w:hAnsi="宋体" w:eastAsia="宋体" w:cs="宋体"/>
          <w:color w:val="0C0C0C"/>
          <w:sz w:val="20"/>
        </w:rPr>
        <w:t>（盖单位章）     承包人：</w:t>
      </w:r>
      <w:r>
        <w:rPr>
          <w:rFonts w:hint="eastAsia" w:ascii="宋体" w:hAnsi="宋体" w:eastAsia="宋体" w:cs="宋体"/>
          <w:color w:val="0C0C0C"/>
          <w:sz w:val="20"/>
          <w:u w:val="single"/>
        </w:rPr>
        <w:t xml:space="preserve">                </w:t>
      </w:r>
      <w:r>
        <w:rPr>
          <w:rFonts w:hint="eastAsia" w:ascii="宋体" w:hAnsi="宋体" w:eastAsia="宋体" w:cs="宋体"/>
          <w:color w:val="0C0C0C"/>
          <w:sz w:val="20"/>
        </w:rPr>
        <w:t>（盖单位章）</w:t>
      </w:r>
    </w:p>
    <w:p w14:paraId="266009EC">
      <w:pPr>
        <w:snapToGrid w:val="0"/>
        <w:spacing w:line="276" w:lineRule="auto"/>
        <w:rPr>
          <w:rFonts w:hint="eastAsia" w:ascii="宋体" w:hAnsi="宋体" w:eastAsia="宋体" w:cs="宋体"/>
          <w:color w:val="0C0C0C"/>
          <w:sz w:val="20"/>
        </w:rPr>
      </w:pPr>
      <w:r>
        <w:rPr>
          <w:rFonts w:hint="eastAsia" w:ascii="宋体" w:hAnsi="宋体" w:eastAsia="宋体" w:cs="宋体"/>
          <w:color w:val="0C0C0C"/>
          <w:sz w:val="20"/>
        </w:rPr>
        <w:t>法定代表人或其委托代理人：</w:t>
      </w:r>
      <w:r>
        <w:rPr>
          <w:rFonts w:hint="eastAsia" w:ascii="宋体" w:hAnsi="宋体" w:eastAsia="宋体" w:cs="宋体"/>
          <w:color w:val="0C0C0C"/>
          <w:sz w:val="20"/>
          <w:u w:val="single"/>
        </w:rPr>
        <w:t xml:space="preserve">    </w:t>
      </w:r>
      <w:r>
        <w:rPr>
          <w:rFonts w:hint="eastAsia" w:ascii="宋体" w:hAnsi="宋体" w:eastAsia="宋体" w:cs="宋体"/>
          <w:color w:val="0C0C0C"/>
          <w:sz w:val="20"/>
        </w:rPr>
        <w:t>（签字）   法定代表人或其委托代理人：</w:t>
      </w:r>
      <w:r>
        <w:rPr>
          <w:rFonts w:hint="eastAsia" w:ascii="宋体" w:hAnsi="宋体" w:eastAsia="宋体" w:cs="宋体"/>
          <w:color w:val="0C0C0C"/>
          <w:sz w:val="20"/>
          <w:u w:val="single"/>
        </w:rPr>
        <w:t xml:space="preserve">      </w:t>
      </w:r>
      <w:r>
        <w:rPr>
          <w:rFonts w:hint="eastAsia" w:ascii="宋体" w:hAnsi="宋体" w:eastAsia="宋体" w:cs="宋体"/>
          <w:color w:val="0C0C0C"/>
          <w:sz w:val="20"/>
        </w:rPr>
        <w:t>（签字）</w:t>
      </w:r>
    </w:p>
    <w:p w14:paraId="0E57CC4D">
      <w:pPr>
        <w:snapToGrid w:val="0"/>
        <w:spacing w:line="276" w:lineRule="auto"/>
        <w:ind w:firstLine="1200" w:firstLineChars="600"/>
        <w:rPr>
          <w:rFonts w:hint="eastAsia" w:ascii="宋体" w:hAnsi="宋体" w:eastAsia="宋体" w:cs="宋体"/>
          <w:color w:val="0C0C0C"/>
          <w:sz w:val="20"/>
        </w:rPr>
      </w:pPr>
      <w:r>
        <w:rPr>
          <w:rFonts w:hint="eastAsia" w:ascii="宋体" w:hAnsi="宋体" w:eastAsia="宋体" w:cs="宋体"/>
          <w:color w:val="0C0C0C"/>
          <w:sz w:val="20"/>
          <w:u w:val="single"/>
        </w:rPr>
        <w:t xml:space="preserve">       </w:t>
      </w:r>
      <w:r>
        <w:rPr>
          <w:rFonts w:hint="eastAsia" w:ascii="宋体" w:hAnsi="宋体" w:eastAsia="宋体" w:cs="宋体"/>
          <w:color w:val="0C0C0C"/>
          <w:sz w:val="20"/>
        </w:rPr>
        <w:t>年</w:t>
      </w:r>
      <w:r>
        <w:rPr>
          <w:rFonts w:hint="eastAsia" w:ascii="宋体" w:hAnsi="宋体" w:eastAsia="宋体" w:cs="宋体"/>
          <w:color w:val="0C0C0C"/>
          <w:sz w:val="20"/>
          <w:u w:val="single"/>
        </w:rPr>
        <w:t xml:space="preserve">     </w:t>
      </w:r>
      <w:r>
        <w:rPr>
          <w:rFonts w:hint="eastAsia" w:ascii="宋体" w:hAnsi="宋体" w:eastAsia="宋体" w:cs="宋体"/>
          <w:color w:val="0C0C0C"/>
          <w:sz w:val="20"/>
        </w:rPr>
        <w:t xml:space="preserve">月 </w:t>
      </w:r>
      <w:r>
        <w:rPr>
          <w:rFonts w:hint="eastAsia" w:ascii="宋体" w:hAnsi="宋体" w:eastAsia="宋体" w:cs="宋体"/>
          <w:color w:val="0C0C0C"/>
          <w:sz w:val="20"/>
          <w:u w:val="single"/>
        </w:rPr>
        <w:t xml:space="preserve">     </w:t>
      </w:r>
      <w:r>
        <w:rPr>
          <w:rFonts w:hint="eastAsia" w:ascii="宋体" w:hAnsi="宋体" w:eastAsia="宋体" w:cs="宋体"/>
          <w:color w:val="0C0C0C"/>
          <w:sz w:val="20"/>
        </w:rPr>
        <w:t xml:space="preserve">日             </w:t>
      </w:r>
      <w:r>
        <w:rPr>
          <w:rFonts w:hint="eastAsia" w:ascii="宋体" w:hAnsi="宋体" w:eastAsia="宋体" w:cs="宋体"/>
          <w:color w:val="0C0C0C"/>
          <w:sz w:val="20"/>
          <w:u w:val="single"/>
        </w:rPr>
        <w:t xml:space="preserve">      </w:t>
      </w:r>
      <w:r>
        <w:rPr>
          <w:rFonts w:hint="eastAsia" w:ascii="宋体" w:hAnsi="宋体" w:eastAsia="宋体" w:cs="宋体"/>
          <w:color w:val="0C0C0C"/>
          <w:sz w:val="20"/>
        </w:rPr>
        <w:t>年</w:t>
      </w:r>
      <w:r>
        <w:rPr>
          <w:rFonts w:hint="eastAsia" w:ascii="宋体" w:hAnsi="宋体" w:eastAsia="宋体" w:cs="宋体"/>
          <w:color w:val="0C0C0C"/>
          <w:sz w:val="20"/>
          <w:u w:val="single"/>
        </w:rPr>
        <w:t xml:space="preserve">     </w:t>
      </w:r>
      <w:r>
        <w:rPr>
          <w:rFonts w:hint="eastAsia" w:ascii="宋体" w:hAnsi="宋体" w:eastAsia="宋体" w:cs="宋体"/>
          <w:color w:val="0C0C0C"/>
          <w:sz w:val="20"/>
        </w:rPr>
        <w:t xml:space="preserve">月 </w:t>
      </w:r>
      <w:r>
        <w:rPr>
          <w:rFonts w:hint="eastAsia" w:ascii="宋体" w:hAnsi="宋体" w:eastAsia="宋体" w:cs="宋体"/>
          <w:color w:val="0C0C0C"/>
          <w:sz w:val="20"/>
          <w:u w:val="single"/>
        </w:rPr>
        <w:t xml:space="preserve">     </w:t>
      </w:r>
      <w:r>
        <w:rPr>
          <w:rFonts w:hint="eastAsia" w:ascii="宋体" w:hAnsi="宋体" w:eastAsia="宋体" w:cs="宋体"/>
          <w:color w:val="0C0C0C"/>
          <w:sz w:val="20"/>
        </w:rPr>
        <w:t>日</w:t>
      </w:r>
    </w:p>
    <w:p w14:paraId="26FC797E">
      <w:pPr>
        <w:pStyle w:val="5"/>
        <w:ind w:firstLine="420"/>
        <w:rPr>
          <w:rFonts w:hint="eastAsia" w:ascii="宋体" w:hAnsi="宋体" w:eastAsia="宋体" w:cs="宋体"/>
          <w:color w:val="0C0C0C"/>
        </w:rPr>
      </w:pPr>
    </w:p>
    <w:p w14:paraId="505EA8A0">
      <w:pPr>
        <w:pStyle w:val="6"/>
        <w:rPr>
          <w:rFonts w:hint="eastAsia" w:ascii="宋体" w:hAnsi="宋体" w:eastAsia="宋体" w:cs="宋体"/>
          <w:color w:val="0C0C0C"/>
        </w:rPr>
      </w:pPr>
    </w:p>
    <w:p w14:paraId="5B52491E">
      <w:pPr>
        <w:rPr>
          <w:rFonts w:hint="eastAsia" w:ascii="宋体" w:hAnsi="宋体" w:eastAsia="宋体" w:cs="宋体"/>
          <w:color w:val="0C0C0C"/>
        </w:rPr>
      </w:pPr>
    </w:p>
    <w:p w14:paraId="6DBC1780">
      <w:pPr>
        <w:pStyle w:val="5"/>
        <w:ind w:firstLine="420"/>
        <w:rPr>
          <w:rFonts w:hint="eastAsia" w:ascii="宋体" w:hAnsi="宋体" w:eastAsia="宋体" w:cs="宋体"/>
          <w:color w:val="0C0C0C"/>
        </w:rPr>
      </w:pPr>
    </w:p>
    <w:p w14:paraId="5B9B9E3F">
      <w:pPr>
        <w:pStyle w:val="6"/>
        <w:rPr>
          <w:rFonts w:hint="eastAsia" w:ascii="宋体" w:hAnsi="宋体" w:eastAsia="宋体" w:cs="宋体"/>
          <w:color w:val="0C0C0C"/>
        </w:rPr>
      </w:pPr>
    </w:p>
    <w:p w14:paraId="6CE1257A">
      <w:pPr>
        <w:rPr>
          <w:rFonts w:hint="eastAsia" w:ascii="宋体" w:hAnsi="宋体" w:eastAsia="宋体" w:cs="宋体"/>
          <w:color w:val="0C0C0C"/>
        </w:rPr>
      </w:pPr>
    </w:p>
    <w:p w14:paraId="1B18218F">
      <w:pPr>
        <w:pStyle w:val="7"/>
        <w:rPr>
          <w:rFonts w:hint="eastAsia" w:ascii="宋体" w:hAnsi="宋体" w:eastAsia="宋体" w:cs="宋体"/>
          <w:color w:val="0C0C0C"/>
        </w:rPr>
      </w:pPr>
    </w:p>
    <w:p w14:paraId="18FDCC61">
      <w:pPr>
        <w:pStyle w:val="7"/>
        <w:rPr>
          <w:rFonts w:hint="eastAsia" w:ascii="宋体" w:hAnsi="宋体" w:eastAsia="宋体" w:cs="宋体"/>
          <w:color w:val="0C0C0C"/>
        </w:rPr>
      </w:pPr>
    </w:p>
    <w:p w14:paraId="431A5E57">
      <w:pPr>
        <w:pStyle w:val="7"/>
        <w:rPr>
          <w:rFonts w:hint="eastAsia" w:ascii="宋体" w:hAnsi="宋体" w:eastAsia="宋体" w:cs="宋体"/>
          <w:color w:val="0C0C0C"/>
        </w:rPr>
      </w:pPr>
    </w:p>
    <w:p w14:paraId="60722BE5">
      <w:pPr>
        <w:pStyle w:val="7"/>
        <w:rPr>
          <w:rFonts w:hint="eastAsia" w:ascii="宋体" w:hAnsi="宋体" w:eastAsia="宋体" w:cs="宋体"/>
          <w:color w:val="0C0C0C"/>
        </w:rPr>
      </w:pPr>
    </w:p>
    <w:p w14:paraId="545C332E">
      <w:pPr>
        <w:pStyle w:val="7"/>
        <w:rPr>
          <w:rFonts w:hint="eastAsia" w:ascii="宋体" w:hAnsi="宋体" w:eastAsia="宋体" w:cs="宋体"/>
          <w:color w:val="0C0C0C"/>
        </w:rPr>
      </w:pPr>
    </w:p>
    <w:p w14:paraId="76716ACF">
      <w:pPr>
        <w:pStyle w:val="7"/>
        <w:rPr>
          <w:rFonts w:hint="eastAsia" w:ascii="宋体" w:hAnsi="宋体" w:eastAsia="宋体" w:cs="宋体"/>
          <w:color w:val="0C0C0C"/>
        </w:rPr>
      </w:pPr>
    </w:p>
    <w:p w14:paraId="70976838">
      <w:pPr>
        <w:pStyle w:val="7"/>
        <w:rPr>
          <w:rFonts w:hint="eastAsia" w:ascii="宋体" w:hAnsi="宋体" w:eastAsia="宋体" w:cs="宋体"/>
          <w:color w:val="0C0C0C"/>
        </w:rPr>
      </w:pPr>
    </w:p>
    <w:p w14:paraId="6BFE27F8">
      <w:pPr>
        <w:pStyle w:val="7"/>
        <w:rPr>
          <w:rFonts w:hint="eastAsia" w:ascii="宋体" w:hAnsi="宋体" w:eastAsia="宋体" w:cs="宋体"/>
          <w:color w:val="0C0C0C"/>
        </w:rPr>
      </w:pPr>
    </w:p>
    <w:p w14:paraId="2BCC926F">
      <w:pPr>
        <w:pStyle w:val="7"/>
        <w:rPr>
          <w:rFonts w:hint="eastAsia" w:ascii="宋体" w:hAnsi="宋体" w:eastAsia="宋体" w:cs="宋体"/>
          <w:color w:val="0C0C0C"/>
        </w:rPr>
      </w:pPr>
    </w:p>
    <w:p w14:paraId="55F11A52">
      <w:pPr>
        <w:pStyle w:val="5"/>
        <w:ind w:firstLine="420"/>
        <w:rPr>
          <w:rFonts w:hint="eastAsia" w:ascii="宋体" w:hAnsi="宋体" w:eastAsia="宋体" w:cs="宋体"/>
          <w:color w:val="0C0C0C"/>
        </w:rPr>
      </w:pPr>
    </w:p>
    <w:p w14:paraId="2EA442F7">
      <w:pPr>
        <w:pStyle w:val="6"/>
        <w:rPr>
          <w:rFonts w:hint="eastAsia" w:ascii="宋体" w:hAnsi="宋体" w:eastAsia="宋体" w:cs="宋体"/>
          <w:color w:val="0C0C0C"/>
        </w:rPr>
      </w:pPr>
    </w:p>
    <w:p w14:paraId="3C2A5EEC">
      <w:pPr>
        <w:pStyle w:val="3"/>
        <w:snapToGrid w:val="0"/>
        <w:spacing w:before="0" w:after="0" w:line="240" w:lineRule="auto"/>
        <w:ind w:firstLine="440"/>
        <w:contextualSpacing/>
        <w:rPr>
          <w:rFonts w:hint="eastAsia" w:ascii="宋体" w:hAnsi="宋体" w:eastAsia="宋体" w:cs="宋体"/>
          <w:color w:val="0C0C0C"/>
          <w:sz w:val="22"/>
          <w:szCs w:val="24"/>
        </w:rPr>
      </w:pPr>
      <w:bookmarkStart w:id="547" w:name="_Toc139462834"/>
      <w:bookmarkStart w:id="548" w:name="_Toc139463633"/>
      <w:bookmarkStart w:id="549" w:name="_Toc120443092"/>
      <w:bookmarkStart w:id="550" w:name="_Toc139464398"/>
      <w:r>
        <w:rPr>
          <w:rFonts w:hint="eastAsia" w:ascii="宋体" w:hAnsi="宋体" w:eastAsia="宋体" w:cs="宋体"/>
          <w:color w:val="0C0C0C"/>
          <w:sz w:val="22"/>
          <w:szCs w:val="24"/>
        </w:rPr>
        <w:t>附件四 环境保护合同</w:t>
      </w:r>
      <w:bookmarkEnd w:id="547"/>
      <w:bookmarkEnd w:id="548"/>
      <w:bookmarkEnd w:id="549"/>
      <w:bookmarkEnd w:id="550"/>
    </w:p>
    <w:p w14:paraId="7730CC35">
      <w:pPr>
        <w:snapToGrid w:val="0"/>
        <w:spacing w:line="276" w:lineRule="auto"/>
        <w:jc w:val="center"/>
        <w:rPr>
          <w:rFonts w:hint="eastAsia" w:ascii="宋体" w:hAnsi="宋体" w:eastAsia="宋体" w:cs="宋体"/>
          <w:bCs/>
          <w:color w:val="0C0C0C"/>
          <w:sz w:val="28"/>
          <w:szCs w:val="30"/>
        </w:rPr>
      </w:pPr>
      <w:bookmarkStart w:id="551" w:name="_Toc30508"/>
    </w:p>
    <w:p w14:paraId="56B2A9D3">
      <w:pPr>
        <w:snapToGrid w:val="0"/>
        <w:spacing w:line="276" w:lineRule="auto"/>
        <w:jc w:val="center"/>
        <w:rPr>
          <w:rFonts w:hint="eastAsia" w:ascii="宋体" w:hAnsi="宋体" w:eastAsia="宋体" w:cs="宋体"/>
          <w:color w:val="0C0C0C"/>
        </w:rPr>
      </w:pPr>
      <w:r>
        <w:rPr>
          <w:rFonts w:hint="eastAsia" w:ascii="宋体" w:hAnsi="宋体" w:eastAsia="宋体" w:cs="宋体"/>
          <w:bCs/>
          <w:color w:val="0C0C0C"/>
          <w:sz w:val="24"/>
          <w:szCs w:val="30"/>
        </w:rPr>
        <w:t>施工环境保护协议书合同范本</w:t>
      </w:r>
      <w:bookmarkEnd w:id="551"/>
    </w:p>
    <w:p w14:paraId="6363934F">
      <w:pPr>
        <w:spacing w:line="276" w:lineRule="auto"/>
        <w:rPr>
          <w:rFonts w:hint="eastAsia" w:ascii="宋体" w:hAnsi="宋体" w:eastAsia="宋体" w:cs="宋体"/>
          <w:color w:val="0C0C0C"/>
          <w:sz w:val="22"/>
        </w:rPr>
      </w:pPr>
      <w:r>
        <w:rPr>
          <w:rFonts w:hint="eastAsia" w:ascii="宋体" w:hAnsi="宋体" w:eastAsia="宋体" w:cs="宋体"/>
          <w:color w:val="0C0C0C"/>
          <w:sz w:val="22"/>
        </w:rPr>
        <w:t xml:space="preserve">甲 方： </w:t>
      </w:r>
      <w:r>
        <w:rPr>
          <w:rFonts w:hint="eastAsia" w:ascii="宋体" w:hAnsi="宋体" w:eastAsia="宋体" w:cs="宋体"/>
          <w:color w:val="0C0C0C"/>
          <w:sz w:val="22"/>
        </w:rPr>
        <w:tab/>
      </w:r>
    </w:p>
    <w:p w14:paraId="5A0373EB">
      <w:pPr>
        <w:spacing w:line="276" w:lineRule="auto"/>
        <w:rPr>
          <w:rFonts w:hint="eastAsia" w:ascii="宋体" w:hAnsi="宋体" w:eastAsia="宋体" w:cs="宋体"/>
          <w:color w:val="0C0C0C"/>
          <w:sz w:val="22"/>
        </w:rPr>
      </w:pPr>
      <w:r>
        <w:rPr>
          <w:rFonts w:hint="eastAsia" w:ascii="宋体" w:hAnsi="宋体" w:eastAsia="宋体" w:cs="宋体"/>
          <w:color w:val="0C0C0C"/>
          <w:sz w:val="22"/>
        </w:rPr>
        <w:t xml:space="preserve">乙 方： </w:t>
      </w:r>
      <w:r>
        <w:rPr>
          <w:rFonts w:hint="eastAsia" w:ascii="宋体" w:hAnsi="宋体" w:eastAsia="宋体" w:cs="宋体"/>
          <w:color w:val="0C0C0C"/>
          <w:sz w:val="22"/>
        </w:rPr>
        <w:tab/>
      </w:r>
    </w:p>
    <w:p w14:paraId="0D0ADD73">
      <w:pPr>
        <w:spacing w:line="276" w:lineRule="auto"/>
        <w:rPr>
          <w:rFonts w:hint="eastAsia" w:ascii="宋体" w:hAnsi="宋体" w:eastAsia="宋体" w:cs="宋体"/>
          <w:color w:val="0C0C0C"/>
          <w:sz w:val="22"/>
        </w:rPr>
      </w:pPr>
    </w:p>
    <w:p w14:paraId="168691D1">
      <w:pPr>
        <w:spacing w:line="276" w:lineRule="auto"/>
        <w:ind w:firstLine="440" w:firstLineChars="200"/>
        <w:rPr>
          <w:rFonts w:hint="eastAsia" w:ascii="宋体" w:hAnsi="宋体" w:eastAsia="宋体" w:cs="宋体"/>
          <w:color w:val="0C0C0C"/>
          <w:sz w:val="22"/>
        </w:rPr>
      </w:pPr>
      <w:r>
        <w:rPr>
          <w:rFonts w:hint="eastAsia" w:ascii="宋体" w:hAnsi="宋体" w:eastAsia="宋体" w:cs="宋体"/>
          <w:color w:val="0C0C0C"/>
          <w:sz w:val="22"/>
        </w:rPr>
        <w:t>为加强施工安全管理，依据《中华人民共和国合同法》、《中华人民共和国安全生产法》以及有关安全环保管理的法律法规，经甲乙双方共同协商，并本着自愿、公平、一致的原则，就乙方在为甲方提供工程服务过程中的安全施工环境保护事项达成如下协议。</w:t>
      </w:r>
    </w:p>
    <w:p w14:paraId="4A3EE7A8">
      <w:pPr>
        <w:spacing w:line="276" w:lineRule="auto"/>
        <w:rPr>
          <w:rFonts w:hint="eastAsia" w:ascii="宋体" w:hAnsi="宋体" w:eastAsia="宋体" w:cs="宋体"/>
          <w:color w:val="0C0C0C"/>
          <w:sz w:val="22"/>
        </w:rPr>
      </w:pPr>
      <w:r>
        <w:rPr>
          <w:rFonts w:hint="eastAsia" w:ascii="宋体" w:hAnsi="宋体" w:eastAsia="宋体" w:cs="宋体"/>
          <w:color w:val="0C0C0C"/>
          <w:sz w:val="22"/>
        </w:rPr>
        <w:t>第一条 工程概况</w:t>
      </w:r>
    </w:p>
    <w:p w14:paraId="317C48E8">
      <w:pPr>
        <w:spacing w:line="276" w:lineRule="auto"/>
        <w:ind w:firstLine="440" w:firstLineChars="200"/>
        <w:rPr>
          <w:rFonts w:hint="eastAsia" w:ascii="宋体" w:hAnsi="宋体" w:eastAsia="宋体" w:cs="宋体"/>
          <w:color w:val="0C0C0C"/>
          <w:sz w:val="22"/>
        </w:rPr>
      </w:pPr>
      <w:r>
        <w:rPr>
          <w:rFonts w:hint="eastAsia" w:ascii="宋体" w:hAnsi="宋体" w:eastAsia="宋体" w:cs="宋体"/>
          <w:color w:val="0C0C0C"/>
          <w:sz w:val="22"/>
        </w:rPr>
        <w:t>一、工程名称：</w:t>
      </w:r>
      <w:r>
        <w:rPr>
          <w:rFonts w:hint="eastAsia" w:ascii="宋体" w:hAnsi="宋体" w:eastAsia="宋体" w:cs="宋体"/>
          <w:color w:val="0C0C0C"/>
          <w:sz w:val="22"/>
        </w:rPr>
        <w:tab/>
      </w:r>
      <w:r>
        <w:rPr>
          <w:rFonts w:hint="eastAsia" w:ascii="宋体" w:hAnsi="宋体" w:eastAsia="宋体" w:cs="宋体"/>
          <w:color w:val="0C0C0C"/>
          <w:sz w:val="22"/>
        </w:rPr>
        <w:t xml:space="preserve"> </w:t>
      </w:r>
    </w:p>
    <w:p w14:paraId="5F6FD7A1">
      <w:pPr>
        <w:spacing w:line="276" w:lineRule="auto"/>
        <w:ind w:firstLine="440" w:firstLineChars="200"/>
        <w:rPr>
          <w:rFonts w:hint="eastAsia" w:ascii="宋体" w:hAnsi="宋体" w:eastAsia="宋体" w:cs="宋体"/>
          <w:color w:val="0C0C0C"/>
          <w:sz w:val="22"/>
        </w:rPr>
      </w:pPr>
      <w:r>
        <w:rPr>
          <w:rFonts w:hint="eastAsia" w:ascii="宋体" w:hAnsi="宋体" w:eastAsia="宋体" w:cs="宋体"/>
          <w:color w:val="0C0C0C"/>
          <w:sz w:val="22"/>
        </w:rPr>
        <w:t>二、工程性质：</w:t>
      </w:r>
      <w:r>
        <w:rPr>
          <w:rFonts w:hint="eastAsia" w:ascii="宋体" w:hAnsi="宋体" w:eastAsia="宋体" w:cs="宋体"/>
          <w:color w:val="0C0C0C"/>
          <w:sz w:val="22"/>
        </w:rPr>
        <w:tab/>
      </w:r>
      <w:r>
        <w:rPr>
          <w:rFonts w:hint="eastAsia" w:ascii="宋体" w:hAnsi="宋体" w:eastAsia="宋体" w:cs="宋体"/>
          <w:color w:val="0C0C0C"/>
          <w:sz w:val="22"/>
        </w:rPr>
        <w:t xml:space="preserve"> </w:t>
      </w:r>
    </w:p>
    <w:p w14:paraId="7F68A5A9">
      <w:pPr>
        <w:spacing w:line="276" w:lineRule="auto"/>
        <w:rPr>
          <w:rFonts w:hint="eastAsia" w:ascii="宋体" w:hAnsi="宋体" w:eastAsia="宋体" w:cs="宋体"/>
          <w:color w:val="0C0C0C"/>
          <w:sz w:val="22"/>
        </w:rPr>
      </w:pPr>
      <w:r>
        <w:rPr>
          <w:rFonts w:hint="eastAsia" w:ascii="宋体" w:hAnsi="宋体" w:eastAsia="宋体" w:cs="宋体"/>
          <w:color w:val="0C0C0C"/>
          <w:sz w:val="22"/>
        </w:rPr>
        <w:t>第二条 甲方的权利和义务</w:t>
      </w:r>
    </w:p>
    <w:p w14:paraId="030A55B5">
      <w:pPr>
        <w:spacing w:line="276" w:lineRule="auto"/>
        <w:ind w:firstLine="440" w:firstLineChars="200"/>
        <w:rPr>
          <w:rFonts w:hint="eastAsia" w:ascii="宋体" w:hAnsi="宋体" w:eastAsia="宋体" w:cs="宋体"/>
          <w:color w:val="0C0C0C"/>
          <w:sz w:val="22"/>
        </w:rPr>
      </w:pPr>
      <w:r>
        <w:rPr>
          <w:rFonts w:hint="eastAsia" w:ascii="宋体" w:hAnsi="宋体" w:eastAsia="宋体" w:cs="宋体"/>
          <w:color w:val="0C0C0C"/>
          <w:sz w:val="22"/>
        </w:rPr>
        <w:t>一、甲方的权利：</w:t>
      </w:r>
    </w:p>
    <w:p w14:paraId="169A543A">
      <w:pPr>
        <w:spacing w:line="276" w:lineRule="auto"/>
        <w:ind w:firstLine="440" w:firstLineChars="200"/>
        <w:rPr>
          <w:rFonts w:hint="eastAsia" w:ascii="宋体" w:hAnsi="宋体" w:eastAsia="宋体" w:cs="宋体"/>
          <w:color w:val="0C0C0C"/>
          <w:sz w:val="22"/>
        </w:rPr>
      </w:pPr>
      <w:r>
        <w:rPr>
          <w:rFonts w:hint="eastAsia" w:ascii="宋体" w:hAnsi="宋体" w:eastAsia="宋体" w:cs="宋体"/>
          <w:color w:val="0C0C0C"/>
          <w:sz w:val="22"/>
        </w:rPr>
        <w:t>1、有权对乙方的资质和安全环保业绩进行审查。</w:t>
      </w:r>
    </w:p>
    <w:p w14:paraId="0BC45896">
      <w:pPr>
        <w:spacing w:line="276" w:lineRule="auto"/>
        <w:ind w:firstLine="440" w:firstLineChars="200"/>
        <w:rPr>
          <w:rFonts w:hint="eastAsia" w:ascii="宋体" w:hAnsi="宋体" w:eastAsia="宋体" w:cs="宋体"/>
          <w:color w:val="0C0C0C"/>
          <w:sz w:val="22"/>
        </w:rPr>
      </w:pPr>
      <w:r>
        <w:rPr>
          <w:rFonts w:hint="eastAsia" w:ascii="宋体" w:hAnsi="宋体" w:eastAsia="宋体" w:cs="宋体"/>
          <w:color w:val="0C0C0C"/>
          <w:sz w:val="22"/>
        </w:rPr>
        <w:t>2、有权要求乙方建立安全组织机构，严格执行国家安全环保法律法规及甲方和上级有关各项安全环保规章制度。</w:t>
      </w:r>
    </w:p>
    <w:p w14:paraId="31336122">
      <w:pPr>
        <w:spacing w:line="276" w:lineRule="auto"/>
        <w:ind w:firstLine="440" w:firstLineChars="200"/>
        <w:rPr>
          <w:rFonts w:hint="eastAsia" w:ascii="宋体" w:hAnsi="宋体" w:eastAsia="宋体" w:cs="宋体"/>
          <w:color w:val="0C0C0C"/>
          <w:sz w:val="22"/>
        </w:rPr>
      </w:pPr>
      <w:r>
        <w:rPr>
          <w:rFonts w:hint="eastAsia" w:ascii="宋体" w:hAnsi="宋体" w:eastAsia="宋体" w:cs="宋体"/>
          <w:color w:val="0C0C0C"/>
          <w:sz w:val="22"/>
        </w:rPr>
        <w:t>3、有权要求乙方针对作业项目制定健康安全环境的安全保证措施方案，并进行审查和备案。</w:t>
      </w:r>
    </w:p>
    <w:p w14:paraId="07BC5F77">
      <w:pPr>
        <w:spacing w:line="276" w:lineRule="auto"/>
        <w:ind w:firstLine="440" w:firstLineChars="200"/>
        <w:rPr>
          <w:rFonts w:hint="eastAsia" w:ascii="宋体" w:hAnsi="宋体" w:eastAsia="宋体" w:cs="宋体"/>
          <w:color w:val="0C0C0C"/>
          <w:sz w:val="22"/>
        </w:rPr>
      </w:pPr>
      <w:r>
        <w:rPr>
          <w:rFonts w:hint="eastAsia" w:ascii="宋体" w:hAnsi="宋体" w:eastAsia="宋体" w:cs="宋体"/>
          <w:color w:val="0C0C0C"/>
          <w:sz w:val="22"/>
        </w:rPr>
        <w:t>4、有权要求乙方维护好甲方的安全环保设施、设备和器材。</w:t>
      </w:r>
    </w:p>
    <w:p w14:paraId="0BCDC871">
      <w:pPr>
        <w:spacing w:line="276" w:lineRule="auto"/>
        <w:ind w:firstLine="440" w:firstLineChars="200"/>
        <w:rPr>
          <w:rFonts w:hint="eastAsia" w:ascii="宋体" w:hAnsi="宋体" w:eastAsia="宋体" w:cs="宋体"/>
          <w:color w:val="0C0C0C"/>
          <w:sz w:val="22"/>
        </w:rPr>
      </w:pPr>
      <w:r>
        <w:rPr>
          <w:rFonts w:hint="eastAsia" w:ascii="宋体" w:hAnsi="宋体" w:eastAsia="宋体" w:cs="宋体"/>
          <w:color w:val="0C0C0C"/>
          <w:sz w:val="22"/>
        </w:rPr>
        <w:t>5、有权对乙方使用的设备、设施进行安全管理。</w:t>
      </w:r>
    </w:p>
    <w:p w14:paraId="1A691E1C">
      <w:pPr>
        <w:spacing w:line="276" w:lineRule="auto"/>
        <w:ind w:firstLine="440" w:firstLineChars="200"/>
        <w:rPr>
          <w:rFonts w:hint="eastAsia" w:ascii="宋体" w:hAnsi="宋体" w:eastAsia="宋体" w:cs="宋体"/>
          <w:color w:val="0C0C0C"/>
          <w:sz w:val="22"/>
        </w:rPr>
      </w:pPr>
      <w:r>
        <w:rPr>
          <w:rFonts w:hint="eastAsia" w:ascii="宋体" w:hAnsi="宋体" w:eastAsia="宋体" w:cs="宋体"/>
          <w:color w:val="0C0C0C"/>
          <w:sz w:val="22"/>
        </w:rPr>
        <w:t>6、有权对乙方施工作业现场的安全环保情况进行监督检查，有权按相关规定进行处罚或其它处理。</w:t>
      </w:r>
    </w:p>
    <w:p w14:paraId="6869F471">
      <w:pPr>
        <w:spacing w:line="276" w:lineRule="auto"/>
        <w:ind w:firstLine="440" w:firstLineChars="200"/>
        <w:rPr>
          <w:rFonts w:hint="eastAsia" w:ascii="宋体" w:hAnsi="宋体" w:eastAsia="宋体" w:cs="宋体"/>
          <w:color w:val="0C0C0C"/>
          <w:sz w:val="22"/>
        </w:rPr>
      </w:pPr>
      <w:r>
        <w:rPr>
          <w:rFonts w:hint="eastAsia" w:ascii="宋体" w:hAnsi="宋体" w:eastAsia="宋体" w:cs="宋体"/>
          <w:color w:val="0C0C0C"/>
          <w:sz w:val="22"/>
        </w:rPr>
        <w:t>7、发生事故后，有权根据有关规定组织、参与事故的调查。</w:t>
      </w:r>
    </w:p>
    <w:p w14:paraId="2DAC8058">
      <w:pPr>
        <w:spacing w:line="276" w:lineRule="auto"/>
        <w:ind w:firstLine="440" w:firstLineChars="200"/>
        <w:rPr>
          <w:rFonts w:hint="eastAsia" w:ascii="宋体" w:hAnsi="宋体" w:eastAsia="宋体" w:cs="宋体"/>
          <w:color w:val="0C0C0C"/>
          <w:sz w:val="22"/>
        </w:rPr>
      </w:pPr>
      <w:r>
        <w:rPr>
          <w:rFonts w:hint="eastAsia" w:ascii="宋体" w:hAnsi="宋体" w:eastAsia="宋体" w:cs="宋体"/>
          <w:color w:val="0C0C0C"/>
          <w:sz w:val="22"/>
        </w:rPr>
        <w:t>二、甲方的义务：</w:t>
      </w:r>
    </w:p>
    <w:p w14:paraId="48C9E6DB">
      <w:pPr>
        <w:spacing w:line="276" w:lineRule="auto"/>
        <w:ind w:firstLine="440" w:firstLineChars="200"/>
        <w:rPr>
          <w:rFonts w:hint="eastAsia" w:ascii="宋体" w:hAnsi="宋体" w:eastAsia="宋体" w:cs="宋体"/>
          <w:color w:val="0C0C0C"/>
          <w:sz w:val="22"/>
        </w:rPr>
      </w:pPr>
      <w:r>
        <w:rPr>
          <w:rFonts w:hint="eastAsia" w:ascii="宋体" w:hAnsi="宋体" w:eastAsia="宋体" w:cs="宋体"/>
          <w:color w:val="0C0C0C"/>
          <w:sz w:val="22"/>
        </w:rPr>
        <w:t>1、认真贯彻落实国家有关安全环保法律、法规、标准及规范和甲方及其上级有关安全环保规章制度。</w:t>
      </w:r>
    </w:p>
    <w:p w14:paraId="611F4A51">
      <w:pPr>
        <w:spacing w:line="276" w:lineRule="auto"/>
        <w:ind w:firstLine="440" w:firstLineChars="200"/>
        <w:rPr>
          <w:rFonts w:hint="eastAsia" w:ascii="宋体" w:hAnsi="宋体" w:eastAsia="宋体" w:cs="宋体"/>
          <w:color w:val="0C0C0C"/>
          <w:sz w:val="22"/>
        </w:rPr>
      </w:pPr>
      <w:r>
        <w:rPr>
          <w:rFonts w:hint="eastAsia" w:ascii="宋体" w:hAnsi="宋体" w:eastAsia="宋体" w:cs="宋体"/>
          <w:color w:val="0C0C0C"/>
          <w:sz w:val="22"/>
        </w:rPr>
        <w:t>2、对乙方进入甲方区域作业的人员进行入厂安全教育及办理相关入厂手续。</w:t>
      </w:r>
    </w:p>
    <w:p w14:paraId="05134478">
      <w:pPr>
        <w:spacing w:line="276" w:lineRule="auto"/>
        <w:ind w:firstLine="440" w:firstLineChars="200"/>
        <w:rPr>
          <w:rFonts w:hint="eastAsia" w:ascii="宋体" w:hAnsi="宋体" w:eastAsia="宋体" w:cs="宋体"/>
          <w:color w:val="0C0C0C"/>
          <w:sz w:val="22"/>
        </w:rPr>
      </w:pPr>
      <w:r>
        <w:rPr>
          <w:rFonts w:hint="eastAsia" w:ascii="宋体" w:hAnsi="宋体" w:eastAsia="宋体" w:cs="宋体"/>
          <w:color w:val="0C0C0C"/>
          <w:sz w:val="22"/>
        </w:rPr>
        <w:t>3、在作业前应对乙方进行安全交底，如向乙方提供与乙方作业相关的甲方的有毒有害、易燃易爆物品及地下管线等状况的数据。明确施工作业区的范围、危险点源及安全管理要求。</w:t>
      </w:r>
    </w:p>
    <w:p w14:paraId="07EE7BEC">
      <w:pPr>
        <w:spacing w:line="276" w:lineRule="auto"/>
        <w:ind w:firstLine="440" w:firstLineChars="200"/>
        <w:rPr>
          <w:rFonts w:hint="eastAsia" w:ascii="宋体" w:hAnsi="宋体" w:eastAsia="宋体" w:cs="宋体"/>
          <w:color w:val="0C0C0C"/>
          <w:sz w:val="22"/>
        </w:rPr>
      </w:pPr>
      <w:r>
        <w:rPr>
          <w:rFonts w:hint="eastAsia" w:ascii="宋体" w:hAnsi="宋体" w:eastAsia="宋体" w:cs="宋体"/>
          <w:color w:val="0C0C0C"/>
          <w:sz w:val="22"/>
        </w:rPr>
        <w:t>4、为乙方提供工程合同中规定的安全作业需要的环境条件。</w:t>
      </w:r>
    </w:p>
    <w:p w14:paraId="1A6A7B5E">
      <w:pPr>
        <w:spacing w:line="276" w:lineRule="auto"/>
        <w:ind w:firstLine="440" w:firstLineChars="200"/>
        <w:rPr>
          <w:rFonts w:hint="eastAsia" w:ascii="宋体" w:hAnsi="宋体" w:eastAsia="宋体" w:cs="宋体"/>
          <w:color w:val="0C0C0C"/>
          <w:sz w:val="22"/>
        </w:rPr>
      </w:pPr>
      <w:r>
        <w:rPr>
          <w:rFonts w:hint="eastAsia" w:ascii="宋体" w:hAnsi="宋体" w:eastAsia="宋体" w:cs="宋体"/>
          <w:color w:val="0C0C0C"/>
          <w:sz w:val="22"/>
        </w:rPr>
        <w:t>5、发生事故后积极组织抢险，防止事故扩大。</w:t>
      </w:r>
    </w:p>
    <w:p w14:paraId="0CAE89F6">
      <w:pPr>
        <w:spacing w:line="276" w:lineRule="auto"/>
        <w:rPr>
          <w:rFonts w:hint="eastAsia" w:ascii="宋体" w:hAnsi="宋体" w:eastAsia="宋体" w:cs="宋体"/>
          <w:color w:val="0C0C0C"/>
          <w:sz w:val="22"/>
        </w:rPr>
      </w:pPr>
      <w:r>
        <w:rPr>
          <w:rFonts w:hint="eastAsia" w:ascii="宋体" w:hAnsi="宋体" w:eastAsia="宋体" w:cs="宋体"/>
          <w:color w:val="0C0C0C"/>
          <w:sz w:val="22"/>
        </w:rPr>
        <w:t>第三条 乙方的权利和义务一、乙方的权利：</w:t>
      </w:r>
    </w:p>
    <w:p w14:paraId="68EF8C1E">
      <w:pPr>
        <w:spacing w:line="276" w:lineRule="auto"/>
        <w:ind w:firstLine="440" w:firstLineChars="200"/>
        <w:rPr>
          <w:rFonts w:hint="eastAsia" w:ascii="宋体" w:hAnsi="宋体" w:eastAsia="宋体" w:cs="宋体"/>
          <w:color w:val="0C0C0C"/>
          <w:sz w:val="22"/>
        </w:rPr>
      </w:pPr>
      <w:r>
        <w:rPr>
          <w:rFonts w:hint="eastAsia" w:ascii="宋体" w:hAnsi="宋体" w:eastAsia="宋体" w:cs="宋体"/>
          <w:color w:val="0C0C0C"/>
          <w:sz w:val="22"/>
        </w:rPr>
        <w:t>1、有权对甲方的安全环保工作提出合理化建议。</w:t>
      </w:r>
    </w:p>
    <w:p w14:paraId="5BBD3190">
      <w:pPr>
        <w:spacing w:line="276" w:lineRule="auto"/>
        <w:ind w:firstLine="440" w:firstLineChars="200"/>
        <w:rPr>
          <w:rFonts w:hint="eastAsia" w:ascii="宋体" w:hAnsi="宋体" w:eastAsia="宋体" w:cs="宋体"/>
          <w:color w:val="0C0C0C"/>
          <w:sz w:val="22"/>
        </w:rPr>
      </w:pPr>
      <w:r>
        <w:rPr>
          <w:rFonts w:hint="eastAsia" w:ascii="宋体" w:hAnsi="宋体" w:eastAsia="宋体" w:cs="宋体"/>
          <w:color w:val="0C0C0C"/>
          <w:sz w:val="22"/>
        </w:rPr>
        <w:t>2、在日常作业中，对甲方违章强令乙方冒险作业，有权拒绝执行；对由此产生的打击报复，有权向有关部门举报。</w:t>
      </w:r>
    </w:p>
    <w:p w14:paraId="716E5CC7">
      <w:pPr>
        <w:spacing w:line="276" w:lineRule="auto"/>
        <w:ind w:firstLine="440" w:firstLineChars="200"/>
        <w:rPr>
          <w:rFonts w:hint="eastAsia" w:ascii="宋体" w:hAnsi="宋体" w:eastAsia="宋体" w:cs="宋体"/>
          <w:color w:val="0C0C0C"/>
          <w:sz w:val="22"/>
        </w:rPr>
      </w:pPr>
      <w:r>
        <w:rPr>
          <w:rFonts w:hint="eastAsia" w:ascii="宋体" w:hAnsi="宋体" w:eastAsia="宋体" w:cs="宋体"/>
          <w:color w:val="0C0C0C"/>
          <w:sz w:val="22"/>
        </w:rPr>
        <w:t>3、有权要求甲方提供符合安全施工作业的环境条件。</w:t>
      </w:r>
    </w:p>
    <w:p w14:paraId="4D81D7DD">
      <w:pPr>
        <w:spacing w:line="276" w:lineRule="auto"/>
        <w:ind w:firstLine="440" w:firstLineChars="200"/>
        <w:rPr>
          <w:rFonts w:hint="eastAsia" w:ascii="宋体" w:hAnsi="宋体" w:eastAsia="宋体" w:cs="宋体"/>
          <w:color w:val="0C0C0C"/>
          <w:sz w:val="22"/>
        </w:rPr>
      </w:pPr>
      <w:r>
        <w:rPr>
          <w:rFonts w:hint="eastAsia" w:ascii="宋体" w:hAnsi="宋体" w:eastAsia="宋体" w:cs="宋体"/>
          <w:color w:val="0C0C0C"/>
          <w:sz w:val="22"/>
        </w:rPr>
        <w:t>4、有权要求甲方在作业前进行安全交底，提供有关有毒有害、易燃易爆物品及地下管线等状况的数据。明确施工作业区的范围、危险点源及安全管理要求。</w:t>
      </w:r>
    </w:p>
    <w:p w14:paraId="3D1149F5">
      <w:pPr>
        <w:spacing w:line="276" w:lineRule="auto"/>
        <w:ind w:firstLine="440" w:firstLineChars="200"/>
        <w:rPr>
          <w:rFonts w:hint="eastAsia" w:ascii="宋体" w:hAnsi="宋体" w:eastAsia="宋体" w:cs="宋体"/>
          <w:color w:val="0C0C0C"/>
          <w:sz w:val="22"/>
        </w:rPr>
      </w:pPr>
      <w:r>
        <w:rPr>
          <w:rFonts w:hint="eastAsia" w:ascii="宋体" w:hAnsi="宋体" w:eastAsia="宋体" w:cs="宋体"/>
          <w:color w:val="0C0C0C"/>
          <w:sz w:val="22"/>
        </w:rPr>
        <w:t>5、发生严重危及乙方人员生命安全的不可抗拒紧急情况时，乙方有权采取必要的措施避险。</w:t>
      </w:r>
    </w:p>
    <w:p w14:paraId="1996438D">
      <w:pPr>
        <w:spacing w:line="276" w:lineRule="auto"/>
        <w:ind w:firstLine="440" w:firstLineChars="200"/>
        <w:rPr>
          <w:rFonts w:hint="eastAsia" w:ascii="宋体" w:hAnsi="宋体" w:eastAsia="宋体" w:cs="宋体"/>
          <w:color w:val="0C0C0C"/>
          <w:sz w:val="22"/>
        </w:rPr>
      </w:pPr>
      <w:r>
        <w:rPr>
          <w:rFonts w:hint="eastAsia" w:ascii="宋体" w:hAnsi="宋体" w:eastAsia="宋体" w:cs="宋体"/>
          <w:color w:val="0C0C0C"/>
          <w:sz w:val="22"/>
        </w:rPr>
        <w:t>二、乙方的义务：</w:t>
      </w:r>
    </w:p>
    <w:p w14:paraId="47DB1E76">
      <w:pPr>
        <w:spacing w:line="276" w:lineRule="auto"/>
        <w:ind w:firstLine="440" w:firstLineChars="200"/>
        <w:rPr>
          <w:rFonts w:hint="eastAsia" w:ascii="宋体" w:hAnsi="宋体" w:eastAsia="宋体" w:cs="宋体"/>
          <w:color w:val="0C0C0C"/>
          <w:sz w:val="22"/>
        </w:rPr>
      </w:pPr>
      <w:r>
        <w:rPr>
          <w:rFonts w:hint="eastAsia" w:ascii="宋体" w:hAnsi="宋体" w:eastAsia="宋体" w:cs="宋体"/>
          <w:color w:val="0C0C0C"/>
          <w:sz w:val="22"/>
        </w:rPr>
        <w:t>1、严格按照“安全第一，预防为主”的安全工作方针，强化施工作业人员安全环保意识，服从甲方相关部门的安全管理。</w:t>
      </w:r>
    </w:p>
    <w:p w14:paraId="0817E031">
      <w:pPr>
        <w:spacing w:line="276" w:lineRule="auto"/>
        <w:ind w:firstLine="440" w:firstLineChars="200"/>
        <w:rPr>
          <w:rFonts w:hint="eastAsia" w:ascii="宋体" w:hAnsi="宋体" w:eastAsia="宋体" w:cs="宋体"/>
          <w:color w:val="0C0C0C"/>
          <w:sz w:val="22"/>
        </w:rPr>
      </w:pPr>
      <w:r>
        <w:rPr>
          <w:rFonts w:hint="eastAsia" w:ascii="宋体" w:hAnsi="宋体" w:eastAsia="宋体" w:cs="宋体"/>
          <w:color w:val="0C0C0C"/>
          <w:sz w:val="22"/>
        </w:rPr>
        <w:t>2、必须健全安全组织机构，建立安全生产责任制，严格遵守国家有关安全、消防、环保方面的法律法规及甲方和上级的各项安全环保规章制度。</w:t>
      </w:r>
    </w:p>
    <w:p w14:paraId="0042E2CF">
      <w:pPr>
        <w:spacing w:line="276" w:lineRule="auto"/>
        <w:ind w:firstLine="440" w:firstLineChars="200"/>
        <w:rPr>
          <w:rFonts w:hint="eastAsia" w:ascii="宋体" w:hAnsi="宋体" w:eastAsia="宋体" w:cs="宋体"/>
          <w:color w:val="0C0C0C"/>
          <w:sz w:val="22"/>
        </w:rPr>
      </w:pPr>
      <w:r>
        <w:rPr>
          <w:rFonts w:hint="eastAsia" w:ascii="宋体" w:hAnsi="宋体" w:eastAsia="宋体" w:cs="宋体"/>
          <w:color w:val="0C0C0C"/>
          <w:sz w:val="22"/>
        </w:rPr>
        <w:t>3、根据工程服务安全施工作业的需要，乙方应在安全评价的基础上根据甲方要求编制《安全风险评价报告书》，针对施工作业项目制定健康、安全、环境措施方案，经甲方审批并备案。</w:t>
      </w:r>
    </w:p>
    <w:p w14:paraId="0C56F57A">
      <w:pPr>
        <w:spacing w:line="276" w:lineRule="auto"/>
        <w:ind w:firstLine="440" w:firstLineChars="200"/>
        <w:rPr>
          <w:rFonts w:hint="eastAsia" w:ascii="宋体" w:hAnsi="宋体" w:eastAsia="宋体" w:cs="宋体"/>
          <w:color w:val="0C0C0C"/>
          <w:sz w:val="22"/>
        </w:rPr>
      </w:pPr>
      <w:r>
        <w:rPr>
          <w:rFonts w:hint="eastAsia" w:ascii="宋体" w:hAnsi="宋体" w:eastAsia="宋体" w:cs="宋体"/>
          <w:color w:val="0C0C0C"/>
          <w:sz w:val="22"/>
        </w:rPr>
        <w:t>4、乙方应编制并提供的相关资料：（1）安全组织机构及网络图、安全工作计划、安全防火主要负责人和安全专业人员名单及联系方式；（2）安全教育与培训；（3）现场安全检查和日常检查；（4）现场安全施工的协调；（5）现场安全卫生与急救；（6）现场运输与交通安全；（7）高处作业与脚手架；（8） 用火作业与消防；（9）起吊作业；（10）有毒有害作业与防护；（11）施工用电安全；（12）现场照明；（13）粉尘作业防护和噪声防护；（14）有限空间内作业；（15）防暑降温与防寒防冻；（16）废料、废气及废水的处理和排放；（17）安全施工措施的编制与批准；（18）事故报告与调查处理；（19）其它。</w:t>
      </w:r>
    </w:p>
    <w:p w14:paraId="6DDA016C">
      <w:pPr>
        <w:spacing w:line="276" w:lineRule="auto"/>
        <w:ind w:firstLine="440" w:firstLineChars="200"/>
        <w:rPr>
          <w:rFonts w:hint="eastAsia" w:ascii="宋体" w:hAnsi="宋体" w:eastAsia="宋体" w:cs="宋体"/>
          <w:color w:val="0C0C0C"/>
          <w:sz w:val="22"/>
        </w:rPr>
      </w:pPr>
      <w:r>
        <w:rPr>
          <w:rFonts w:hint="eastAsia" w:ascii="宋体" w:hAnsi="宋体" w:eastAsia="宋体" w:cs="宋体"/>
          <w:color w:val="0C0C0C"/>
          <w:sz w:val="22"/>
        </w:rPr>
        <w:t>5、在作业前要组织所有参加作业的人员接受甲方的入厂安全教育，同时，乙方要对直接参加施工的人员有针对性地进行安全教育培训 ，内容包括安全施工方案和安全施工方法、企业的安全注意事项和规章制度、作业现场的危险性及安全措施、作业可能发生的事故和应急方法等，并进行安全培训考试，考试合格者方可进入施工现场从事作业。</w:t>
      </w:r>
    </w:p>
    <w:p w14:paraId="2D873224">
      <w:pPr>
        <w:spacing w:line="276" w:lineRule="auto"/>
        <w:ind w:firstLine="440" w:firstLineChars="200"/>
        <w:rPr>
          <w:rFonts w:hint="eastAsia" w:ascii="宋体" w:hAnsi="宋体" w:eastAsia="宋体" w:cs="宋体"/>
          <w:color w:val="0C0C0C"/>
          <w:sz w:val="22"/>
        </w:rPr>
      </w:pPr>
      <w:r>
        <w:rPr>
          <w:rFonts w:hint="eastAsia" w:ascii="宋体" w:hAnsi="宋体" w:eastAsia="宋体" w:cs="宋体"/>
          <w:color w:val="0C0C0C"/>
          <w:sz w:val="22"/>
        </w:rPr>
        <w:t>6、特种作业人员必须具有相应的资格证书。</w:t>
      </w:r>
    </w:p>
    <w:p w14:paraId="103C614E">
      <w:pPr>
        <w:spacing w:line="276" w:lineRule="auto"/>
        <w:ind w:firstLine="440" w:firstLineChars="200"/>
        <w:rPr>
          <w:rFonts w:hint="eastAsia" w:ascii="宋体" w:hAnsi="宋体" w:eastAsia="宋体" w:cs="宋体"/>
          <w:color w:val="0C0C0C"/>
          <w:sz w:val="22"/>
        </w:rPr>
      </w:pPr>
      <w:r>
        <w:rPr>
          <w:rFonts w:hint="eastAsia" w:ascii="宋体" w:hAnsi="宋体" w:eastAsia="宋体" w:cs="宋体"/>
          <w:color w:val="0C0C0C"/>
          <w:sz w:val="22"/>
        </w:rPr>
        <w:t>7、在施工区域内搭建临时建筑物应事先提交申请，并有具体区域相邻建筑、管线位置图，经甲方有关部门审批后方可搭建。</w:t>
      </w:r>
    </w:p>
    <w:p w14:paraId="053F7935">
      <w:pPr>
        <w:spacing w:line="276" w:lineRule="auto"/>
        <w:ind w:firstLine="440" w:firstLineChars="200"/>
        <w:rPr>
          <w:rFonts w:hint="eastAsia" w:ascii="宋体" w:hAnsi="宋体" w:eastAsia="宋体" w:cs="宋体"/>
          <w:color w:val="0C0C0C"/>
          <w:sz w:val="22"/>
        </w:rPr>
      </w:pPr>
      <w:r>
        <w:rPr>
          <w:rFonts w:hint="eastAsia" w:ascii="宋体" w:hAnsi="宋体" w:eastAsia="宋体" w:cs="宋体"/>
          <w:color w:val="0C0C0C"/>
          <w:sz w:val="22"/>
        </w:rPr>
        <w:t>8、在施工作业现场必须设有安全警示标志，施工作业现场危险区域，夜间设红灯警示。</w:t>
      </w:r>
    </w:p>
    <w:p w14:paraId="04CCAC34">
      <w:pPr>
        <w:spacing w:line="276" w:lineRule="auto"/>
        <w:rPr>
          <w:rFonts w:hint="eastAsia" w:ascii="宋体" w:hAnsi="宋体" w:eastAsia="宋体" w:cs="宋体"/>
          <w:color w:val="0C0C0C"/>
          <w:sz w:val="22"/>
        </w:rPr>
      </w:pPr>
      <w:r>
        <w:rPr>
          <w:rFonts w:hint="eastAsia" w:ascii="宋体" w:hAnsi="宋体" w:eastAsia="宋体" w:cs="宋体"/>
          <w:color w:val="0C0C0C"/>
          <w:sz w:val="22"/>
        </w:rPr>
        <w:t xml:space="preserve">    9、严禁进入非施工作业区域或场所，不得乱动乱碰或拆卸甲方任何设备零件或附件；自觉维护作业区域内的建构筑物、设备管线和安全消防设施，在作业中可能对其构成影响和威胁时应立即提出并采取妥善措施予以保护。</w:t>
      </w:r>
    </w:p>
    <w:p w14:paraId="6083B35F">
      <w:pPr>
        <w:spacing w:line="276" w:lineRule="auto"/>
        <w:ind w:firstLine="440" w:firstLineChars="200"/>
        <w:rPr>
          <w:rFonts w:hint="eastAsia" w:ascii="宋体" w:hAnsi="宋体" w:eastAsia="宋体" w:cs="宋体"/>
          <w:color w:val="0C0C0C"/>
          <w:sz w:val="22"/>
        </w:rPr>
      </w:pPr>
      <w:r>
        <w:rPr>
          <w:rFonts w:hint="eastAsia" w:ascii="宋体" w:hAnsi="宋体" w:eastAsia="宋体" w:cs="宋体"/>
          <w:color w:val="0C0C0C"/>
          <w:sz w:val="22"/>
        </w:rPr>
        <w:t>10、进入施工作业现场的各类人员，必须按规定着装、配戴安全帽，特种作业人员必须按特殊工种配备劳动保护用品。</w:t>
      </w:r>
    </w:p>
    <w:p w14:paraId="73CA1E0B">
      <w:pPr>
        <w:spacing w:line="276" w:lineRule="auto"/>
        <w:ind w:firstLine="440" w:firstLineChars="200"/>
        <w:rPr>
          <w:rFonts w:hint="eastAsia" w:ascii="宋体" w:hAnsi="宋体" w:eastAsia="宋体" w:cs="宋体"/>
          <w:color w:val="0C0C0C"/>
          <w:sz w:val="22"/>
        </w:rPr>
      </w:pPr>
      <w:r>
        <w:rPr>
          <w:rFonts w:hint="eastAsia" w:ascii="宋体" w:hAnsi="宋体" w:eastAsia="宋体" w:cs="宋体"/>
          <w:color w:val="0C0C0C"/>
          <w:sz w:val="22"/>
        </w:rPr>
        <w:t>11、未经允许，不准占用消防通道，需占用或破路工程，必须按有关规定办理手续，在规定时间内完工后，立即恢复道路的正常使用，以保证消防通道畅通。</w:t>
      </w:r>
    </w:p>
    <w:p w14:paraId="4066995B">
      <w:pPr>
        <w:spacing w:line="276" w:lineRule="auto"/>
        <w:ind w:firstLine="440" w:firstLineChars="200"/>
        <w:rPr>
          <w:rFonts w:hint="eastAsia" w:ascii="宋体" w:hAnsi="宋体" w:eastAsia="宋体" w:cs="宋体"/>
          <w:color w:val="0C0C0C"/>
          <w:sz w:val="22"/>
        </w:rPr>
      </w:pPr>
      <w:r>
        <w:rPr>
          <w:rFonts w:hint="eastAsia" w:ascii="宋体" w:hAnsi="宋体" w:eastAsia="宋体" w:cs="宋体"/>
          <w:color w:val="0C0C0C"/>
          <w:sz w:val="22"/>
        </w:rPr>
        <w:t>12、发现作业过程中有不安全行为、隐患、重大险情，应采取有效措施及时处理并报告甲方。</w:t>
      </w:r>
    </w:p>
    <w:p w14:paraId="2CF0D65F">
      <w:pPr>
        <w:spacing w:line="276" w:lineRule="auto"/>
        <w:ind w:firstLine="440" w:firstLineChars="200"/>
        <w:rPr>
          <w:rFonts w:hint="eastAsia" w:ascii="宋体" w:hAnsi="宋体" w:eastAsia="宋体" w:cs="宋体"/>
          <w:color w:val="0C0C0C"/>
          <w:sz w:val="22"/>
        </w:rPr>
      </w:pPr>
      <w:r>
        <w:rPr>
          <w:rFonts w:hint="eastAsia" w:ascii="宋体" w:hAnsi="宋体" w:eastAsia="宋体" w:cs="宋体"/>
          <w:color w:val="0C0C0C"/>
          <w:sz w:val="22"/>
        </w:rPr>
        <w:t>13、发生事故时，应积极抢险，服从统一指挥，避免事故进一步扩大，并按要求及时上报事故。</w:t>
      </w:r>
    </w:p>
    <w:p w14:paraId="6513AC42">
      <w:pPr>
        <w:spacing w:line="276" w:lineRule="auto"/>
        <w:ind w:firstLine="440" w:firstLineChars="200"/>
        <w:rPr>
          <w:rFonts w:hint="eastAsia" w:ascii="宋体" w:hAnsi="宋体" w:eastAsia="宋体" w:cs="宋体"/>
          <w:color w:val="0C0C0C"/>
          <w:sz w:val="22"/>
        </w:rPr>
      </w:pPr>
      <w:r>
        <w:rPr>
          <w:rFonts w:hint="eastAsia" w:ascii="宋体" w:hAnsi="宋体" w:eastAsia="宋体" w:cs="宋体"/>
          <w:color w:val="0C0C0C"/>
          <w:sz w:val="22"/>
        </w:rPr>
        <w:t>14、不得使用不符合国家、行业标准和甲方规定的原材料、设备、装置、防护用品、器材、安全检测仪器等。</w:t>
      </w:r>
    </w:p>
    <w:p w14:paraId="3F46968B">
      <w:pPr>
        <w:spacing w:line="276" w:lineRule="auto"/>
        <w:ind w:firstLine="440" w:firstLineChars="200"/>
        <w:rPr>
          <w:rFonts w:hint="eastAsia" w:ascii="宋体" w:hAnsi="宋体" w:eastAsia="宋体" w:cs="宋体"/>
          <w:color w:val="0C0C0C"/>
          <w:sz w:val="22"/>
        </w:rPr>
      </w:pPr>
      <w:r>
        <w:rPr>
          <w:rFonts w:hint="eastAsia" w:ascii="宋体" w:hAnsi="宋体" w:eastAsia="宋体" w:cs="宋体"/>
          <w:color w:val="0C0C0C"/>
          <w:sz w:val="22"/>
        </w:rPr>
        <w:t>15、承担所属施工作业人员的工伤保险以及施工期间的自有及租用设备的保险责任。</w:t>
      </w:r>
    </w:p>
    <w:p w14:paraId="2AE454E2">
      <w:pPr>
        <w:spacing w:line="276" w:lineRule="auto"/>
        <w:ind w:firstLine="440" w:firstLineChars="200"/>
        <w:rPr>
          <w:rFonts w:hint="eastAsia" w:ascii="宋体" w:hAnsi="宋体" w:eastAsia="宋体" w:cs="宋体"/>
          <w:color w:val="0C0C0C"/>
          <w:sz w:val="22"/>
        </w:rPr>
      </w:pPr>
      <w:r>
        <w:rPr>
          <w:rFonts w:hint="eastAsia" w:ascii="宋体" w:hAnsi="宋体" w:eastAsia="宋体" w:cs="宋体"/>
          <w:color w:val="0C0C0C"/>
          <w:sz w:val="22"/>
        </w:rPr>
        <w:t>16、施工中产生的废水、废气、废渣以及废料，必须达到环保排放要求方可排放或按要求回收，存放到指定场所。</w:t>
      </w:r>
    </w:p>
    <w:p w14:paraId="2BBF170C">
      <w:pPr>
        <w:spacing w:line="276" w:lineRule="auto"/>
        <w:ind w:firstLine="440" w:firstLineChars="200"/>
        <w:rPr>
          <w:rFonts w:hint="eastAsia" w:ascii="宋体" w:hAnsi="宋体" w:eastAsia="宋体" w:cs="宋体"/>
          <w:color w:val="0C0C0C"/>
          <w:sz w:val="22"/>
        </w:rPr>
      </w:pPr>
      <w:r>
        <w:rPr>
          <w:rFonts w:hint="eastAsia" w:ascii="宋体" w:hAnsi="宋体" w:eastAsia="宋体" w:cs="宋体"/>
          <w:color w:val="0C0C0C"/>
          <w:sz w:val="22"/>
        </w:rPr>
        <w:t>17、产生噪声污染的工程项目，施工前必须采取消音措施，达到环保要求后， 方可施工。</w:t>
      </w:r>
    </w:p>
    <w:p w14:paraId="08B9BD75">
      <w:pPr>
        <w:spacing w:line="276" w:lineRule="auto"/>
        <w:ind w:firstLine="440" w:firstLineChars="200"/>
        <w:rPr>
          <w:rFonts w:hint="eastAsia" w:ascii="宋体" w:hAnsi="宋体" w:eastAsia="宋体" w:cs="宋体"/>
          <w:color w:val="0C0C0C"/>
          <w:sz w:val="22"/>
        </w:rPr>
      </w:pPr>
      <w:r>
        <w:rPr>
          <w:rFonts w:hint="eastAsia" w:ascii="宋体" w:hAnsi="宋体" w:eastAsia="宋体" w:cs="宋体"/>
          <w:color w:val="0C0C0C"/>
          <w:sz w:val="22"/>
        </w:rPr>
        <w:t>18、在环保设施施工中影响环保设施正常运行、穿越或迁移污水管线等必须经有关部门批准，方可施工。</w:t>
      </w:r>
    </w:p>
    <w:p w14:paraId="2FDCA96F">
      <w:pPr>
        <w:spacing w:line="276" w:lineRule="auto"/>
        <w:ind w:firstLine="440" w:firstLineChars="200"/>
        <w:rPr>
          <w:rFonts w:hint="eastAsia" w:ascii="宋体" w:hAnsi="宋体" w:eastAsia="宋体" w:cs="宋体"/>
          <w:color w:val="0C0C0C"/>
          <w:sz w:val="22"/>
        </w:rPr>
      </w:pPr>
      <w:r>
        <w:rPr>
          <w:rFonts w:hint="eastAsia" w:ascii="宋体" w:hAnsi="宋体" w:eastAsia="宋体" w:cs="宋体"/>
          <w:color w:val="0C0C0C"/>
          <w:sz w:val="22"/>
        </w:rPr>
        <w:t>19、注重文明施工，做到工完料净场地清。作业结束后，须经甲方安全环保部门和施工主管部门及上级部门检查验收签字。</w:t>
      </w:r>
    </w:p>
    <w:p w14:paraId="5228B0C4">
      <w:pPr>
        <w:spacing w:line="276" w:lineRule="auto"/>
        <w:ind w:firstLine="440" w:firstLineChars="200"/>
        <w:rPr>
          <w:rFonts w:hint="eastAsia" w:ascii="宋体" w:hAnsi="宋体" w:eastAsia="宋体" w:cs="宋体"/>
          <w:color w:val="0C0C0C"/>
          <w:sz w:val="22"/>
        </w:rPr>
      </w:pPr>
      <w:r>
        <w:rPr>
          <w:rFonts w:hint="eastAsia" w:ascii="宋体" w:hAnsi="宋体" w:eastAsia="宋体" w:cs="宋体"/>
          <w:color w:val="0C0C0C"/>
          <w:sz w:val="22"/>
        </w:rPr>
        <w:t>20、乙方招用的分包商，应经甲方审批认可，并具备承担工程服务项目的施工资质和安全资格。从事特种作业的人员必须经过专业培训并取得特种专业资格证书。乙方招用的分包商的安全责任由乙方承担。</w:t>
      </w:r>
    </w:p>
    <w:p w14:paraId="553D194F">
      <w:pPr>
        <w:spacing w:line="276" w:lineRule="auto"/>
        <w:rPr>
          <w:rFonts w:hint="eastAsia" w:ascii="宋体" w:hAnsi="宋体" w:eastAsia="宋体" w:cs="宋体"/>
          <w:color w:val="0C0C0C"/>
          <w:sz w:val="22"/>
        </w:rPr>
      </w:pPr>
      <w:r>
        <w:rPr>
          <w:rFonts w:hint="eastAsia" w:ascii="宋体" w:hAnsi="宋体" w:eastAsia="宋体" w:cs="宋体"/>
          <w:color w:val="0C0C0C"/>
          <w:sz w:val="22"/>
        </w:rPr>
        <w:t>第四条 违约责任及处理</w:t>
      </w:r>
    </w:p>
    <w:p w14:paraId="16F3A725">
      <w:pPr>
        <w:spacing w:line="276" w:lineRule="auto"/>
        <w:ind w:firstLine="440" w:firstLineChars="200"/>
        <w:rPr>
          <w:rFonts w:hint="eastAsia" w:ascii="宋体" w:hAnsi="宋体" w:eastAsia="宋体" w:cs="宋体"/>
          <w:color w:val="0C0C0C"/>
          <w:sz w:val="22"/>
        </w:rPr>
      </w:pPr>
      <w:r>
        <w:rPr>
          <w:rFonts w:hint="eastAsia" w:ascii="宋体" w:hAnsi="宋体" w:eastAsia="宋体" w:cs="宋体"/>
          <w:color w:val="0C0C0C"/>
          <w:sz w:val="22"/>
        </w:rPr>
        <w:t>一、甲乙双方违反本协议要求，未造成事故时，依据协议约定对违约者进行处理（包括但不限于支付违约金、停工整改、赔偿损失等）。</w:t>
      </w:r>
    </w:p>
    <w:p w14:paraId="13A88B0B">
      <w:pPr>
        <w:spacing w:line="276" w:lineRule="auto"/>
        <w:ind w:firstLine="440" w:firstLineChars="200"/>
        <w:rPr>
          <w:rFonts w:hint="eastAsia" w:ascii="宋体" w:hAnsi="宋体" w:eastAsia="宋体" w:cs="宋体"/>
          <w:color w:val="0C0C0C"/>
          <w:sz w:val="22"/>
        </w:rPr>
      </w:pPr>
      <w:r>
        <w:rPr>
          <w:rFonts w:hint="eastAsia" w:ascii="宋体" w:hAnsi="宋体" w:eastAsia="宋体" w:cs="宋体"/>
          <w:color w:val="0C0C0C"/>
          <w:sz w:val="22"/>
        </w:rPr>
        <w:t>二、甲方违约造成的事故，甲方承担全部责任，并按规定追究有关人员责任及上报。</w:t>
      </w:r>
    </w:p>
    <w:p w14:paraId="2B74E56E">
      <w:pPr>
        <w:spacing w:line="276" w:lineRule="auto"/>
        <w:ind w:firstLine="440" w:firstLineChars="200"/>
        <w:rPr>
          <w:rFonts w:hint="eastAsia" w:ascii="宋体" w:hAnsi="宋体" w:eastAsia="宋体" w:cs="宋体"/>
          <w:color w:val="0C0C0C"/>
          <w:sz w:val="22"/>
        </w:rPr>
      </w:pPr>
      <w:r>
        <w:rPr>
          <w:rFonts w:hint="eastAsia" w:ascii="宋体" w:hAnsi="宋体" w:eastAsia="宋体" w:cs="宋体"/>
          <w:color w:val="0C0C0C"/>
          <w:sz w:val="22"/>
        </w:rPr>
        <w:t>三、乙方违约造成的事故，乙方承担全部责任，并按规定追究有关人员责任并报告甲方；由于乙方工程质量、检修质量及购买的原材料质量导致的事故，由乙方承担全部责任。</w:t>
      </w:r>
    </w:p>
    <w:p w14:paraId="7C94B08F">
      <w:pPr>
        <w:spacing w:line="276" w:lineRule="auto"/>
        <w:rPr>
          <w:rFonts w:hint="eastAsia" w:ascii="宋体" w:hAnsi="宋体" w:eastAsia="宋体" w:cs="宋体"/>
          <w:color w:val="0C0C0C"/>
          <w:sz w:val="22"/>
        </w:rPr>
      </w:pPr>
      <w:r>
        <w:rPr>
          <w:rFonts w:hint="eastAsia" w:ascii="宋体" w:hAnsi="宋体" w:eastAsia="宋体" w:cs="宋体"/>
          <w:color w:val="0C0C0C"/>
          <w:sz w:val="22"/>
        </w:rPr>
        <w:t xml:space="preserve">   四、甲乙双方共同违约造成的事故，按双方责任大小承担相应责任，并按规定追究有关人员责任并上报。</w:t>
      </w:r>
    </w:p>
    <w:p w14:paraId="744F0867">
      <w:pPr>
        <w:spacing w:line="276" w:lineRule="auto"/>
        <w:rPr>
          <w:rFonts w:hint="eastAsia" w:ascii="宋体" w:hAnsi="宋体" w:eastAsia="宋体" w:cs="宋体"/>
          <w:color w:val="0C0C0C"/>
          <w:sz w:val="22"/>
        </w:rPr>
      </w:pPr>
      <w:r>
        <w:rPr>
          <w:rFonts w:hint="eastAsia" w:ascii="宋体" w:hAnsi="宋体" w:eastAsia="宋体" w:cs="宋体"/>
          <w:color w:val="0C0C0C"/>
          <w:sz w:val="22"/>
        </w:rPr>
        <w:t>第五条 发生事故时，甲乙双方均有抢险救灾的义务，所发生的费用由责任方承担。</w:t>
      </w:r>
    </w:p>
    <w:p w14:paraId="3F5B543E">
      <w:pPr>
        <w:spacing w:line="276" w:lineRule="auto"/>
        <w:rPr>
          <w:rFonts w:hint="eastAsia" w:ascii="宋体" w:hAnsi="宋体" w:eastAsia="宋体" w:cs="宋体"/>
          <w:color w:val="0C0C0C"/>
          <w:sz w:val="22"/>
        </w:rPr>
      </w:pPr>
      <w:r>
        <w:rPr>
          <w:rFonts w:hint="eastAsia" w:ascii="宋体" w:hAnsi="宋体" w:eastAsia="宋体" w:cs="宋体"/>
          <w:color w:val="0C0C0C"/>
          <w:sz w:val="22"/>
        </w:rPr>
        <w:t>第六条 发生事故，由事故责任主体单位上报事故；经事故调查确认责任； 事故报告和调查应按照国家和上级的有关规定进行。</w:t>
      </w:r>
    </w:p>
    <w:p w14:paraId="4579FCFD">
      <w:pPr>
        <w:spacing w:line="276" w:lineRule="auto"/>
        <w:rPr>
          <w:rFonts w:hint="eastAsia" w:ascii="宋体" w:hAnsi="宋体" w:eastAsia="宋体" w:cs="宋体"/>
          <w:color w:val="0C0C0C"/>
          <w:sz w:val="22"/>
        </w:rPr>
      </w:pPr>
      <w:r>
        <w:rPr>
          <w:rFonts w:hint="eastAsia" w:ascii="宋体" w:hAnsi="宋体" w:eastAsia="宋体" w:cs="宋体"/>
          <w:color w:val="0C0C0C"/>
          <w:sz w:val="22"/>
        </w:rPr>
        <w:t>第七条 由于不可抗力造成协议项目施工作业事故及产生的损失，由双方各自承担相应的损失。</w:t>
      </w:r>
    </w:p>
    <w:p w14:paraId="778A522D">
      <w:pPr>
        <w:spacing w:line="276" w:lineRule="auto"/>
        <w:rPr>
          <w:rFonts w:hint="eastAsia" w:ascii="宋体" w:hAnsi="宋体" w:eastAsia="宋体" w:cs="宋体"/>
          <w:color w:val="0C0C0C"/>
          <w:sz w:val="22"/>
        </w:rPr>
      </w:pPr>
      <w:r>
        <w:rPr>
          <w:rFonts w:hint="eastAsia" w:ascii="宋体" w:hAnsi="宋体" w:eastAsia="宋体" w:cs="宋体"/>
          <w:color w:val="0C0C0C"/>
          <w:sz w:val="22"/>
        </w:rPr>
        <w:t>第八条 对乙方发生事故后弄虚作假、隐瞒不报、迟报或谎报，一经查出， 按有关规定处罚，情节严重的，取消其进入甲方市场资格。</w:t>
      </w:r>
    </w:p>
    <w:p w14:paraId="7898C477">
      <w:pPr>
        <w:spacing w:line="276" w:lineRule="auto"/>
        <w:rPr>
          <w:rFonts w:hint="eastAsia" w:ascii="宋体" w:hAnsi="宋体" w:eastAsia="宋体" w:cs="宋体"/>
          <w:color w:val="0C0C0C"/>
          <w:sz w:val="22"/>
        </w:rPr>
      </w:pPr>
      <w:r>
        <w:rPr>
          <w:rFonts w:hint="eastAsia" w:ascii="宋体" w:hAnsi="宋体" w:eastAsia="宋体" w:cs="宋体"/>
          <w:color w:val="0C0C0C"/>
          <w:sz w:val="22"/>
        </w:rPr>
        <w:t>第九条 纠纷解决的方式：本协议履行过程中发生的任何争议纠纷，双方应通过友好协商方式解决。如协商不成，按工程服务合同所约定的争议解决方式解决。</w:t>
      </w:r>
    </w:p>
    <w:p w14:paraId="6DD98405">
      <w:pPr>
        <w:spacing w:line="276" w:lineRule="auto"/>
        <w:rPr>
          <w:rFonts w:hint="eastAsia" w:ascii="宋体" w:hAnsi="宋体" w:eastAsia="宋体" w:cs="宋体"/>
          <w:color w:val="0C0C0C"/>
          <w:sz w:val="22"/>
        </w:rPr>
      </w:pPr>
      <w:r>
        <w:rPr>
          <w:rFonts w:hint="eastAsia" w:ascii="宋体" w:hAnsi="宋体" w:eastAsia="宋体" w:cs="宋体"/>
          <w:color w:val="0C0C0C"/>
          <w:sz w:val="22"/>
        </w:rPr>
        <w:t>第十条 本协议是工程服务合同的重要组成部分，与工程服务合同具有同等法律效力。</w:t>
      </w:r>
    </w:p>
    <w:p w14:paraId="54ECF103">
      <w:pPr>
        <w:spacing w:line="276" w:lineRule="auto"/>
        <w:rPr>
          <w:rFonts w:hint="eastAsia" w:ascii="宋体" w:hAnsi="宋体" w:eastAsia="宋体" w:cs="宋体"/>
          <w:color w:val="0C0C0C"/>
          <w:sz w:val="22"/>
        </w:rPr>
      </w:pPr>
      <w:r>
        <w:rPr>
          <w:rFonts w:hint="eastAsia" w:ascii="宋体" w:hAnsi="宋体" w:eastAsia="宋体" w:cs="宋体"/>
          <w:color w:val="0C0C0C"/>
          <w:sz w:val="22"/>
        </w:rPr>
        <w:t>第十一条 本协议与工程服务合同的实际履行期限一致。如果主合同因故需要变更期限，本协议相应与之变更至相同期限。</w:t>
      </w:r>
    </w:p>
    <w:p w14:paraId="3787C540">
      <w:pPr>
        <w:spacing w:line="276" w:lineRule="auto"/>
        <w:rPr>
          <w:rFonts w:hint="eastAsia" w:ascii="宋体" w:hAnsi="宋体" w:eastAsia="宋体" w:cs="宋体"/>
          <w:color w:val="0C0C0C"/>
          <w:sz w:val="22"/>
        </w:rPr>
      </w:pPr>
      <w:r>
        <w:rPr>
          <w:rFonts w:hint="eastAsia" w:ascii="宋体" w:hAnsi="宋体" w:eastAsia="宋体" w:cs="宋体"/>
          <w:color w:val="0C0C0C"/>
          <w:sz w:val="22"/>
        </w:rPr>
        <w:t>第十二条 协议中的有关名词如违章、事故、不可抗力等，按国家的法律法规的规定解释。第十三条 针对协议需明确的具体安全环保要求另行说明。</w:t>
      </w:r>
    </w:p>
    <w:p w14:paraId="5E73F622">
      <w:pPr>
        <w:spacing w:line="276" w:lineRule="auto"/>
        <w:rPr>
          <w:rFonts w:hint="eastAsia" w:ascii="宋体" w:hAnsi="宋体" w:eastAsia="宋体" w:cs="宋体"/>
          <w:color w:val="0C0C0C"/>
          <w:sz w:val="22"/>
        </w:rPr>
      </w:pPr>
      <w:r>
        <w:rPr>
          <w:rFonts w:hint="eastAsia" w:ascii="宋体" w:hAnsi="宋体" w:eastAsia="宋体" w:cs="宋体"/>
          <w:color w:val="0C0C0C"/>
          <w:sz w:val="22"/>
        </w:rPr>
        <w:t>第十四条 本协议自双方签字盖章后生效。</w:t>
      </w:r>
    </w:p>
    <w:p w14:paraId="0F9F1913">
      <w:pPr>
        <w:spacing w:line="276" w:lineRule="auto"/>
        <w:rPr>
          <w:rFonts w:hint="eastAsia" w:ascii="宋体" w:hAnsi="宋体" w:eastAsia="宋体" w:cs="宋体"/>
          <w:color w:val="0C0C0C"/>
          <w:sz w:val="22"/>
        </w:rPr>
      </w:pPr>
      <w:r>
        <w:rPr>
          <w:rFonts w:hint="eastAsia" w:ascii="宋体" w:hAnsi="宋体" w:eastAsia="宋体" w:cs="宋体"/>
          <w:color w:val="0C0C0C"/>
          <w:sz w:val="22"/>
        </w:rPr>
        <w:t>第十五条 本协议一式二份，甲方一份，乙方一份。</w:t>
      </w:r>
    </w:p>
    <w:p w14:paraId="7B9B95FB">
      <w:pPr>
        <w:spacing w:line="276" w:lineRule="auto"/>
        <w:rPr>
          <w:rFonts w:hint="eastAsia" w:ascii="宋体" w:hAnsi="宋体" w:eastAsia="宋体" w:cs="宋体"/>
          <w:color w:val="0C0C0C"/>
          <w:sz w:val="22"/>
        </w:rPr>
      </w:pPr>
    </w:p>
    <w:p w14:paraId="0FF244FB">
      <w:pPr>
        <w:spacing w:line="276" w:lineRule="auto"/>
        <w:rPr>
          <w:rFonts w:hint="eastAsia" w:ascii="宋体" w:hAnsi="宋体" w:eastAsia="宋体" w:cs="宋体"/>
          <w:color w:val="0C0C0C"/>
          <w:sz w:val="22"/>
        </w:rPr>
      </w:pPr>
    </w:p>
    <w:p w14:paraId="6889124C">
      <w:pPr>
        <w:spacing w:line="276" w:lineRule="auto"/>
        <w:rPr>
          <w:rFonts w:hint="eastAsia" w:ascii="宋体" w:hAnsi="宋体" w:eastAsia="宋体" w:cs="宋体"/>
          <w:color w:val="0C0C0C"/>
          <w:sz w:val="22"/>
        </w:rPr>
      </w:pPr>
    </w:p>
    <w:p w14:paraId="4501F2EE">
      <w:pPr>
        <w:spacing w:line="276" w:lineRule="auto"/>
        <w:rPr>
          <w:rFonts w:hint="eastAsia" w:ascii="宋体" w:hAnsi="宋体" w:eastAsia="宋体" w:cs="宋体"/>
          <w:color w:val="0C0C0C"/>
          <w:sz w:val="22"/>
        </w:rPr>
      </w:pPr>
    </w:p>
    <w:p w14:paraId="68A1DACB">
      <w:pPr>
        <w:spacing w:line="276" w:lineRule="auto"/>
        <w:rPr>
          <w:rFonts w:hint="eastAsia" w:ascii="宋体" w:hAnsi="宋体" w:eastAsia="宋体" w:cs="宋体"/>
          <w:color w:val="0C0C0C"/>
          <w:sz w:val="22"/>
        </w:rPr>
      </w:pPr>
      <w:r>
        <w:rPr>
          <w:rFonts w:hint="eastAsia" w:ascii="宋体" w:hAnsi="宋体" w:eastAsia="宋体" w:cs="宋体"/>
          <w:color w:val="0C0C0C"/>
          <w:sz w:val="22"/>
        </w:rPr>
        <w:t>甲 方（盖章）：</w:t>
      </w:r>
      <w:r>
        <w:rPr>
          <w:rFonts w:hint="eastAsia" w:ascii="宋体" w:hAnsi="宋体" w:eastAsia="宋体" w:cs="宋体"/>
          <w:color w:val="0C0C0C"/>
          <w:sz w:val="22"/>
        </w:rPr>
        <w:tab/>
      </w:r>
      <w:r>
        <w:rPr>
          <w:rFonts w:hint="eastAsia" w:ascii="宋体" w:hAnsi="宋体" w:eastAsia="宋体" w:cs="宋体"/>
          <w:color w:val="0C0C0C"/>
          <w:sz w:val="22"/>
        </w:rPr>
        <w:t>乙 方（盖章）：</w:t>
      </w:r>
    </w:p>
    <w:p w14:paraId="553B6E11">
      <w:pPr>
        <w:spacing w:line="276" w:lineRule="auto"/>
        <w:rPr>
          <w:rFonts w:hint="eastAsia" w:ascii="宋体" w:hAnsi="宋体" w:eastAsia="宋体" w:cs="宋体"/>
          <w:color w:val="0C0C0C"/>
          <w:sz w:val="22"/>
        </w:rPr>
      </w:pPr>
      <w:r>
        <w:rPr>
          <w:rFonts w:hint="eastAsia" w:ascii="宋体" w:hAnsi="宋体" w:eastAsia="宋体" w:cs="宋体"/>
          <w:color w:val="0C0C0C"/>
          <w:sz w:val="22"/>
        </w:rPr>
        <w:t>负责人（签字）：</w:t>
      </w:r>
      <w:r>
        <w:rPr>
          <w:rFonts w:hint="eastAsia" w:ascii="宋体" w:hAnsi="宋体" w:eastAsia="宋体" w:cs="宋体"/>
          <w:color w:val="0C0C0C"/>
          <w:sz w:val="22"/>
        </w:rPr>
        <w:tab/>
      </w:r>
      <w:r>
        <w:rPr>
          <w:rFonts w:hint="eastAsia" w:ascii="宋体" w:hAnsi="宋体" w:eastAsia="宋体" w:cs="宋体"/>
          <w:color w:val="0C0C0C"/>
          <w:sz w:val="22"/>
        </w:rPr>
        <w:t>负责人（签字）：年 月 日</w:t>
      </w:r>
      <w:r>
        <w:rPr>
          <w:rFonts w:hint="eastAsia" w:ascii="宋体" w:hAnsi="宋体" w:eastAsia="宋体" w:cs="宋体"/>
          <w:color w:val="0C0C0C"/>
          <w:sz w:val="22"/>
        </w:rPr>
        <w:tab/>
      </w:r>
      <w:r>
        <w:rPr>
          <w:rFonts w:hint="eastAsia" w:ascii="宋体" w:hAnsi="宋体" w:eastAsia="宋体" w:cs="宋体"/>
          <w:color w:val="0C0C0C"/>
          <w:sz w:val="22"/>
        </w:rPr>
        <w:tab/>
      </w:r>
      <w:r>
        <w:rPr>
          <w:rFonts w:hint="eastAsia" w:ascii="宋体" w:hAnsi="宋体" w:eastAsia="宋体" w:cs="宋体"/>
          <w:color w:val="0C0C0C"/>
          <w:sz w:val="22"/>
        </w:rPr>
        <w:t>年 月 日</w:t>
      </w:r>
    </w:p>
    <w:p w14:paraId="514D8CAC">
      <w:pPr>
        <w:rPr>
          <w:rFonts w:hint="eastAsia" w:ascii="宋体" w:hAnsi="宋体" w:eastAsia="宋体" w:cs="宋体"/>
        </w:rPr>
      </w:pPr>
    </w:p>
    <w:p w14:paraId="7BFBAC8E"/>
    <w:p w14:paraId="229C682E">
      <w:bookmarkStart w:id="552" w:name="_GoBack"/>
      <w:bookmarkEnd w:id="552"/>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90A6F3"/>
    <w:multiLevelType w:val="singleLevel"/>
    <w:tmpl w:val="BE90A6F3"/>
    <w:lvl w:ilvl="0" w:tentative="0">
      <w:start w:val="1"/>
      <w:numFmt w:val="decimal"/>
      <w:lvlText w:val="%1."/>
      <w:lvlJc w:val="left"/>
      <w:pPr>
        <w:tabs>
          <w:tab w:val="left" w:pos="312"/>
        </w:tabs>
      </w:pPr>
      <w:rPr>
        <w:rFonts w:cs="Times New Roman"/>
      </w:rPr>
    </w:lvl>
  </w:abstractNum>
  <w:abstractNum w:abstractNumId="1">
    <w:nsid w:val="246858EB"/>
    <w:multiLevelType w:val="multilevel"/>
    <w:tmpl w:val="246858EB"/>
    <w:lvl w:ilvl="0" w:tentative="0">
      <w:start w:val="1"/>
      <w:numFmt w:val="japaneseCounting"/>
      <w:lvlText w:val="第%1节"/>
      <w:lvlJc w:val="left"/>
      <w:pPr>
        <w:ind w:left="1545" w:hanging="154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8836A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2"/>
    <w:basedOn w:val="4"/>
    <w:next w:val="4"/>
    <w:qFormat/>
    <w:uiPriority w:val="9"/>
    <w:pPr>
      <w:keepNext/>
      <w:keepLines/>
      <w:spacing w:before="260" w:after="260" w:line="416" w:lineRule="auto"/>
      <w:outlineLvl w:val="1"/>
    </w:pPr>
    <w:rPr>
      <w:rFonts w:ascii="Arial" w:hAnsi="Arial" w:eastAsia="黑体"/>
      <w:b/>
      <w:bCs/>
      <w:sz w:val="32"/>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jc w:val="center"/>
    </w:pPr>
    <w:rPr>
      <w:szCs w:val="20"/>
    </w:rPr>
  </w:style>
  <w:style w:type="paragraph" w:customStyle="1" w:styleId="4">
    <w:name w:val="我的正文"/>
    <w:basedOn w:val="1"/>
    <w:qFormat/>
    <w:uiPriority w:val="0"/>
    <w:pPr>
      <w:spacing w:line="360" w:lineRule="auto"/>
      <w:ind w:firstLine="200" w:firstLineChars="200"/>
    </w:pPr>
  </w:style>
  <w:style w:type="paragraph" w:styleId="5">
    <w:name w:val="Normal Indent"/>
    <w:basedOn w:val="1"/>
    <w:next w:val="6"/>
    <w:qFormat/>
    <w:uiPriority w:val="99"/>
    <w:pPr>
      <w:ind w:firstLine="200" w:firstLineChars="200"/>
    </w:pPr>
    <w:rPr>
      <w:rFonts w:ascii="Calibri" w:hAnsi="Calibri" w:cs="Times New Roman"/>
      <w:szCs w:val="21"/>
    </w:rPr>
  </w:style>
  <w:style w:type="paragraph" w:styleId="6">
    <w:name w:val="toc 4"/>
    <w:basedOn w:val="1"/>
    <w:next w:val="1"/>
    <w:qFormat/>
    <w:uiPriority w:val="39"/>
    <w:pPr>
      <w:tabs>
        <w:tab w:val="left" w:pos="1890"/>
        <w:tab w:val="right" w:leader="dot" w:pos="8296"/>
      </w:tabs>
      <w:ind w:left="630" w:leftChars="300"/>
    </w:pPr>
    <w:rPr>
      <w:rFonts w:ascii="Calibri" w:hAnsi="Calibri"/>
      <w:szCs w:val="22"/>
    </w:rPr>
  </w:style>
  <w:style w:type="paragraph" w:styleId="7">
    <w:name w:val="footer"/>
    <w:basedOn w:val="1"/>
    <w:qFormat/>
    <w:uiPriority w:val="99"/>
    <w:pPr>
      <w:tabs>
        <w:tab w:val="center" w:pos="4153"/>
        <w:tab w:val="right" w:pos="8306"/>
      </w:tabs>
      <w:snapToGrid w:val="0"/>
      <w:jc w:val="left"/>
    </w:pPr>
    <w:rPr>
      <w:sz w:val="18"/>
    </w:rPr>
  </w:style>
  <w:style w:type="paragraph" w:styleId="10">
    <w:name w:val="List Paragraph"/>
    <w:basedOn w:val="1"/>
    <w:qFormat/>
    <w:uiPriority w:val="99"/>
    <w:pPr>
      <w:ind w:left="1062" w:hanging="530"/>
    </w:pPr>
    <w:rPr>
      <w:rFonts w:ascii="宋体" w:hAnsi="宋体" w:cs="宋体"/>
      <w:lang w:val="zh-CN" w:bidi="zh-CN"/>
    </w:rPr>
  </w:style>
  <w:style w:type="paragraph" w:customStyle="1" w:styleId="11">
    <w:name w:val="列出段落2"/>
    <w:basedOn w:val="1"/>
    <w:qFormat/>
    <w:uiPriority w:val="34"/>
    <w:pPr>
      <w:widowControl/>
      <w:spacing w:after="200" w:line="276" w:lineRule="auto"/>
      <w:ind w:left="720"/>
      <w:contextualSpacing/>
      <w:jc w:val="left"/>
    </w:pPr>
    <w:rPr>
      <w:rFonts w:ascii="Calibri" w:hAnsi="Calibri"/>
      <w:kern w:val="0"/>
      <w:sz w:val="22"/>
      <w:szCs w:val="22"/>
    </w:rPr>
  </w:style>
  <w:style w:type="paragraph" w:customStyle="1" w:styleId="12">
    <w:name w:val="Table Paragraph"/>
    <w:basedOn w:val="1"/>
    <w:qFormat/>
    <w:uiPriority w:val="1"/>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39</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2026-07-15T09:35:15Z</dcterms:created>
  <dc:creator>admin</dc:creator>
  <cp:lastModifiedBy>从66888开始</cp:lastModifiedBy>
  <dcterms:modified xsi:type="dcterms:W3CDTF">2026-07-15T09:35:18Z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eyJoZGlkIjoiMzNjZjUxODcwYThhNjliNTVmOWExN2UxNDY5OWU1NzkiLCJ1c2VySWQiOiI0MDIyMjc5NjcifQ==</vt:lpwstr>
  </property>
  <property fmtid="{D5CDD505-2E9C-101B-9397-08002B2CF9AE}" pid="4" name="ICV">
    <vt:lpwstr>EC4A65A4D70542689F23BF92571C96D2_12</vt:lpwstr>
  </property>
</Properties>
</file>