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7EF27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sz w:val="72"/>
          <w:szCs w:val="36"/>
        </w:rPr>
      </w:pPr>
      <w:bookmarkStart w:id="0" w:name="_Toc672550438"/>
      <w:bookmarkStart w:id="1" w:name="_Toc1348777305"/>
      <w:bookmarkStart w:id="2" w:name="_Toc333044351"/>
    </w:p>
    <w:p w14:paraId="1CCA3CD6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sz w:val="72"/>
          <w:szCs w:val="36"/>
        </w:rPr>
      </w:pPr>
    </w:p>
    <w:p w14:paraId="76A67D0B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48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48"/>
          <w:szCs w:val="22"/>
          <w:highlight w:val="none"/>
          <w:lang w:val="en-US" w:eastAsia="zh-CN"/>
        </w:rPr>
        <w:t>陕西省住房和城乡建设厅2026年重点绩效评价和专项资金执行情况评估项目</w:t>
      </w:r>
    </w:p>
    <w:p w14:paraId="4395BEAB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b/>
          <w:sz w:val="48"/>
          <w:szCs w:val="22"/>
          <w:highlight w:val="none"/>
          <w:lang w:eastAsia="zh-CN"/>
        </w:rPr>
        <w:t>服务</w:t>
      </w:r>
      <w:r>
        <w:rPr>
          <w:rFonts w:hint="eastAsia" w:ascii="仿宋" w:hAnsi="仿宋" w:eastAsia="仿宋" w:cs="仿宋"/>
          <w:b/>
          <w:sz w:val="48"/>
          <w:szCs w:val="22"/>
          <w:highlight w:val="none"/>
          <w:lang w:val="en-US" w:eastAsia="zh-CN"/>
        </w:rPr>
        <w:t>委托</w:t>
      </w:r>
      <w:r>
        <w:rPr>
          <w:rFonts w:hint="eastAsia" w:ascii="仿宋" w:hAnsi="仿宋" w:eastAsia="仿宋" w:cs="仿宋"/>
          <w:b/>
          <w:sz w:val="48"/>
          <w:szCs w:val="22"/>
          <w:highlight w:val="none"/>
        </w:rPr>
        <w:t>协议书</w:t>
      </w:r>
      <w:bookmarkEnd w:id="0"/>
    </w:p>
    <w:p w14:paraId="30378421">
      <w:pPr>
        <w:adjustRightInd w:val="0"/>
        <w:snapToGrid w:val="0"/>
        <w:spacing w:line="360" w:lineRule="auto"/>
        <w:rPr>
          <w:rFonts w:ascii="宋体" w:hAnsi="宋体" w:cs="宋体"/>
          <w:sz w:val="24"/>
          <w:highlight w:val="none"/>
        </w:rPr>
      </w:pPr>
    </w:p>
    <w:p w14:paraId="451ABCE1">
      <w:pPr>
        <w:adjustRightInd w:val="0"/>
        <w:snapToGrid w:val="0"/>
        <w:spacing w:line="360" w:lineRule="auto"/>
        <w:rPr>
          <w:rFonts w:ascii="宋体" w:hAnsi="宋体" w:cs="宋体"/>
          <w:sz w:val="24"/>
          <w:highlight w:val="none"/>
        </w:rPr>
      </w:pPr>
    </w:p>
    <w:p w14:paraId="5AC7540A">
      <w:pPr>
        <w:adjustRightInd w:val="0"/>
        <w:snapToGrid w:val="0"/>
        <w:spacing w:line="360" w:lineRule="auto"/>
        <w:rPr>
          <w:rFonts w:ascii="宋体" w:hAnsi="宋体" w:cs="宋体"/>
          <w:sz w:val="24"/>
          <w:highlight w:val="none"/>
        </w:rPr>
      </w:pPr>
    </w:p>
    <w:p w14:paraId="750F2F38">
      <w:pPr>
        <w:pStyle w:val="3"/>
        <w:rPr>
          <w:rFonts w:ascii="宋体" w:hAnsi="宋体" w:cs="宋体"/>
          <w:sz w:val="24"/>
          <w:highlight w:val="none"/>
        </w:rPr>
      </w:pPr>
    </w:p>
    <w:p w14:paraId="1AC57694">
      <w:pPr>
        <w:rPr>
          <w:rFonts w:ascii="宋体" w:hAnsi="宋体" w:cs="宋体"/>
          <w:sz w:val="24"/>
          <w:highlight w:val="none"/>
        </w:rPr>
      </w:pPr>
    </w:p>
    <w:p w14:paraId="753A5B4F">
      <w:pPr>
        <w:pStyle w:val="3"/>
        <w:rPr>
          <w:rFonts w:ascii="宋体" w:hAnsi="宋体" w:cs="宋体"/>
          <w:sz w:val="24"/>
          <w:highlight w:val="none"/>
        </w:rPr>
      </w:pPr>
    </w:p>
    <w:p w14:paraId="7BB7FE60">
      <w:pPr>
        <w:rPr>
          <w:highlight w:val="none"/>
        </w:rPr>
      </w:pPr>
    </w:p>
    <w:p w14:paraId="6195892B">
      <w:pPr>
        <w:adjustRightInd w:val="0"/>
        <w:snapToGrid w:val="0"/>
        <w:spacing w:line="360" w:lineRule="auto"/>
        <w:rPr>
          <w:rFonts w:ascii="宋体" w:hAnsi="宋体" w:cs="宋体"/>
          <w:sz w:val="24"/>
          <w:highlight w:val="none"/>
        </w:rPr>
      </w:pPr>
    </w:p>
    <w:p w14:paraId="09116A19">
      <w:pPr>
        <w:adjustRightInd w:val="0"/>
        <w:snapToGrid w:val="0"/>
        <w:spacing w:line="360" w:lineRule="auto"/>
        <w:rPr>
          <w:rFonts w:ascii="宋体" w:hAnsi="宋体" w:cs="宋体"/>
          <w:sz w:val="24"/>
          <w:highlight w:val="none"/>
        </w:rPr>
      </w:pPr>
    </w:p>
    <w:p w14:paraId="0EB8539A">
      <w:pPr>
        <w:adjustRightInd w:val="0"/>
        <w:snapToGrid w:val="0"/>
        <w:spacing w:line="360" w:lineRule="auto"/>
        <w:rPr>
          <w:rFonts w:ascii="宋体" w:hAnsi="宋体" w:cs="宋体"/>
          <w:sz w:val="24"/>
          <w:highlight w:val="none"/>
        </w:rPr>
      </w:pPr>
    </w:p>
    <w:p w14:paraId="2168F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2096" w:leftChars="284" w:hanging="1500" w:hangingChars="500"/>
        <w:textAlignment w:val="auto"/>
        <w:rPr>
          <w:rFonts w:hint="default" w:ascii="仿宋_GB2312" w:hAnsi="仿宋_GB2312" w:eastAsia="仿宋_GB2312" w:cs="仿宋_GB2312"/>
          <w:sz w:val="30"/>
          <w:szCs w:val="30"/>
          <w:highlight w:val="none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项目名称：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u w:val="single"/>
          <w:lang w:val="en-US" w:eastAsia="zh-CN"/>
        </w:rPr>
        <w:t xml:space="preserve">陕西省住房和城乡建设厅2026年重点绩效评价和专项资金执行情况评估项目         </w:t>
      </w:r>
    </w:p>
    <w:p w14:paraId="29B5FF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甲    方：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u w:val="single"/>
          <w:lang w:val="en-US" w:eastAsia="zh-CN"/>
        </w:rPr>
        <w:t xml:space="preserve">         陕西省住房和城乡建设厅           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 xml:space="preserve">     </w:t>
      </w:r>
    </w:p>
    <w:p w14:paraId="576C1B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eastAsia" w:ascii="宋体" w:hAnsi="宋体" w:eastAsia="宋体" w:cs="宋体"/>
          <w:b/>
          <w:bCs/>
          <w:sz w:val="44"/>
          <w:highlight w:val="none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乙    方：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u w:val="single"/>
          <w:lang w:val="en-US" w:eastAsia="zh-CN"/>
        </w:rPr>
        <w:t xml:space="preserve">                                          </w:t>
      </w:r>
      <w:r>
        <w:rPr>
          <w:rFonts w:hint="eastAsia" w:ascii="宋体" w:hAnsi="宋体" w:eastAsia="宋体" w:cs="宋体"/>
          <w:b/>
          <w:bCs/>
          <w:sz w:val="44"/>
          <w:highlight w:val="none"/>
        </w:rPr>
        <w:br w:type="page"/>
      </w:r>
    </w:p>
    <w:bookmarkEnd w:id="1"/>
    <w:bookmarkEnd w:id="2"/>
    <w:p w14:paraId="321F07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1200" w:hanging="1500" w:hangingChars="50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甲     方：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highlight w:val="none"/>
          <w:lang w:val="en-US" w:eastAsia="zh-CN"/>
        </w:rPr>
        <w:t>陕西省住房和城乡建设厅</w:t>
      </w:r>
    </w:p>
    <w:p w14:paraId="3FA58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1200" w:hanging="1500" w:hangingChars="500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eastAsia="zh-CN"/>
        </w:rPr>
      </w:pPr>
      <w:bookmarkStart w:id="3" w:name="_Toc62787403"/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乙     方：</w:t>
      </w:r>
      <w:bookmarkEnd w:id="3"/>
    </w:p>
    <w:p w14:paraId="3675B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甲方委托乙方组织开展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u w:val="single"/>
        </w:rPr>
        <w:t xml:space="preserve"> 陕西省住房和城乡建设厅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u w:val="single"/>
          <w:lang w:val="en-US" w:eastAsia="zh-CN"/>
        </w:rPr>
        <w:t>2026年重点绩效评价和专项资金执行情况评估项目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服务工作，遵循平等、自愿、公平和诚实信用的原则，经双方协商一致，订立本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合同（以下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简称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：“合同”）。</w:t>
      </w:r>
    </w:p>
    <w:p w14:paraId="24E5DA7F">
      <w:pPr>
        <w:widowControl w:val="0"/>
        <w:numPr>
          <w:ilvl w:val="0"/>
          <w:numId w:val="1"/>
        </w:numPr>
        <w:spacing w:after="156" w:afterLines="50" w:line="360" w:lineRule="auto"/>
        <w:ind w:left="720" w:hanging="720" w:firstLineChars="0"/>
        <w:jc w:val="left"/>
        <w:outlineLvl w:val="1"/>
        <w:rPr>
          <w:rFonts w:ascii="宋体" w:hAnsi="宋体" w:eastAsia="宋体" w:cs="宋体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  <w:t>服务内容及产出要求</w:t>
      </w:r>
    </w:p>
    <w:p w14:paraId="445FE4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受甲方委托，乙方承担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u w:val="single"/>
        </w:rPr>
        <w:t xml:space="preserve"> 陕西省住房和城乡建设厅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u w:val="single"/>
          <w:lang w:val="en-US" w:eastAsia="zh-CN"/>
        </w:rPr>
        <w:t>2026年重点绩效评价和专项资金执行情况评估项目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服务工作。</w:t>
      </w:r>
    </w:p>
    <w:p w14:paraId="7CBE1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default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 xml:space="preserve">    服务时间：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重点绩效评价项目2026年6月30日前完成，专项资金执行情况评估项目2026年12月31日前完成</w:t>
      </w:r>
    </w:p>
    <w:p w14:paraId="567289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 xml:space="preserve">    服务区域：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陕西省住房和城乡建设厅</w:t>
      </w:r>
    </w:p>
    <w:p w14:paraId="04DA67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服务内容：乙方根据《中共中央国务院关于全面实施预算绩效管理的意见》（中发〔2018〕34号）、《陕西省财政厅关于印发&lt;陕西省财政项目支出绩效评价管理办法&gt;的通知》（陕财办绩〔2020〕9号）、《陕西省财政厅关于开展2026年度省级重点绩效评价工作的通知》（陕财办绩〔2026〕4号）文件及甲方的委托要求，组织开展2026年重点绩效评价和专项资金执行情况评估项目的具体工作。</w:t>
      </w:r>
    </w:p>
    <w:p w14:paraId="1D90E6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项目基本情况：建制镇镇区基础设施建设项目支持重点：以镇区年度新增基础设施项目为重点，增强城镇综合承载能力，打造县域“城镇、经济、服务”副中心。项目类型包括：市政路网体系建设，污水、雨水、燃气、热力等综合管线建设，农村生活垃圾收运处置体系建设（限转运站、焚烧厂等），停车设施建设，镇容镇貌改造提升，历史文化名镇建设以及传统街巷和传统建筑的修缮等方面。省级财政2025年度城镇化发展专项资金安排55800万元支持建制镇镇区基础设施建设。2025年目标为：支持111个建制镇镇区基础设施建设，打造一批县域副中心镇。</w:t>
      </w:r>
    </w:p>
    <w:p w14:paraId="2D50C3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default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县城建设项目支持重点：包括县城排水防涝、污水提质增效、地下管网管廊建设、雨污分流、公共停车场、垃圾分类处置等基础设施建设。省级财政2025年度县城建设专项资金安排50000万元支持县城建设。2025年目标为：支持38个县城建设。</w:t>
      </w:r>
    </w:p>
    <w:p w14:paraId="49DDA8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乙方按照甲方的要求，按时完成对2026年重点绩效评价和专项资金执行情况评估项目资金在项目决策、预算管理、组织实施、产出完成和综合效益等方面进行全面、系统的量化评估，重点考核资金使用的规范性、产出目标的达成度以及社会效益的实现情况，旨在科学衡量财政资金配置效率与使用绩效。</w:t>
      </w:r>
    </w:p>
    <w:p w14:paraId="72A27612">
      <w:pPr>
        <w:widowControl w:val="0"/>
        <w:numPr>
          <w:ilvl w:val="0"/>
          <w:numId w:val="1"/>
        </w:numPr>
        <w:spacing w:after="156" w:afterLines="50" w:line="360" w:lineRule="auto"/>
        <w:ind w:left="720" w:hanging="720" w:firstLineChars="0"/>
        <w:jc w:val="left"/>
        <w:outlineLvl w:val="1"/>
        <w:rPr>
          <w:rFonts w:ascii="宋体" w:hAnsi="宋体" w:eastAsia="宋体" w:cs="宋体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  <w:t>甲乙双方的权利和义务</w:t>
      </w:r>
    </w:p>
    <w:p w14:paraId="4689B4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</w:rPr>
        <w:t>甲方应授权乙方开展绩效管理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  <w:lang w:val="en-US" w:eastAsia="zh-CN"/>
        </w:rPr>
        <w:t>和项目资金执行情况评估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</w:rPr>
        <w:t>咨询服务工作的必要权利和给予必要的支持，以保证工作的顺利进行。</w:t>
      </w:r>
    </w:p>
    <w:p w14:paraId="665088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</w:rPr>
        <w:t>甲方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  <w:lang w:eastAsia="zh-CN"/>
        </w:rPr>
        <w:t>有义务按时布置并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</w:rPr>
        <w:t>督促资金使用单位和资金主管部门提供项目的有关评价信息和资料。</w:t>
      </w:r>
    </w:p>
    <w:p w14:paraId="012257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</w:rPr>
        <w:t>甲方应在评价工作过程中及时给予乙方涉及本协议委托事项的政策、业务指导。</w:t>
      </w:r>
    </w:p>
    <w:p w14:paraId="581A12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4.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</w:rPr>
        <w:t>甲方自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  <w:lang w:eastAsia="zh-CN"/>
        </w:rPr>
        <w:t>乙方通过电子邮件或书面签收方式收到乙方提交的报告之日起5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</w:rPr>
        <w:t>个工作日内未提出书面异议的，视为确认通过。</w:t>
      </w:r>
    </w:p>
    <w:p w14:paraId="48B5CC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5.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</w:rPr>
        <w:t>乙方应妥善保存甲方提供的相关资料，并按照甲方要求于项目评价工作结束后将相关资料移交至甲方。</w:t>
      </w:r>
    </w:p>
    <w:p w14:paraId="204D02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6.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</w:rPr>
        <w:t>乙方应就项目绩效评价服务的相关工作与甲方充分沟通，本着科学、规范、客观、公正、独立、实事求是的原则开展工作。</w:t>
      </w:r>
    </w:p>
    <w:p w14:paraId="1D0EF2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7.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</w:rPr>
        <w:t>乙方应充分考虑评价项目实施的业务量，选派经验丰富的工作人员组成工作小组，以确保按时、保质完成咨询工作。</w:t>
      </w:r>
    </w:p>
    <w:p w14:paraId="66D96CF5">
      <w:pPr>
        <w:widowControl w:val="0"/>
        <w:numPr>
          <w:ilvl w:val="0"/>
          <w:numId w:val="1"/>
        </w:numPr>
        <w:spacing w:after="156" w:afterLines="50" w:line="360" w:lineRule="auto"/>
        <w:ind w:left="720" w:hanging="720" w:firstLineChars="0"/>
        <w:jc w:val="left"/>
        <w:outlineLvl w:val="1"/>
        <w:rPr>
          <w:rFonts w:ascii="宋体" w:hAnsi="宋体" w:eastAsia="宋体" w:cs="宋体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  <w:t>服务要求</w:t>
      </w:r>
    </w:p>
    <w:p w14:paraId="3C41E61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415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highlight w:val="none"/>
        </w:rPr>
        <w:t>乙方所提供服务，必须符合国家有关的法律法规和甲方的业务要求。所有服务不得侵犯第三方版权、专利、税费等。否则，乙方须承担对专利或版权的侵权责任并承担因此而发生的所有费用 。</w:t>
      </w:r>
    </w:p>
    <w:p w14:paraId="464EAE7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415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highlight w:val="none"/>
        </w:rPr>
        <w:t>乙方应本着认真负责的态度组织人员队伍，积极配合甲方解决委托过程中的各项问题，完成各项工作。</w:t>
      </w:r>
    </w:p>
    <w:p w14:paraId="4F419C1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415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highlight w:val="none"/>
        </w:rPr>
        <w:t>乙方应自觉接受甲方对工作进度、质量的监控。</w:t>
      </w:r>
    </w:p>
    <w:p w14:paraId="3085BCC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415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highlight w:val="none"/>
        </w:rPr>
        <w:t>纪律要求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highlight w:val="none"/>
        </w:rPr>
        <w:t>乙方组织的工作人员必须廉洁奉公，不得参加可能影响公正执行评价工作的宴请（如因特殊情况需在被评价单位食堂或餐厅就餐，乙方将按规定支付餐费）；不得参加营业性歌舞厅等公共娱乐场所的娱乐活动；不得参加项目单位安排的公款旅游、庆典等活动；不得收受项目单位赠送的礼品、礼金、有价证券及其他福利品等；不得收受项目单位以任何名义给予的加班费、奖金、津贴等；不得在项目单位报销任何费用；不得索贿、受贿；不利用职权为个人或他人谋取利益。</w:t>
      </w:r>
    </w:p>
    <w:p w14:paraId="40C74E2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415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highlight w:val="none"/>
        </w:rPr>
        <w:t>保密要求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highlight w:val="none"/>
        </w:rPr>
        <w:t>乙方应对本协议有关的信息（包括口头及书面）采取保密措施，乙方未经甲方的书面同意，不得将本委托事项所涉及的资料向与本事项无关的人员透露，也不能将协议的具体条款进行新闻的发布、公开的宣称、否认或承认。在本协议委托事项工作结束并通过验收后，乙方应向甲方提供本委托事项的成果，包括工作报告和相关资料。乙方应归还甲方提供的所有需要归还的资料或文件等，并承诺不保留任何电子文档和复印件。</w:t>
      </w:r>
    </w:p>
    <w:p w14:paraId="3B62E360">
      <w:pPr>
        <w:pStyle w:val="2"/>
        <w:rPr>
          <w:rFonts w:hint="eastAsia"/>
        </w:rPr>
      </w:pPr>
    </w:p>
    <w:p w14:paraId="750BBA52">
      <w:pPr>
        <w:widowControl w:val="0"/>
        <w:numPr>
          <w:ilvl w:val="0"/>
          <w:numId w:val="1"/>
        </w:numPr>
        <w:spacing w:after="156" w:afterLines="50" w:line="360" w:lineRule="auto"/>
        <w:ind w:left="720" w:hanging="720" w:firstLineChars="0"/>
        <w:jc w:val="left"/>
        <w:outlineLvl w:val="1"/>
        <w:rPr>
          <w:rFonts w:ascii="宋体" w:hAnsi="宋体" w:eastAsia="宋体" w:cs="宋体"/>
          <w:b/>
          <w:bCs/>
          <w:color w:val="000000"/>
          <w:ker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highlight w:val="none"/>
          <w:lang w:val="en-US" w:eastAsia="zh-CN" w:bidi="ar-SA"/>
        </w:rPr>
        <w:t>费用总价及支付方式</w:t>
      </w:r>
    </w:p>
    <w:p w14:paraId="1A39C2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0"/>
          <w:szCs w:val="30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本合同服务费总金额为：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:u w:val="single"/>
          <w14:textFill>
            <w14:solidFill>
              <w14:schemeClr w14:val="tx1"/>
            </w14:solidFill>
          </w14:textFill>
        </w:rPr>
        <w:t>¥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元（人民币大写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）。</w:t>
      </w:r>
    </w:p>
    <w:p w14:paraId="74312C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经甲、乙双方协商一致，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lang w:val="en-US" w:eastAsia="zh-CN"/>
        </w:rPr>
        <w:t>乙方服务团队入场开展服务工作后</w:t>
      </w:r>
      <w:r>
        <w:rPr>
          <w:rFonts w:hint="eastAsia" w:ascii="仿宋_GB2312" w:hAnsi="宋体" w:eastAsia="仿宋_GB2312"/>
          <w:sz w:val="28"/>
          <w:szCs w:val="28"/>
          <w:highlight w:val="none"/>
          <w:lang w:eastAsia="zh-CN"/>
        </w:rPr>
        <w:t>，达到付款条件起14个⼯作⽇内，</w:t>
      </w:r>
      <w:r>
        <w:rPr>
          <w:rFonts w:hint="eastAsia" w:ascii="仿宋_GB2312" w:hAnsi="宋体" w:eastAsia="仿宋_GB2312"/>
          <w:sz w:val="28"/>
          <w:szCs w:val="28"/>
          <w:highlight w:val="none"/>
          <w:lang w:val="en-US" w:eastAsia="zh-CN"/>
        </w:rPr>
        <w:t>甲方支付</w:t>
      </w:r>
      <w:r>
        <w:rPr>
          <w:rFonts w:hint="eastAsia" w:ascii="仿宋_GB2312" w:hAnsi="宋体" w:eastAsia="仿宋_GB2312"/>
          <w:sz w:val="28"/>
          <w:szCs w:val="28"/>
          <w:highlight w:val="none"/>
          <w:lang w:eastAsia="zh-CN"/>
        </w:rPr>
        <w:t>合同金额的</w:t>
      </w:r>
      <w:r>
        <w:rPr>
          <w:rFonts w:hint="eastAsia" w:ascii="仿宋_GB2312" w:hAnsi="宋体" w:eastAsia="仿宋_GB2312"/>
          <w:sz w:val="28"/>
          <w:szCs w:val="28"/>
          <w:highlight w:val="none"/>
          <w:lang w:val="en-US" w:eastAsia="zh-CN"/>
        </w:rPr>
        <w:t>60%，即人民币：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:u w:val="single"/>
          <w14:textFill>
            <w14:solidFill>
              <w14:schemeClr w14:val="tx1"/>
            </w14:solidFill>
          </w14:textFill>
        </w:rPr>
        <w:t>¥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  <w:highlight w:val="none"/>
          <w:lang w:val="en-US" w:eastAsia="zh-CN"/>
        </w:rPr>
        <w:t>元（大写：人民币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  <w:highlight w:val="none"/>
          <w:lang w:val="en-US" w:eastAsia="zh-CN"/>
        </w:rPr>
        <w:t>）；完成所有服务工作</w:t>
      </w:r>
      <w:r>
        <w:rPr>
          <w:rFonts w:hint="eastAsia" w:ascii="仿宋_GB2312" w:hAnsi="宋体" w:eastAsia="仿宋_GB2312"/>
          <w:sz w:val="28"/>
          <w:szCs w:val="28"/>
          <w:highlight w:val="none"/>
          <w:lang w:eastAsia="zh-CN"/>
        </w:rPr>
        <w:t>，并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lang w:val="en-US" w:eastAsia="zh-CN"/>
        </w:rPr>
        <w:t>经甲方最终验收合格后，达到付款条件起14个⼯作⽇内，</w:t>
      </w:r>
      <w:r>
        <w:rPr>
          <w:rFonts w:hint="eastAsia" w:ascii="仿宋_GB2312" w:hAnsi="宋体" w:eastAsia="仿宋_GB2312"/>
          <w:sz w:val="28"/>
          <w:szCs w:val="28"/>
          <w:highlight w:val="none"/>
          <w:lang w:val="en-US" w:eastAsia="zh-CN"/>
        </w:rPr>
        <w:t>甲方支付</w:t>
      </w:r>
      <w:r>
        <w:rPr>
          <w:rFonts w:hint="eastAsia" w:ascii="仿宋_GB2312" w:hAnsi="宋体" w:eastAsia="仿宋_GB2312"/>
          <w:sz w:val="28"/>
          <w:szCs w:val="28"/>
          <w:highlight w:val="none"/>
          <w:lang w:eastAsia="zh-CN"/>
        </w:rPr>
        <w:t>合同金额的</w:t>
      </w:r>
      <w:r>
        <w:rPr>
          <w:rFonts w:hint="eastAsia" w:ascii="仿宋_GB2312" w:hAnsi="宋体" w:eastAsia="仿宋_GB2312"/>
          <w:sz w:val="28"/>
          <w:szCs w:val="28"/>
          <w:highlight w:val="none"/>
          <w:lang w:val="en-US" w:eastAsia="zh-CN"/>
        </w:rPr>
        <w:t>40%，即人民币：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:u w:val="single"/>
          <w14:textFill>
            <w14:solidFill>
              <w14:schemeClr w14:val="tx1"/>
            </w14:solidFill>
          </w14:textFill>
        </w:rPr>
        <w:t>¥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highlight w:val="none"/>
          <w:lang w:val="en-US" w:eastAsia="zh-CN"/>
        </w:rPr>
        <w:t>元（大写：人民币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_GB2312" w:hAnsi="宋体" w:eastAsia="仿宋_GB2312"/>
          <w:sz w:val="28"/>
          <w:szCs w:val="28"/>
          <w:highlight w:val="none"/>
          <w:lang w:val="en-US" w:eastAsia="zh-CN"/>
        </w:rPr>
        <w:t>）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lang w:val="en-US" w:eastAsia="zh-CN"/>
        </w:rPr>
        <w:t>。</w:t>
      </w:r>
    </w:p>
    <w:p w14:paraId="10679A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0"/>
          <w:szCs w:val="30"/>
          <w:lang w:val="en-US" w:eastAsia="zh-CN" w:bidi="ar-SA"/>
        </w:rPr>
        <w:t>3.</w:t>
      </w:r>
      <w:r>
        <w:rPr>
          <w:rFonts w:hint="eastAsia" w:ascii="仿宋_GB2312" w:hAnsi="仿宋_GB2312" w:eastAsia="仿宋_GB2312" w:cs="仿宋_GB2312"/>
          <w:sz w:val="30"/>
          <w:szCs w:val="30"/>
        </w:rPr>
        <w:t>乙方应在甲方付款前向甲方提供等额增值税发票。</w:t>
      </w:r>
    </w:p>
    <w:p w14:paraId="3A589851"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甲乙双方同意通过银行转账支付上述费用，乙方账户信息具体如下：</w:t>
      </w:r>
    </w:p>
    <w:p w14:paraId="26BE0155"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账户名称：</w:t>
      </w:r>
    </w:p>
    <w:p w14:paraId="37B2C995">
      <w:pPr>
        <w:keepNext w:val="0"/>
        <w:keepLines w:val="0"/>
        <w:pageBreakBefore w:val="0"/>
        <w:widowControl w:val="0"/>
        <w:numPr>
          <w:ilvl w:val="255"/>
          <w:numId w:val="0"/>
        </w:numPr>
        <w:tabs>
          <w:tab w:val="left" w:pos="18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地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0"/>
          <w:szCs w:val="30"/>
        </w:rPr>
        <w:t>址：</w:t>
      </w:r>
    </w:p>
    <w:p w14:paraId="7A06E23F"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开户银行：</w:t>
      </w:r>
    </w:p>
    <w:p w14:paraId="03BE9990"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银行账号：</w:t>
      </w:r>
    </w:p>
    <w:p w14:paraId="41F4674C">
      <w:pPr>
        <w:widowControl w:val="0"/>
        <w:numPr>
          <w:ilvl w:val="0"/>
          <w:numId w:val="1"/>
        </w:numPr>
        <w:spacing w:after="156" w:afterLines="50" w:line="360" w:lineRule="auto"/>
        <w:ind w:left="720" w:hanging="720" w:firstLineChars="0"/>
        <w:jc w:val="left"/>
        <w:outlineLvl w:val="1"/>
        <w:rPr>
          <w:rFonts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-SA"/>
        </w:rPr>
        <w:t>违约责任及纠纷解决</w:t>
      </w:r>
    </w:p>
    <w:p w14:paraId="48073C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0"/>
          <w:szCs w:val="30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  <w:t>甲乙双方由于不可抗力的原因，无法履行本合同约定义务，应在该事由发生后立即通知对方，双方根据乙方实际工作进程据实结算。</w:t>
      </w:r>
    </w:p>
    <w:p w14:paraId="4CD259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0"/>
          <w:szCs w:val="30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  <w:t>甲方未按约定支付款项，乙方有权暂停提供一切服务，且不视为违约。逾期超过30日，乙方有权单方解除本合同。</w:t>
      </w:r>
    </w:p>
    <w:p w14:paraId="570618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  <w:t>因本合同或本合同的履行发生争议的，甲乙双方应协商解决；协商不成的，任何一方均有权向乙方所在地人民法院提起诉讼。</w:t>
      </w:r>
    </w:p>
    <w:p w14:paraId="04DBB192">
      <w:pPr>
        <w:numPr>
          <w:ilvl w:val="0"/>
          <w:numId w:val="1"/>
        </w:numPr>
        <w:ind w:left="720" w:leftChars="0" w:hanging="720" w:firstLineChars="0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-SA"/>
        </w:rPr>
        <w:t>其他</w:t>
      </w:r>
    </w:p>
    <w:p w14:paraId="2290A2F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0" w:leftChars="200" w:firstLine="420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  <w:t>本合同自甲乙双方盖章之日起生效。</w:t>
      </w:r>
    </w:p>
    <w:p w14:paraId="3302583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425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Hans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  <w:t>合同一式肆份，以简体中文形式，甲乙双方各持贰份。如需修改或补充合同内容，经协商，双方应签署书面修改或补充协议，该协议将作为合同不可分割的一部分。本合同履行过程中，经甲乙双方签字确认的文件均为本合同的附件，与本合同具有同等法律效力。</w:t>
      </w:r>
    </w:p>
    <w:p w14:paraId="02A91823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425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Hans"/>
        </w:rPr>
      </w:pPr>
      <w:bookmarkStart w:id="4" w:name="_GoBack"/>
      <w:bookmarkEnd w:id="4"/>
      <w:r>
        <w:rPr>
          <w:rFonts w:hint="eastAsia" w:ascii="仿宋_GB2312" w:hAnsi="仿宋_GB2312" w:eastAsia="仿宋_GB2312" w:cs="仿宋_GB2312"/>
          <w:sz w:val="30"/>
          <w:szCs w:val="30"/>
        </w:rPr>
        <w:t>本协议未尽事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宜</w:t>
      </w:r>
      <w:r>
        <w:rPr>
          <w:rFonts w:hint="eastAsia" w:ascii="仿宋_GB2312" w:hAnsi="仿宋_GB2312" w:eastAsia="仿宋_GB2312" w:cs="仿宋_GB2312"/>
          <w:sz w:val="30"/>
          <w:szCs w:val="30"/>
        </w:rPr>
        <w:t>，由双方协商处理。</w:t>
      </w:r>
    </w:p>
    <w:p w14:paraId="3F8DECE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850" w:leftChars="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039173C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850" w:leftChars="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690613F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850" w:leftChars="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32EA301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850" w:leftChars="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520676BE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850"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Hans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  <w:lang w:eastAsia="zh-Hans"/>
        </w:rPr>
        <w:t>以下合同无正文，此页为签字页。）</w:t>
      </w:r>
    </w:p>
    <w:p w14:paraId="7B6D1A07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2F543D9F">
      <w:pPr>
        <w:tabs>
          <w:tab w:val="left" w:pos="54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甲方：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陕西省住房和城乡建设厅</w:t>
      </w:r>
      <w:r>
        <w:rPr>
          <w:rFonts w:hint="eastAsia" w:ascii="仿宋_GB2312" w:hAnsi="仿宋_GB2312" w:eastAsia="仿宋_GB2312" w:cs="仿宋_GB2312"/>
          <w:sz w:val="30"/>
          <w:szCs w:val="30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  <w:lang w:eastAsia="zh-Hans"/>
        </w:rPr>
        <w:t>签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章）                 </w:t>
      </w:r>
    </w:p>
    <w:p w14:paraId="4F943B38">
      <w:pPr>
        <w:adjustRightInd w:val="0"/>
        <w:snapToGrid w:val="0"/>
        <w:spacing w:line="360" w:lineRule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Hans"/>
        </w:rPr>
        <w:t>地址：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陕西省西安市新城区新城大院省政府大楼9层</w:t>
      </w:r>
    </w:p>
    <w:p w14:paraId="7830752D">
      <w:pPr>
        <w:adjustRightInd w:val="0"/>
        <w:snapToGrid w:val="0"/>
        <w:spacing w:line="360" w:lineRule="auto"/>
        <w:ind w:left="4080" w:hanging="5100" w:hangingChars="17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法定代表人或授权代表：        </w:t>
      </w:r>
    </w:p>
    <w:p w14:paraId="6D2E599E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（签字或签章）     </w:t>
      </w:r>
    </w:p>
    <w:p w14:paraId="7B2A8443">
      <w:pPr>
        <w:adjustRightInd w:val="0"/>
        <w:snapToGrid w:val="0"/>
        <w:spacing w:line="360" w:lineRule="auto"/>
        <w:ind w:firstLine="900" w:firstLineChars="3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年    月    日</w:t>
      </w:r>
    </w:p>
    <w:p w14:paraId="4E0CFAAF">
      <w:pPr>
        <w:tabs>
          <w:tab w:val="left" w:pos="54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0082C3A9">
      <w:pPr>
        <w:tabs>
          <w:tab w:val="left" w:pos="54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乙方：</w:t>
      </w:r>
    </w:p>
    <w:p w14:paraId="391A2243">
      <w:pPr>
        <w:tabs>
          <w:tab w:val="left" w:pos="54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Hans"/>
        </w:rPr>
        <w:t>地址：</w:t>
      </w:r>
    </w:p>
    <w:p w14:paraId="375206EC">
      <w:pPr>
        <w:tabs>
          <w:tab w:val="left" w:pos="54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法定代表人或授权代表：</w:t>
      </w:r>
    </w:p>
    <w:p w14:paraId="61B369F3">
      <w:pPr>
        <w:tabs>
          <w:tab w:val="left" w:pos="54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（签字或签章）  </w:t>
      </w:r>
    </w:p>
    <w:p w14:paraId="7E922762">
      <w:pPr>
        <w:tabs>
          <w:tab w:val="left" w:pos="540"/>
        </w:tabs>
        <w:adjustRightInd w:val="0"/>
        <w:snapToGrid w:val="0"/>
        <w:spacing w:line="360" w:lineRule="auto"/>
        <w:ind w:firstLine="900" w:firstLineChars="3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年    月   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日</w:t>
      </w:r>
    </w:p>
    <w:p w14:paraId="63924988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244F6DC8">
      <w:pPr>
        <w:bidi w:val="0"/>
        <w:rPr>
          <w:rFonts w:hint="eastAsia"/>
          <w:lang w:val="en-US" w:eastAsia="zh-CN"/>
        </w:rPr>
      </w:pPr>
    </w:p>
    <w:p w14:paraId="6DDB3584">
      <w:pPr>
        <w:bidi w:val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7465D1"/>
    <w:multiLevelType w:val="multilevel"/>
    <w:tmpl w:val="017465D1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1E69018"/>
    <w:multiLevelType w:val="singleLevel"/>
    <w:tmpl w:val="61E690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61E690BE"/>
    <w:multiLevelType w:val="singleLevel"/>
    <w:tmpl w:val="61E690B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zNWUyMDJhYTFiYTE5MmQ0OGMwN2I1OWUxZjRkZDkifQ=="/>
  </w:docVars>
  <w:rsids>
    <w:rsidRoot w:val="3D572BB5"/>
    <w:rsid w:val="02C866AB"/>
    <w:rsid w:val="0BEC3A6A"/>
    <w:rsid w:val="0D526B40"/>
    <w:rsid w:val="0FA07E42"/>
    <w:rsid w:val="117526ED"/>
    <w:rsid w:val="17390D9C"/>
    <w:rsid w:val="17746A37"/>
    <w:rsid w:val="17BA4B3F"/>
    <w:rsid w:val="187F3AA9"/>
    <w:rsid w:val="194470EE"/>
    <w:rsid w:val="1E641EA2"/>
    <w:rsid w:val="20914A24"/>
    <w:rsid w:val="22611BF8"/>
    <w:rsid w:val="23CD2C48"/>
    <w:rsid w:val="271C338F"/>
    <w:rsid w:val="29C80EF9"/>
    <w:rsid w:val="2CEF59ED"/>
    <w:rsid w:val="2E975000"/>
    <w:rsid w:val="30D36097"/>
    <w:rsid w:val="32632967"/>
    <w:rsid w:val="34F065D4"/>
    <w:rsid w:val="36CE6F48"/>
    <w:rsid w:val="36D715E9"/>
    <w:rsid w:val="377E6494"/>
    <w:rsid w:val="3A1735EA"/>
    <w:rsid w:val="3A9C33F0"/>
    <w:rsid w:val="3D4E71D1"/>
    <w:rsid w:val="3D572BB5"/>
    <w:rsid w:val="46B91344"/>
    <w:rsid w:val="475E664C"/>
    <w:rsid w:val="48346BC0"/>
    <w:rsid w:val="4B41491F"/>
    <w:rsid w:val="4D184C57"/>
    <w:rsid w:val="515243C0"/>
    <w:rsid w:val="516D2014"/>
    <w:rsid w:val="530C52DB"/>
    <w:rsid w:val="5AA445BC"/>
    <w:rsid w:val="5BE074F8"/>
    <w:rsid w:val="5F8B298A"/>
    <w:rsid w:val="5F8E527E"/>
    <w:rsid w:val="5FD74BA5"/>
    <w:rsid w:val="5FDC07E9"/>
    <w:rsid w:val="610D3747"/>
    <w:rsid w:val="692534D8"/>
    <w:rsid w:val="69C57814"/>
    <w:rsid w:val="6A43141B"/>
    <w:rsid w:val="6CAE6394"/>
    <w:rsid w:val="6CC558DD"/>
    <w:rsid w:val="709B4DAC"/>
    <w:rsid w:val="721555DD"/>
    <w:rsid w:val="74614653"/>
    <w:rsid w:val="76B53CA7"/>
    <w:rsid w:val="770858F6"/>
    <w:rsid w:val="7C47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0"/>
      </w:tabs>
    </w:pPr>
    <w:rPr>
      <w:rFonts w:ascii="宋体" w:hAnsi="宋体" w:eastAsia="仿宋_GB2312" w:cs="Times New Roman"/>
      <w:color w:val="000000"/>
      <w:sz w:val="24"/>
    </w:rPr>
  </w:style>
  <w:style w:type="paragraph" w:styleId="3">
    <w:name w:val="toc 2"/>
    <w:basedOn w:val="1"/>
    <w:next w:val="1"/>
    <w:unhideWhenUsed/>
    <w:qFormat/>
    <w:uiPriority w:val="39"/>
    <w:pPr>
      <w:ind w:left="420" w:left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WPSOffice手动目录 1"/>
    <w:qFormat/>
    <w:uiPriority w:val="0"/>
    <w:pPr>
      <w:ind w:leftChars="0"/>
      <w:jc w:val="both"/>
    </w:pPr>
    <w:rPr>
      <w:rFonts w:ascii="Arial" w:hAnsi="Arial" w:eastAsia="仿宋_GB2312" w:cstheme="minorBidi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R001</errorID>
      <errorWord>负责按时布置、</errorWord>
      <group>1</group>
      <groupName>高风险</groupName>
      <ability/>
      <abilityName/>
      <candidateList>
        <item>有义务按时布置并</item>
      </candidateList>
      <explain>原条款使用‘负责’一词语义模糊，易被解释为职权性安排而非合同义务，若甲方怠于履行，乙方难以主张违约责任。根据《民法典》第五百零九条，当事人应全面履行合同义务。修订后明确为‘有义务’，强化甲方履约责任，保障乙方顺利开展服务。</explain>
      <paraID>665088A4</paraID>
      <start>4</start>
      <end>12</end>
      <status>modified</status>
      <modifiedWord>有义务按时布置并</modifiedWord>
      <trackRevisions>false</trackRevisions>
    </reviewItem>
    <reviewItem>
      <errorID>R002</errorID>
      <errorWord>收到乙方提交的报告应当确认内容，3</errorWord>
      <group>1</group>
      <groupName>高风险</groupName>
      <ability/>
      <abilityName/>
      <candidateList>
        <item>乙方通过电子邮件或书面签收方式收到乙方提交的报告之日起5</item>
      </candidateList>
      <explain>原条款未界定‘收到’的具体认定方式（如签收、邮件送达等），且3个工作日异议期过短，不利于乙方成果被充分审阅，易引发争议。依据《民法典》第一百三十七条关于意思表示到达的规定，应明确送达标准；适当延长至5个工作日符合行业惯例，保障乙方权益。</explain>
      <paraID>581A12E6</paraID>
      <start>5</start>
      <end>33</end>
      <status>modified</status>
      <modifiedWord>乙方通过电子邮件或书面签收方式收到乙方提交的报告之日起5</modifiedWord>
      <trackRevisions>false</trackRevisions>
    </reviewItem>
    <reviewItem>
      <errorID>R003</errorID>
      <errorWord>2026年度内所有服务工作</errorWord>
      <group>1</group>
      <groupName>高风险</groupName>
      <ability/>
      <abilityName/>
      <candidateList>
        <item>全部合同约定服务内容</item>
      </candidateList>
      <explain>服务期限为2026年3月23日至2027年2月23日，但尾款支付条件限定为‘完成2026年度内所有服务工作’，可能导致乙方在2027年初完成的服务无法获得对价，违反《民法典》第六条公平原则及第五百零九条全面履行义务的要求。应将付款节点与全部合同义务挂钩，避免履约与收款脱节。</explain>
      <paraID>74312C00</paraID>
      <start>78</start>
      <end>91</end>
      <status>unmodified</status>
      <modifiedWord/>
      <trackRevisions>false</trackRevisions>
    </reviewItem>
    <reviewItem>
      <errorID>R004</errorID>
      <errorWord>直</errorWord>
      <group>3</group>
      <groupName>低风险</groupName>
      <ability/>
      <abilityName/>
      <candidateList>
        <item>宜</item>
      </candidateList>
      <explain>‘未尽事直’系明显笔误，应为‘未尽事宜’。虽属文字瑕疵，但影响合同文本的规范性和法律效力，依据《民法典》第一百四十二条关于意思表示解释的原则，应确保条款表述准确无歧义。</explain>
      <paraID>1A18EDC5</paraID>
      <start>6</start>
      <end>7</end>
      <status>modified</status>
      <modifiedWord>宜</modifiedWord>
      <trackRevisions>false</trackRevisions>
    </reviewItem>
  </reviewItems>
  <config>{"title":"预算绩效全过程管理咨询服务委托协议书-陕西省知识产权局","task_id":"019cf9eb46007c048f238f30af25ac7b","is_pay":true,"preview_result_num":0,"hide_result_num":0,"transaction_result":"**基本结论**：合同整体可接受，但需注意合同主体资质审查及服务内容明确性问题。\n\n**合同类型**：委托服务合同，属于《民法典》规定的典型合同类型，合法有效，无法律风险。\n\n**合同主体**：委托方（陕西省知识产权局）为行政机关，具备合同主体资格；服务方（西安瑞智诚达财务咨询有限公司）需审查其是否具备开展预算绩效全过程管理服务的相应资质（如财政部门备案、专业咨询资质等），若存在资质瑕疵可能影响合同履行，但合同主体本身无法律上的无效情形。\n\n**合同标的**：预算绩效全过程管理服务属于合法服务范畴，具有可履行性，无法律禁止交易的情形。\n\n**合同程序**：无特殊法定审批、登记或备案程序要求（行政机关内部委托服务通常无需外部审批，但需确保服务内容符合财政预算管理相关规定）。\n\n**交易合理性**：交易结构为典型的委托服务关系，甲方支付费用、乙方提供专业服务，符合市场交易逻辑，对我方（乙方）而言不存在明显不合理或高风险安排。\n\n**综合说明**：本合同在合同类型、标的及程序方面均无违法或无效风险。但从乙方（服务方）角度，需重点核实委托方（陕西省知识产权局）的委托权限及预算来源合法性，同时需明确自身服务资质及服务内容范围，避免因资质不足或服务内容不明确导致合同履行争议。若服务方具备相应专业资质且服务内容符合财政预算管理规定，则合同整体具有法律效力且可正常履行。","open_position":"writer_PrivilegeTab_RB_WPSAI_app_kaicontractreview_workspace_wps","result_overview":[{"group":"3","group_name":"低风险","count":1},{"group":"1","group_name":"高风险","count":3}]}</config>
</contractReview>
</file>

<file path=customXml/itemProps1.xml><?xml version="1.0" encoding="utf-8"?>
<ds:datastoreItem xmlns:ds="http://schemas.openxmlformats.org/officeDocument/2006/customXml" ds:itemID="{050ca0ba-6baf-4eff-9622-29225b6728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3077</Words>
  <Characters>3168</Characters>
  <Lines>0</Lines>
  <Paragraphs>0</Paragraphs>
  <TotalTime>11</TotalTime>
  <ScaleCrop>false</ScaleCrop>
  <LinksUpToDate>false</LinksUpToDate>
  <CharactersWithSpaces>3393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2024-05-31T02:08:00Z</dcterms:created>
  <dc:creator>思思哒</dc:creator>
  <cp:lastModifiedBy>那就这样吧</cp:lastModifiedBy>
  <dcterms:modified xsi:type="dcterms:W3CDTF">2026-06-03T01:50:37Z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10599A250079488B8CF9684C46693FFA_13</vt:lpwstr>
  </property>
  <property fmtid="{D5CDD505-2E9C-101B-9397-08002B2CF9AE}" pid="4" name="KSOTemplateDocerSaveRecord">
    <vt:lpwstr>eyJoZGlkIjoiNzM3ZTFhZWQxMThkOTVlMmI2YWFlMWQyOWI1Y2ZhOTciLCJ1c2VySWQiOiIyNzIwNjQ2ODcifQ==</vt:lpwstr>
  </property>
</Properties>
</file>