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版本号：XHZB2026-CS-036-00120260603001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陕西省住房和城乡建设厅2026年重点绩效评价和专项资金执行情况评估项目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XHZB2026-CS-036-001</w:t>
      </w:r>
      <w:r>
        <w:br/>
      </w:r>
      <w:r>
        <w:br/>
      </w:r>
      <w:r>
        <w:br/>
      </w:r>
    </w:p>
    <w:p>
      <w:pPr>
        <w:pStyle w:val="null3"/>
        <w:jc w:val="center"/>
        <w:outlineLvl w:val="2"/>
      </w:pPr>
      <w:r>
        <w:rPr>
          <w:rFonts w:ascii="仿宋_GB2312" w:hAnsi="仿宋_GB2312" w:cs="仿宋_GB2312" w:eastAsia="仿宋_GB2312"/>
          <w:sz w:val="28"/>
          <w:b/>
        </w:rPr>
        <w:t>陕西省住房和城乡建设厅机关</w:t>
      </w:r>
    </w:p>
    <w:p>
      <w:pPr>
        <w:pStyle w:val="null3"/>
        <w:jc w:val="center"/>
        <w:outlineLvl w:val="2"/>
      </w:pPr>
      <w:r>
        <w:rPr>
          <w:rFonts w:ascii="仿宋_GB2312" w:hAnsi="仿宋_GB2312" w:cs="仿宋_GB2312" w:eastAsia="仿宋_GB2312"/>
          <w:sz w:val="28"/>
          <w:b/>
        </w:rPr>
        <w:t>陕西星火工程管理有限公司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陕西星火工程管理有限公司</w:t>
      </w:r>
      <w:r>
        <w:rPr>
          <w:rFonts w:ascii="仿宋_GB2312" w:hAnsi="仿宋_GB2312" w:cs="仿宋_GB2312" w:eastAsia="仿宋_GB2312"/>
        </w:rPr>
        <w:t>（以下简称“代理机构”）受</w:t>
      </w:r>
      <w:r>
        <w:rPr>
          <w:rFonts w:ascii="仿宋_GB2312" w:hAnsi="仿宋_GB2312" w:cs="仿宋_GB2312" w:eastAsia="仿宋_GB2312"/>
        </w:rPr>
        <w:t>陕西省住房和城乡建设厅机关</w:t>
      </w:r>
      <w:r>
        <w:rPr>
          <w:rFonts w:ascii="仿宋_GB2312" w:hAnsi="仿宋_GB2312" w:cs="仿宋_GB2312" w:eastAsia="仿宋_GB2312"/>
        </w:rPr>
        <w:t>委托，拟对</w:t>
      </w:r>
      <w:r>
        <w:rPr>
          <w:rFonts w:ascii="仿宋_GB2312" w:hAnsi="仿宋_GB2312" w:cs="仿宋_GB2312" w:eastAsia="仿宋_GB2312"/>
        </w:rPr>
        <w:t>陕西省住房和城乡建设厅2026年重点绩效评价和专项资金执行情况评估项目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XHZB2026-CS-036-001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陕西省住房和城乡建设厅2026年重点绩效评价和专项资金执行情况评估项目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陕西省住房和城乡建设厅2026年重点绩效评价和专项资⾦执⾏情况评估项⽬⼯作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采购包1（陕西省住房和城乡建设厅2026年重点绩效评价和专项资金执行情况评估项目）：属于专门面向中小企业采购。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1、身份证明：法定代表人直接参加磋商的须出具法定代表人身份证（须与营业执照上信息一致），法定代表人授权代表参加磋商的须出具法定代表人授权书</w:t>
      </w:r>
    </w:p>
    <w:p>
      <w:pPr>
        <w:pStyle w:val="null3"/>
      </w:pPr>
      <w:r>
        <w:rPr>
          <w:rFonts w:ascii="仿宋_GB2312" w:hAnsi="仿宋_GB2312" w:cs="仿宋_GB2312" w:eastAsia="仿宋_GB2312"/>
        </w:rPr>
        <w:t>2、信用查询：供应商在递交响应文件截止时间前被信用中国网站（www.creditchina.gov.cn）和中国政府采购网（www.ccgp.gov.cn）上被列入失信被执行人、重大税收违法案件当事人名单、政府采购严重违法失信行为记录名单的，不得参加磋商</w:t>
      </w:r>
    </w:p>
    <w:p>
      <w:pPr>
        <w:pStyle w:val="null3"/>
      </w:pPr>
      <w:r>
        <w:rPr>
          <w:rFonts w:ascii="仿宋_GB2312" w:hAnsi="仿宋_GB2312" w:cs="仿宋_GB2312" w:eastAsia="仿宋_GB2312"/>
        </w:rPr>
        <w:t>3、供应商不得存在下列情形之一：供应商不得存在下列情形之一：（1）单位负责人为同一人或者存在直接控股、管理关系的不同供应商，不得参加本次采购活动；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陕西省住房和城乡建设厅机关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029-63915741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陕西星火工程管理有限公司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西安市高新区高新路88号尚品国际C幢北12804室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安孜、刘秀玲、宋培嘉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029-88852300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代理服务费收费标准：本项目采购代理服务收费标准参照国家发改委发改价格[2011]534号文件及国家计委计价格[2002]1980号文件规定计取，以成交金额为计算基数，按差额定率累进法计算。本项目代理服务费由 成交单位 承担，按标准收取，不足8000元的，按8000元收取，采购代理工作结束后一次性付清。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陕西省住房和城乡建设厅机关</w:t>
      </w:r>
      <w:r>
        <w:rPr>
          <w:rFonts w:ascii="仿宋_GB2312" w:hAnsi="仿宋_GB2312" w:cs="仿宋_GB2312" w:eastAsia="仿宋_GB2312"/>
        </w:rPr>
        <w:t>和</w:t>
      </w:r>
      <w:r>
        <w:rPr>
          <w:rFonts w:ascii="仿宋_GB2312" w:hAnsi="仿宋_GB2312" w:cs="仿宋_GB2312" w:eastAsia="仿宋_GB2312"/>
        </w:rPr>
        <w:t>陕西星火工程管理有限公司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陕西省住房和城乡建设厅机关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陕西星火工程管理有限公司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陕西省住房和城乡建设厅机关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陕西星火工程管理有限公司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联系人：安孜、刘秀玲、宋培嘉</w:t>
      </w:r>
    </w:p>
    <w:p>
      <w:pPr>
        <w:pStyle w:val="null3"/>
      </w:pPr>
      <w:r>
        <w:rPr>
          <w:rFonts w:ascii="仿宋_GB2312" w:hAnsi="仿宋_GB2312" w:cs="仿宋_GB2312" w:eastAsia="仿宋_GB2312"/>
        </w:rPr>
        <w:t>联系电话：029-88852300</w:t>
      </w:r>
    </w:p>
    <w:p>
      <w:pPr>
        <w:pStyle w:val="null3"/>
      </w:pPr>
      <w:r>
        <w:rPr>
          <w:rFonts w:ascii="仿宋_GB2312" w:hAnsi="仿宋_GB2312" w:cs="仿宋_GB2312" w:eastAsia="仿宋_GB2312"/>
        </w:rPr>
        <w:t>地址：西安市高新区高新路88号尚品国际C幢北12804室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陕西省住房和城乡建设厅2026年重点绩效评价和专项资金执行情况评估项目工作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陕西省住房和城乡建设厅2026年重点绩效评价和专项资金执行情况评估项目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标的名称：陕西省住房和城乡建设厅2026年重点绩效评价和专项资金执行情况评估项目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按照《陕西省财政厅关于开展</w:t>
            </w:r>
            <w:r>
              <w:rPr>
                <w:rFonts w:ascii="仿宋_GB2312" w:hAnsi="仿宋_GB2312" w:cs="仿宋_GB2312" w:eastAsia="仿宋_GB2312"/>
                <w:sz w:val="21"/>
              </w:rPr>
              <w:t>2026年度省级部门重点绩效评价工作的通知》（陕财办绩〔2026〕4号）要求，结合我厅城镇化发展专项资金管理工作实际，村镇建设处拟会同城建处同步开展两项工作，一是开展2026年度城镇化发展专项资金（县城建设及建制镇基础设施建设）重点绩效评价工作，二是开展2025年度县城建设及建制镇镇区基础设施建设专项资金执行情况评估。因绩效评价等工作涉及财务、审计等多个领域，专业技术性强，为严格落实重点绩效评价等工作相关要求，确保评价评估工作规范、科学、合理</w:t>
            </w:r>
            <w:r>
              <w:rPr>
                <w:rFonts w:ascii="仿宋_GB2312" w:hAnsi="仿宋_GB2312" w:cs="仿宋_GB2312" w:eastAsia="仿宋_GB2312"/>
                <w:sz w:val="21"/>
              </w:rPr>
              <w:t>，拟</w:t>
            </w:r>
            <w:r>
              <w:rPr>
                <w:rFonts w:ascii="仿宋_GB2312" w:hAnsi="仿宋_GB2312" w:cs="仿宋_GB2312" w:eastAsia="仿宋_GB2312"/>
                <w:sz w:val="21"/>
              </w:rPr>
              <w:t>采购</w:t>
            </w:r>
            <w:r>
              <w:rPr>
                <w:rFonts w:ascii="仿宋_GB2312" w:hAnsi="仿宋_GB2312" w:cs="仿宋_GB2312" w:eastAsia="仿宋_GB2312"/>
                <w:sz w:val="21"/>
              </w:rPr>
              <w:t>2026年重点绩效评价和专项资金执行情况评估服务</w:t>
            </w:r>
            <w:r>
              <w:rPr>
                <w:rFonts w:ascii="仿宋_GB2312" w:hAnsi="仿宋_GB2312" w:cs="仿宋_GB2312" w:eastAsia="仿宋_GB2312"/>
                <w:sz w:val="21"/>
              </w:rPr>
              <w:t>。</w:t>
            </w:r>
          </w:p>
          <w:p>
            <w:pPr>
              <w:pStyle w:val="null3"/>
            </w:pPr>
            <w:r>
              <w:rPr>
                <w:rFonts w:ascii="仿宋_GB2312" w:hAnsi="仿宋_GB2312" w:cs="仿宋_GB2312" w:eastAsia="仿宋_GB2312"/>
                <w:sz w:val="21"/>
              </w:rPr>
              <w:t>供应商需完成陕西省住房和城乡建设厅</w:t>
            </w:r>
            <w:r>
              <w:rPr>
                <w:rFonts w:ascii="仿宋_GB2312" w:hAnsi="仿宋_GB2312" w:cs="仿宋_GB2312" w:eastAsia="仿宋_GB2312"/>
                <w:sz w:val="21"/>
              </w:rPr>
              <w:t>2026年重点绩效评价和专项资金执行情况评估项目工作。工作总体要求如下：</w:t>
            </w:r>
          </w:p>
          <w:p>
            <w:pPr>
              <w:pStyle w:val="null3"/>
            </w:pPr>
            <w:r>
              <w:rPr>
                <w:rFonts w:ascii="仿宋_GB2312" w:hAnsi="仿宋_GB2312" w:cs="仿宋_GB2312" w:eastAsia="仿宋_GB2312"/>
                <w:sz w:val="21"/>
              </w:rPr>
              <w:t>（一）需符合《中华人民共和国预算法》及《中华人民共和国预算法实施条例》等相关法律法规要求；</w:t>
            </w:r>
          </w:p>
          <w:p>
            <w:pPr>
              <w:pStyle w:val="null3"/>
            </w:pPr>
            <w:r>
              <w:rPr>
                <w:rFonts w:ascii="仿宋_GB2312" w:hAnsi="仿宋_GB2312" w:cs="仿宋_GB2312" w:eastAsia="仿宋_GB2312"/>
                <w:sz w:val="21"/>
              </w:rPr>
              <w:t>（二）需要符合《中共中央</w:t>
            </w:r>
            <w:r>
              <w:rPr>
                <w:rFonts w:ascii="仿宋_GB2312" w:hAnsi="仿宋_GB2312" w:cs="仿宋_GB2312" w:eastAsia="仿宋_GB2312"/>
                <w:sz w:val="21"/>
              </w:rPr>
              <w:t>国务院关于全面实施预算绩效管理的意见》（中发〔</w:t>
            </w:r>
            <w:r>
              <w:rPr>
                <w:rFonts w:ascii="仿宋_GB2312" w:hAnsi="仿宋_GB2312" w:cs="仿宋_GB2312" w:eastAsia="仿宋_GB2312"/>
                <w:sz w:val="21"/>
              </w:rPr>
              <w:t>2018〕34号）、《中共陕西省委、陕西省人民政府关于全面实施预算绩效管理的实施意见》（陕发〔2019〕3号）、《陕西省财政厅关于印发〈陕西省财政项目支出绩效评价管理办法〉的通知》（陕财办绩〔2020〕9号）等文件精神；</w:t>
            </w:r>
          </w:p>
          <w:p>
            <w:pPr>
              <w:pStyle w:val="null3"/>
            </w:pPr>
            <w:r>
              <w:rPr>
                <w:rFonts w:ascii="仿宋_GB2312" w:hAnsi="仿宋_GB2312" w:cs="仿宋_GB2312" w:eastAsia="仿宋_GB2312"/>
                <w:sz w:val="21"/>
              </w:rPr>
              <w:t>（三）需要符合《陕西省财政厅关于印发〈陕西省财政项目支出绩效评价管理办法〉的通知》（陕财办绩〔</w:t>
            </w:r>
            <w:r>
              <w:rPr>
                <w:rFonts w:ascii="仿宋_GB2312" w:hAnsi="仿宋_GB2312" w:cs="仿宋_GB2312" w:eastAsia="仿宋_GB2312"/>
                <w:sz w:val="21"/>
              </w:rPr>
              <w:t>2020〕9号）等陕西省财政厅最新有关绩效评价工作的各项工作要求。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服务方根据单位自身及项目实际情况自主配置。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服务方根据单位自身及项目实际情况自主配置。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重点绩效评价项目2026年6月30日前完成，专项资金执行情况评估项目2026年12月31日前完成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进度款，乙方服务团队入场开展服务工作后，达到付款条件起14个工作日内，支付合同总金额的60.0%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进度款，完成所有服务工作，并经甲方最终验收合格后，达到付款条件起14个工作日内，支付合同总金额的40.0%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参与的供应商（联合体）服务全部由符合政策要求的中小企业承接。本项目所属行业为其他未列明行业。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法定代表人直接参加磋商的须出具法定代表人身份证（须与营业执照上信息一致），法定代表人授权代表参加磋商的须出具法定代表人授权书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案件当事人名单、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按竞争性磋商文件格式要求加盖了供应商公章和有法定代表人或其授权代表签字或加盖人名章。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磋商响应报价表.docx 响应承诺书.docx 供应商应提交的相关资格证明材料.docx 中小企业声明函.docx 残疾人福利性单位声明函 偏离表.docx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供应商报价是固定金额，符合市场价格规律，未低于成本恶意竞争。且未超过预算金额（磋商文件有最高限价的，报价未超过最高限价）；</w:t>
            </w:r>
          </w:p>
        </w:tc>
        <w:tc>
          <w:tcPr>
            <w:tcW w:type="dxa" w:w="1661"/>
          </w:tcPr>
          <w:p>
            <w:pPr>
              <w:pStyle w:val="null3"/>
            </w:pPr>
            <w:r>
              <w:rPr>
                <w:rFonts w:ascii="仿宋_GB2312" w:hAnsi="仿宋_GB2312" w:cs="仿宋_GB2312" w:eastAsia="仿宋_GB2312"/>
              </w:rPr>
              <w:t>磋商响应报价表.docx 响应文件封面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磋商响应报价表.docx 响应文件封面 响应承诺书.docx 偏离表.docx 标的清单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磋商响应报价表.docx 响应承诺书.docx 供应商应提交的相关资格证明材料.docx 中小企业声明函.docx 残疾人福利性单位声明函 偏离表.docx 标的清单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 其中响应文件有效期：有效期满足磋商文件要求； 响应文件格式：响应文件按规定的格式填写，内容完整且关键字迹清晰； 备选方案：供应商不得提交两份或者多份内容不同的响应文件，或者在同一份响应文件中对同一磋商项目有两个或者多个报价； 响应文件内容：供应商提供的服务无实质性遗漏； 技术响应：符合“采购需求”要求，保证服务质量且无重大偏差； 服务期和服务地点：满足磋商文件要求； 付款方式：磋商文件不允许偏差时，响应文件无负偏差；</w:t>
            </w:r>
          </w:p>
        </w:tc>
        <w:tc>
          <w:tcPr>
            <w:tcW w:type="dxa" w:w="1661"/>
          </w:tcPr>
          <w:p>
            <w:pPr>
              <w:pStyle w:val="null3"/>
            </w:pPr>
            <w:r>
              <w:rPr>
                <w:rFonts w:ascii="仿宋_GB2312" w:hAnsi="仿宋_GB2312" w:cs="仿宋_GB2312" w:eastAsia="仿宋_GB2312"/>
              </w:rPr>
              <w:t>响应文件封面 磋商响应报价表.docx 响应承诺书.docx 供应商应提交的相关资格证明材料.docx 中小企业声明函.docx 残疾人福利性单位声明函 偏离表.docx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一、评审内容 供应商对项目的理解和认识，内容包括：①对项目相关政策的理解②项目基本情况分析。 二、评审标准 1.完整性：切合本项目实际情况，方案内容全面，且有详细描述； 2.合理性：方案分析符合项目实际特点，合理、恰当； 三、赋分标准（满分5分） ①对项目相关政策的理解：每完全满足一个评审标准得1.5分，满分3分； ②项目基本情况分析：每完全满足一个评审标准得1分，满分2分；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一、评审内容 供应商针对本项目的总体工作方案，内容包括：①总体工作方案②具体工作目标及内容。 二、评审标准 1.完整性：切合本项目实际情况，方案内容全面，且有详细描述； 2.合理性：方案分析符合项目实际特点，合理、恰当； 三、赋分标准（满分5分） ①总体工作方案：每完全满足一个评审标准得1.5分，满分3分； ②具体工作目标及内容：每完全满足一个评审标准得1分，满分2分；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供应商针对本项目的进度安排，内容包括：①各阶段时间节点②进度保障措施。 二、评审标准 1.完整性：切合本项目实际情况，方案内容全面，且有详细描述； 2.合理性：方案分析符合项目实际特点，合理、恰当； 三、赋分标准（满分5分） ①各阶段时间节点：每完全满足一个评审标准得1.5分，满分3分； ②进度保障措施：每完全满足一个评审标准得1分，满分2分；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供应商针对本项目的质量保障措施，内容包括：①质量控制体系②质量控制措施。 二、评审标准 1.完整性：切合本项目实际情况，方案内容全面，且有详细描述； 2.合理性：方案分析符合项目实际特点，合理、恰当； 三、赋分标准（满分5分） ①质量控制体系：每完全满足一个评审标准得1.5分，满分3分； ②质量控制措施：每完全满足一个评审标准得1分，满分2分；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实施保障措施</w:t>
            </w:r>
          </w:p>
        </w:tc>
        <w:tc>
          <w:tcPr>
            <w:tcW w:type="dxa" w:w="2492"/>
          </w:tcPr>
          <w:p>
            <w:pPr>
              <w:pStyle w:val="null3"/>
            </w:pPr>
            <w:r>
              <w:rPr>
                <w:rFonts w:ascii="仿宋_GB2312" w:hAnsi="仿宋_GB2312" w:cs="仿宋_GB2312" w:eastAsia="仿宋_GB2312"/>
              </w:rPr>
              <w:t>一、评审内容 供应商针对本项目的实施保障措施，内容包括：①成果报告质量保障措施②时效保障措施。 二、评审标准 1.完整性：切合本项目实际情况，方案内容全面，且有详细描述； 2.合理性：方案分析符合项目实际特点，合理、恰当； 三、赋分标准（满分5分） ①成果报告质量保障措施：每完全满足一个评审标准得1.5分，满分3分； ②时效保障措施：每完全满足一个评审标准得1分，满分2分；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供应商针对本项目的应急预案，内容包括：①数据丢失时的紧急处理措施②人员变动时的紧急处理措施。 二、评审标准 1.完整性：切合本项目实际情况，方案内容全面，且有详细描述； 2.合理性：方案分析符合项目实际特点，合理、恰当； 三、赋分标准（满分5分） ①数据丢失时的紧急处理措施：每完全满足一个评审标准得1.5分，满分3分； ②人员变动时的紧急处理措施：每完全满足一个评审标准得1分，满分2分；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重难点分析及应对措施</w:t>
            </w:r>
          </w:p>
        </w:tc>
        <w:tc>
          <w:tcPr>
            <w:tcW w:type="dxa" w:w="2492"/>
          </w:tcPr>
          <w:p>
            <w:pPr>
              <w:pStyle w:val="null3"/>
            </w:pPr>
            <w:r>
              <w:rPr>
                <w:rFonts w:ascii="仿宋_GB2312" w:hAnsi="仿宋_GB2312" w:cs="仿宋_GB2312" w:eastAsia="仿宋_GB2312"/>
              </w:rPr>
              <w:t>一、评审内容 供应商针对本项目的重难点分析及应对措施，内容包括：①重点难点分析②具体应对措施。 二、评审标准 1.完整性：切合本项目实际情况，方案内容全面，且有详细描述； 2.合理性：方案分析符合项目实际特点，合理、恰当； 三、赋分标准（满分5分） ①重点难点分析：每完全满足一个评审标准得1.5分，满分3分； ②具体应对措施：每完全满足一个评审标准得1分，满分2分；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供应商针对本项目的服务承诺，内容包括：①质量保障承诺②进度保障承诺。 二、评审标准 1.完整性：切合本项目实际情况，方案内容全面，且有详细描述； 2.合理性：方案分析符合项目实际特点，合理、恰当； 三、赋分标准（满分5分） ①质量保障承诺：每完全满足一个评审标准得1.5分，满分3分； ②进度保障承诺：每完全满足一个评审标准得1分，满分2分；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数据安全与保密方案</w:t>
            </w:r>
          </w:p>
        </w:tc>
        <w:tc>
          <w:tcPr>
            <w:tcW w:type="dxa" w:w="2492"/>
          </w:tcPr>
          <w:p>
            <w:pPr>
              <w:pStyle w:val="null3"/>
            </w:pPr>
            <w:r>
              <w:rPr>
                <w:rFonts w:ascii="仿宋_GB2312" w:hAnsi="仿宋_GB2312" w:cs="仿宋_GB2312" w:eastAsia="仿宋_GB2312"/>
              </w:rPr>
              <w:t>一、评审内容 供应商针对本项目的数据安全与保密方案，内容包括：①确保项目数据安全存储、传输和使用的措施②保密制度。 二、评审标准 1.完整性：切合本项目实际情况，方案内容全面，且有详细描述； 2.合理性：方案分析符合项目实际特点，合理、恰当； 三、赋分标准（满分5分） ①确保项目数据安全存储、传输和使用的措施：每完全满足一个评审标准得1.5分，满分3分； ②保密制度：每完全满足一个评审标准得1分，满分2分；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档案资料管理方案</w:t>
            </w:r>
          </w:p>
        </w:tc>
        <w:tc>
          <w:tcPr>
            <w:tcW w:type="dxa" w:w="2492"/>
          </w:tcPr>
          <w:p>
            <w:pPr>
              <w:pStyle w:val="null3"/>
            </w:pPr>
            <w:r>
              <w:rPr>
                <w:rFonts w:ascii="仿宋_GB2312" w:hAnsi="仿宋_GB2312" w:cs="仿宋_GB2312" w:eastAsia="仿宋_GB2312"/>
              </w:rPr>
              <w:t>一、评审内容 供应商针对本项目的档案资料管理方案，内容包括：①实施过程档案管理②档案归档。 二、评审标准 1.完整性：切合本项目实际情况，方案内容全面，且有详细描述； 2.合理性：方案分析符合项目实际特点，合理、恰当； 三、赋分标准（满分5分） ①实施过程档案管理：每完全满足一个评审标准得1.5分，满分3分； ②档案归档：每完全满足一个评审标准得1分，满分2分；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 供应商针对本项目的人员配置方案，内容包括：①人员配置及岗位职责②人员从业经验。 二、评审标准 1.完整性：切合本项目实际情况，方案内容全面，且有详细描述； 2.合理性：方案分析符合项目实际特点，合理、恰当； 三、赋分标准（满分5分） ①人员配置及岗位职责：每完全满足一个评审标准得1.5分，满分3分； ②人员从业经验：每完全满足一个评审标准得1分，满分2分；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拟派项目负责人具有高级职称或注册会计师证书的，得2分；未提供不得分（需提供人员证书复印件）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项目组成员（项目负责人除外）具有相关专业中级及以上职称的，每提供1人得1分；本项最多得5分，未提供不得分（需提供人员证书复印件）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一、评审内容 供应商针对本项目的验收方案，内容包括：①项目成果交付②相关文档资料移交。 二、评审标准 1.完整性：切合本项目实际情况，方案内容全面，且有详细描述； 2.合理性：方案分析符合项目实际特点，合理、恰当； 三、赋分标准（满分5分） ①项目成果交付：每完全满足一个评审标准得1.5分，满分3分； ②相关文档资料移交：每完全满足一个评审标准得1分，满分2分；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供应商针对本项目的管理制度，内容包括：①人员管理制度②内部监督管理措施。 二、评审标准 1.完整性：切合本项目实际情况，方案内容全面，且有详细描述； 2.合理性：方案分析符合项目实际特点，合理、恰当； 三、赋分标准（满分5分） ①人员管理制度：每完全满足一个评审标准得1.5分，满分3分； ②内部监督管理措施：每完全满足一个评审标准得1分，满分2分；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供应商针对本项目的合理化建议，内容包括：①进度控制方面建议②质量控制方面建议。 二、评审标准 1.完整性：切合本项目实际情况，方案内容全面，且有详细描述； 2.合理性：方案分析符合项目实际特点，合理、恰当； 三、赋分标准（满分5分） ①进度控制方面建议：每完全满足一个评审标准得1.5分，满分3分； ②质量控制方面建议：每完全满足一个评审标准得1分，满分2分；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针对本项目实际情况，结合项目特点为采购人提供相应的增值服务内容，每提供一个得1.5分，满分3分。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供应商提供近三年（2023年6月1日至今）同类项目业绩，响应文件中附有其业绩证明材料，业绩以合同文件或中标（成交）通知书为依据，每提供一个计2.5分，满分10分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详见附件：响应承诺书.docx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