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版本号：YC26001007（CGO).1B120260519001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西门子数字化医用X射线系统维保服务项目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YC26001007（CGO).1B1</w:t>
      </w:r>
      <w:r>
        <w:br/>
      </w:r>
      <w:r>
        <w:br/>
      </w:r>
      <w:r>
        <w:br/>
      </w:r>
    </w:p>
    <w:p>
      <w:pPr>
        <w:pStyle w:val="null3"/>
        <w:jc w:val="center"/>
        <w:outlineLvl w:val="2"/>
      </w:pPr>
      <w:r>
        <w:rPr>
          <w:rFonts w:ascii="仿宋_GB2312" w:hAnsi="仿宋_GB2312" w:cs="仿宋_GB2312" w:eastAsia="仿宋_GB2312"/>
          <w:sz w:val="28"/>
          <w:b/>
        </w:rPr>
        <w:t>西安市红会医院</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西安市红会医院</w:t>
      </w:r>
      <w:r>
        <w:rPr>
          <w:rFonts w:ascii="仿宋_GB2312" w:hAnsi="仿宋_GB2312" w:cs="仿宋_GB2312" w:eastAsia="仿宋_GB2312"/>
        </w:rPr>
        <w:t>委托，拟对</w:t>
      </w:r>
      <w:r>
        <w:rPr>
          <w:rFonts w:ascii="仿宋_GB2312" w:hAnsi="仿宋_GB2312" w:cs="仿宋_GB2312" w:eastAsia="仿宋_GB2312"/>
        </w:rPr>
        <w:t>西门子数字化医用X射线系统维保服务项目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YC26001007（CGO).1B1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西门子数字化医用X射线系统维保服务项目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3台西门子Ysio Max数字化X射线摄影系统（DR）整机维保三年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采购包1（设备维修服务）：属于专门面向中小企业采购。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具有独立承担民事责任能力的法人或其他组织，提供合法有效的营业执照、税务登记证、组织机构代码证（三证合一的企业提供统一社会信用代码的营业执照）（原件的复印件加盖公章）。</w:t>
      </w:r>
    </w:p>
    <w:p>
      <w:pPr>
        <w:pStyle w:val="null3"/>
      </w:pPr>
      <w:r>
        <w:rPr>
          <w:rFonts w:ascii="仿宋_GB2312" w:hAnsi="仿宋_GB2312" w:cs="仿宋_GB2312" w:eastAsia="仿宋_GB2312"/>
        </w:rPr>
        <w:t>2、具有良好的商业信誉和健全的财务会计制度：提供具有财务审计资质单位出具的2024年度或2025年度完整的审计报告或提供供应商基本存款账户信息及开标日期前90日内其基本存款账户开户银行出具的资信证明。以上形式的证明资料提供任何一种即可。</w:t>
      </w:r>
    </w:p>
    <w:p>
      <w:pPr>
        <w:pStyle w:val="null3"/>
      </w:pPr>
      <w:r>
        <w:rPr>
          <w:rFonts w:ascii="仿宋_GB2312" w:hAnsi="仿宋_GB2312" w:cs="仿宋_GB2312" w:eastAsia="仿宋_GB2312"/>
        </w:rPr>
        <w:t>3、具有履行合同所必需的设备和专业技术能力：出具履行合同所必需的设备和专业技术能力的书面声明。</w:t>
      </w:r>
    </w:p>
    <w:p>
      <w:pPr>
        <w:pStyle w:val="null3"/>
      </w:pPr>
      <w:r>
        <w:rPr>
          <w:rFonts w:ascii="仿宋_GB2312" w:hAnsi="仿宋_GB2312" w:cs="仿宋_GB2312" w:eastAsia="仿宋_GB2312"/>
        </w:rPr>
        <w:t>4、有依法缴纳税收和社会保障资金的良好记录：1.供应商近六个月内（投标截止时间前）任意1个月纳税证明材料：根据税务部门出具的完税凭证或纳税的银行转账汇款单、对账单等判定，如依法免税或不需要纳税的，提供相应证明材料。 2.供应商近六个月内（投标截止时间前）任意1个月缴纳社会保障金证明材料：根据银行转账汇款单或社保（税务）部门出具的缴纳社会保障金的凭证判定，证明材料应当显示险种和缴纳所属时期；不需要缴纳社会保障金的供应商，应当提供相关证明材料或书面声明。代缴社保证明材料不予认可。</w:t>
      </w:r>
    </w:p>
    <w:p>
      <w:pPr>
        <w:pStyle w:val="null3"/>
      </w:pPr>
      <w:r>
        <w:rPr>
          <w:rFonts w:ascii="仿宋_GB2312" w:hAnsi="仿宋_GB2312" w:cs="仿宋_GB2312" w:eastAsia="仿宋_GB2312"/>
        </w:rPr>
        <w:t>5、参加政府采购活动前三年内，在经营活动中没有重大违法记录：不得为“信用中国”网站(http：//www.creditchina.gov.cn)列入“失信被执行人或重大税收违法失信主体或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6、法律、行政法规规定的其他条件：投标人满足法律、行政法规规定的其他条件的书面声明。</w:t>
      </w:r>
    </w:p>
    <w:p>
      <w:pPr>
        <w:pStyle w:val="null3"/>
      </w:pPr>
      <w:r>
        <w:rPr>
          <w:rFonts w:ascii="仿宋_GB2312" w:hAnsi="仿宋_GB2312" w:cs="仿宋_GB2312" w:eastAsia="仿宋_GB2312"/>
        </w:rPr>
        <w:t>7、法定代表人身份证明或法定代表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在投标前6个月内（不含投标当月）任意3个月由投标人缴纳社保证明材料的复印件。</w:t>
      </w:r>
    </w:p>
    <w:p>
      <w:pPr>
        <w:pStyle w:val="null3"/>
      </w:pPr>
      <w:r>
        <w:rPr>
          <w:rFonts w:ascii="仿宋_GB2312" w:hAnsi="仿宋_GB2312" w:cs="仿宋_GB2312" w:eastAsia="仿宋_GB2312"/>
        </w:rPr>
        <w:t>8、供应商资格：投标供应商提供医疗器械经营许可证或医疗器械经营备案凭证。</w:t>
      </w:r>
    </w:p>
    <w:p>
      <w:pPr>
        <w:pStyle w:val="null3"/>
      </w:pPr>
      <w:r>
        <w:rPr>
          <w:rFonts w:ascii="仿宋_GB2312" w:hAnsi="仿宋_GB2312" w:cs="仿宋_GB2312" w:eastAsia="仿宋_GB2312"/>
        </w:rPr>
        <w:t>9、关联关系：本项目不接受由西安市红会医院职工及其亲属投资举办的企业参加投标(提供承诺函)。</w:t>
      </w:r>
    </w:p>
    <w:p>
      <w:pPr>
        <w:pStyle w:val="null3"/>
      </w:pPr>
      <w:r>
        <w:rPr>
          <w:rFonts w:ascii="仿宋_GB2312" w:hAnsi="仿宋_GB2312" w:cs="仿宋_GB2312" w:eastAsia="仿宋_GB2312"/>
        </w:rPr>
        <w:t>10、单位负责人为同一人或者存在直接控股、管理关系的不同供应商不得参加同一合同项下的政府采购活动：单位负责人为同一人或者存在直接控股、管理关系的不同供应商不得参加同一合同项下的政府采购活动(提供承诺函)。</w:t>
      </w:r>
    </w:p>
    <w:p>
      <w:pPr>
        <w:pStyle w:val="null3"/>
      </w:pPr>
      <w:r>
        <w:rPr>
          <w:rFonts w:ascii="仿宋_GB2312" w:hAnsi="仿宋_GB2312" w:cs="仿宋_GB2312" w:eastAsia="仿宋_GB2312"/>
        </w:rPr>
        <w:t>11、是否接受联合体：不接受联合体磋商(提供承诺函)。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西安市红会医院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西安市南稍门友谊东路555号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029-86520792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刘思琦、赵醒文、张耀峰，赵利科，李楠，董海龙，屈小军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15353685616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乙方应当在中标结果公示发布后五个工作日内将项目履约保证金（中标总额的5%）转账至甲方基本户,未按照招标文件要求按时足额缴纳履约保证金的，甲方将取消乙方中标资格（《中华人民共和国招标投标法实施条例 》第七十四条），甲方按照评审报告推荐的成交候选人名单排序，确定下一候选人为中标或者成交供应商（《中华人民共和国政府采购法实施条例》第四十九条），合同约定事宜完成，所有设备功能完好，无息返还履约保证金。 （2）甲方基本户： 户名：西安市红会医院 账号：102407334632 开户行：中行西安长安路支行 转账请注明用途</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招标代理服务费按计价格〔2002〕1980号及发改价格〔2011〕534号文件规定标准80%计取。由中标供应商领取成交通知书前一次性支付。开户名称：亿诚建设项目管理有限公司；开户银行：中国民生银行西安吉祥路支行；账号：699295538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西安市红会医院</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西安市红会医院</w:t>
      </w:r>
      <w:r>
        <w:rPr>
          <w:rFonts w:ascii="仿宋_GB2312" w:hAnsi="仿宋_GB2312" w:cs="仿宋_GB2312" w:eastAsia="仿宋_GB2312"/>
        </w:rPr>
        <w:t>负责解释。除上述磋商文件内容，其他内容由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西安市红会医院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联系人：刘思琦</w:t>
      </w:r>
    </w:p>
    <w:p>
      <w:pPr>
        <w:pStyle w:val="null3"/>
      </w:pPr>
      <w:r>
        <w:rPr>
          <w:rFonts w:ascii="仿宋_GB2312" w:hAnsi="仿宋_GB2312" w:cs="仿宋_GB2312" w:eastAsia="仿宋_GB2312"/>
        </w:rPr>
        <w:t>联系电话：15353685616</w:t>
      </w:r>
    </w:p>
    <w:p>
      <w:pPr>
        <w:pStyle w:val="null3"/>
      </w:pPr>
      <w:r>
        <w:rPr>
          <w:rFonts w:ascii="仿宋_GB2312" w:hAnsi="仿宋_GB2312" w:cs="仿宋_GB2312" w:eastAsia="仿宋_GB2312"/>
        </w:rPr>
        <w:t>地址：陕西省西安市高新区丈八五路高科尚都ONE尚城A座10F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3台西门子Ysio Max数字化X射线摄影系统（DR）整机维保三年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X射线系统维保</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1,350,000.00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标的名称：X射线系统维保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技术要求：</w:t>
            </w:r>
          </w:p>
          <w:p>
            <w:pPr>
              <w:pStyle w:val="null3"/>
            </w:pPr>
            <w:r>
              <w:rPr>
                <w:rFonts w:ascii="仿宋_GB2312" w:hAnsi="仿宋_GB2312" w:cs="仿宋_GB2312" w:eastAsia="仿宋_GB2312"/>
                <w:sz w:val="21"/>
              </w:rPr>
              <w:t>1、整机全保（含球管、探测器等所有硬件、软件耗材及核心部件及更换现已损坏的球管一支）。为保障设备长期稳定、安全、高效运行，满足临床日常诊疗及应急检查需求，本次维保服务覆盖设备运行全流程、全部件，确保无服务盲区、无费用遗漏。</w:t>
            </w:r>
          </w:p>
          <w:p>
            <w:pPr>
              <w:pStyle w:val="null3"/>
            </w:pPr>
            <w:r>
              <w:rPr>
                <w:rFonts w:ascii="仿宋_GB2312" w:hAnsi="仿宋_GB2312" w:cs="仿宋_GB2312" w:eastAsia="仿宋_GB2312"/>
                <w:sz w:val="21"/>
              </w:rPr>
              <w:t>2、配件要求</w:t>
            </w:r>
          </w:p>
          <w:p>
            <w:pPr>
              <w:pStyle w:val="null3"/>
            </w:pPr>
            <w:r>
              <w:rPr>
                <w:rFonts w:ascii="仿宋_GB2312" w:hAnsi="仿宋_GB2312" w:cs="仿宋_GB2312" w:eastAsia="仿宋_GB2312"/>
                <w:sz w:val="21"/>
              </w:rPr>
              <w:t>（1）所有配件（含高真空元器件、球管、平板等）均为原厂全新正品，符合设备原厂技术指标及国家医疗器械相关规定。</w:t>
            </w:r>
          </w:p>
          <w:p>
            <w:pPr>
              <w:pStyle w:val="null3"/>
            </w:pPr>
            <w:r>
              <w:rPr>
                <w:rFonts w:ascii="仿宋_GB2312" w:hAnsi="仿宋_GB2312" w:cs="仿宋_GB2312" w:eastAsia="仿宋_GB2312"/>
                <w:sz w:val="21"/>
              </w:rPr>
              <w:t>（2）配件需提供合法来源证明，同时附配件质量承诺书，明确承诺非翻新、非替代、非二手配件。</w:t>
            </w:r>
          </w:p>
          <w:p>
            <w:pPr>
              <w:pStyle w:val="null3"/>
            </w:pPr>
            <w:r>
              <w:rPr>
                <w:rFonts w:ascii="仿宋_GB2312" w:hAnsi="仿宋_GB2312" w:cs="仿宋_GB2312" w:eastAsia="仿宋_GB2312"/>
                <w:sz w:val="21"/>
              </w:rPr>
              <w:t>（3）国内设有专项配件仓储库，确保核心配件长备库存。</w:t>
            </w:r>
          </w:p>
          <w:p>
            <w:pPr>
              <w:pStyle w:val="null3"/>
            </w:pPr>
            <w:r>
              <w:rPr>
                <w:rFonts w:ascii="仿宋_GB2312" w:hAnsi="仿宋_GB2312" w:cs="仿宋_GB2312" w:eastAsia="仿宋_GB2312"/>
                <w:sz w:val="21"/>
              </w:rPr>
              <w:t>3、软件全保</w:t>
            </w:r>
          </w:p>
          <w:p>
            <w:pPr>
              <w:pStyle w:val="null3"/>
            </w:pPr>
            <w:r>
              <w:rPr>
                <w:rFonts w:ascii="仿宋_GB2312" w:hAnsi="仿宋_GB2312" w:cs="仿宋_GB2312" w:eastAsia="仿宋_GB2312"/>
                <w:sz w:val="21"/>
              </w:rPr>
              <w:t>负责提供系统软件升级、漏洞补丁、安全更新服务，确保软件版本始终处于合规、稳定状态。</w:t>
            </w:r>
          </w:p>
          <w:p>
            <w:pPr>
              <w:pStyle w:val="null3"/>
            </w:pPr>
            <w:r>
              <w:rPr>
                <w:rFonts w:ascii="仿宋_GB2312" w:hAnsi="仿宋_GB2312" w:cs="仿宋_GB2312" w:eastAsia="仿宋_GB2312"/>
                <w:sz w:val="21"/>
              </w:rPr>
              <w:t>4、核心服务内容</w:t>
            </w:r>
          </w:p>
          <w:p>
            <w:pPr>
              <w:pStyle w:val="null3"/>
            </w:pPr>
            <w:r>
              <w:rPr>
                <w:rFonts w:ascii="仿宋_GB2312" w:hAnsi="仿宋_GB2312" w:cs="仿宋_GB2312" w:eastAsia="仿宋_GB2312"/>
                <w:sz w:val="21"/>
              </w:rPr>
              <w:t>（1）故障维修：全年不限次数故障维修、备件更换、现场服务，无维修次数及费用限制。</w:t>
            </w:r>
          </w:p>
          <w:p>
            <w:pPr>
              <w:pStyle w:val="null3"/>
            </w:pPr>
            <w:r>
              <w:rPr>
                <w:rFonts w:ascii="仿宋_GB2312" w:hAnsi="仿宋_GB2312" w:cs="仿宋_GB2312" w:eastAsia="仿宋_GB2312"/>
                <w:sz w:val="21"/>
              </w:rPr>
              <w:t>（2）预防性维护：定期开展预防性维护（PM）、设备性能校准、安全检测，保障设备稳定运行。</w:t>
            </w:r>
          </w:p>
          <w:p>
            <w:pPr>
              <w:pStyle w:val="null3"/>
            </w:pPr>
            <w:r>
              <w:rPr>
                <w:rFonts w:ascii="仿宋_GB2312" w:hAnsi="仿宋_GB2312" w:cs="仿宋_GB2312" w:eastAsia="仿宋_GB2312"/>
                <w:sz w:val="21"/>
              </w:rPr>
              <w:t>5、开机率保障：全年设备开机率≥97%（按365天计算），每低1天保修顺延7天；开机率低于85%视为乙方违约，甲方有权书面解除合同。</w:t>
            </w:r>
          </w:p>
          <w:p>
            <w:pPr>
              <w:pStyle w:val="null3"/>
            </w:pPr>
            <w:r>
              <w:rPr>
                <w:rFonts w:ascii="仿宋_GB2312" w:hAnsi="仿宋_GB2312" w:cs="仿宋_GB2312" w:eastAsia="仿宋_GB2312"/>
                <w:sz w:val="21"/>
              </w:rPr>
              <w:t>服务要求：</w:t>
            </w:r>
          </w:p>
          <w:p>
            <w:pPr>
              <w:pStyle w:val="null3"/>
            </w:pPr>
            <w:r>
              <w:rPr>
                <w:rFonts w:ascii="仿宋_GB2312" w:hAnsi="仿宋_GB2312" w:cs="仿宋_GB2312" w:eastAsia="仿宋_GB2312"/>
                <w:sz w:val="21"/>
              </w:rPr>
              <w:t>1、维修响应时效：接到报修≤1小时响应并提供方案；需现场维修时，持证工程师≤4小时内抵达（含法定节假日）；无配件更换故障≤24小时修复，涉及配件更换≤48小时修复（不可抗力除外）。</w:t>
            </w:r>
          </w:p>
          <w:p>
            <w:pPr>
              <w:pStyle w:val="null3"/>
            </w:pPr>
            <w:r>
              <w:rPr>
                <w:rFonts w:ascii="仿宋_GB2312" w:hAnsi="仿宋_GB2312" w:cs="仿宋_GB2312" w:eastAsia="仿宋_GB2312"/>
                <w:sz w:val="21"/>
              </w:rPr>
              <w:t>2、预防性维保要求：每年≥4次预防性保养，含系统运行检查、清洁除尘、安全检测、影像质量校准、参数评判、性能测试、机电检查及软件维护等；每次保养出具双方签字确认的报告单，年度提交设备运行维护报告，维保到期前并完成设备整机全面检测。</w:t>
            </w:r>
          </w:p>
          <w:p>
            <w:pPr>
              <w:pStyle w:val="null3"/>
            </w:pPr>
            <w:r>
              <w:rPr>
                <w:rFonts w:ascii="仿宋_GB2312" w:hAnsi="仿宋_GB2312" w:cs="仿宋_GB2312" w:eastAsia="仿宋_GB2312"/>
                <w:sz w:val="21"/>
              </w:rPr>
              <w:t>3、年度评估总结：年末出具详细维保评估总结报告，汇总全年故障次数、故障类别、更换配件的具体数量及对应费用；全面评估设备运行状况，结合设备使用年限及故障规律，提出针对性的优化使用及维护建议。</w:t>
            </w:r>
          </w:p>
          <w:p>
            <w:pPr>
              <w:pStyle w:val="null3"/>
            </w:pPr>
            <w:r>
              <w:rPr>
                <w:rFonts w:ascii="仿宋_GB2312" w:hAnsi="仿宋_GB2312" w:cs="仿宋_GB2312" w:eastAsia="仿宋_GB2312"/>
                <w:sz w:val="21"/>
              </w:rPr>
              <w:t>4、备件证明：更换关键备件时（球管、发生器、探测器），需提供备件报关单，确保备件合规可追溯。</w:t>
            </w:r>
          </w:p>
          <w:p>
            <w:pPr>
              <w:pStyle w:val="null3"/>
            </w:pPr>
            <w:r>
              <w:rPr>
                <w:rFonts w:ascii="仿宋_GB2312" w:hAnsi="仿宋_GB2312" w:cs="仿宋_GB2312" w:eastAsia="仿宋_GB2312"/>
                <w:sz w:val="21"/>
              </w:rPr>
              <w:t>5、工程师资质：项目负责人及维修工程师必须具备相关设备维修培训合格证书，熟悉设备结构、工作原理及维修技术。</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项目负责人及维修工程师必须具备相关设备维修培训合格证书，熟悉设备结构、工作原理及维修技术。</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具有该设备专业维修工具，并提供工具清单及工具图片。②备件品质：所有更换备件必须为全新原装正品，与设备原型号、原规格完全一致，严禁使用翻新件、拆机件、非原厂兼容件。③备件证明：更换关键备件时（球管、发生器、探测器），需提供备件报关单，确保备件合规可追溯。</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自合同签订之日起三年内。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西安市红会医院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①按国家现行项目实施规范和合同规定的验收评定标准等要求进行验收。②验收以合同、磋商文件、响应文件、澄清表（函）为依据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分六期付款，完成半年维保服务后，支付合同总价款的16.66%</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16.66</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分六期付款，完成一年维保服务后，支付合同总价款的16.66%</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16.66</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分六期付款，完成一年半维保服务后，支付合同总价款的16.66%</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16.66</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分六期付款，完成两年维保服务后，支付合同总价款的16.66%</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16.66</w:t>
      </w:r>
      <w:r>
        <w:rPr>
          <w:rFonts w:ascii="仿宋_GB2312" w:hAnsi="仿宋_GB2312" w:cs="仿宋_GB2312" w:eastAsia="仿宋_GB2312"/>
        </w:rPr>
        <w:t>%。</w:t>
      </w:r>
    </w:p>
    <w:p>
      <w:pPr>
        <w:pStyle w:val="null3"/>
        <w:ind w:firstLine="1200"/>
      </w:pPr>
      <w:r>
        <w:rPr>
          <w:rFonts w:ascii="仿宋_GB2312" w:hAnsi="仿宋_GB2312" w:cs="仿宋_GB2312" w:eastAsia="仿宋_GB2312"/>
        </w:rPr>
        <w:t>5、</w:t>
      </w:r>
      <w:r>
        <w:rPr>
          <w:rFonts w:ascii="仿宋_GB2312" w:hAnsi="仿宋_GB2312" w:cs="仿宋_GB2312" w:eastAsia="仿宋_GB2312"/>
        </w:rPr>
        <w:t xml:space="preserve"> 付款条件说明： </w:t>
      </w:r>
      <w:r>
        <w:rPr>
          <w:rFonts w:ascii="仿宋_GB2312" w:hAnsi="仿宋_GB2312" w:cs="仿宋_GB2312" w:eastAsia="仿宋_GB2312"/>
        </w:rPr>
        <w:t>分六期付款，完成两年半维保服务后，支付合同总价款的16.66%</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16.66</w:t>
      </w:r>
      <w:r>
        <w:rPr>
          <w:rFonts w:ascii="仿宋_GB2312" w:hAnsi="仿宋_GB2312" w:cs="仿宋_GB2312" w:eastAsia="仿宋_GB2312"/>
        </w:rPr>
        <w:t>%。</w:t>
      </w:r>
    </w:p>
    <w:p>
      <w:pPr>
        <w:pStyle w:val="null3"/>
        <w:ind w:firstLine="1200"/>
      </w:pPr>
      <w:r>
        <w:rPr>
          <w:rFonts w:ascii="仿宋_GB2312" w:hAnsi="仿宋_GB2312" w:cs="仿宋_GB2312" w:eastAsia="仿宋_GB2312"/>
        </w:rPr>
        <w:t>6、</w:t>
      </w:r>
      <w:r>
        <w:rPr>
          <w:rFonts w:ascii="仿宋_GB2312" w:hAnsi="仿宋_GB2312" w:cs="仿宋_GB2312" w:eastAsia="仿宋_GB2312"/>
        </w:rPr>
        <w:t xml:space="preserve"> 付款条件说明： </w:t>
      </w:r>
      <w:r>
        <w:rPr>
          <w:rFonts w:ascii="仿宋_GB2312" w:hAnsi="仿宋_GB2312" w:cs="仿宋_GB2312" w:eastAsia="仿宋_GB2312"/>
        </w:rPr>
        <w:t>分六期付款，完成三年维保服务后，支付合同总价款的16.7%</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16.70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①按《中华人民共和国民法典》中的相关条款执行。 ②乙方未按合同要求提供，质量不能满足技术要求的，甲方有权解除合同（合同自书面解除通知到达乙方之日起解除），乙方赔偿甲方解除合同的全部损失（包括但不限于重新采购产生的费用及其它由此造成的甲方对第三方的违约损失），并按照合同最高执行总价的30%支付违约金，同时按《政府采购法》有关处罚条款报监管机构进行相应的处罚。 ③合同执行中发生争议的，当事人双方应协商解决，协商达不成一致时，可向采购人所在地人民法院提请诉讼。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（1）本项目商务条款不可偏离。(提供商务条款承诺书) （2）供应商务必在开标截止时间30分钟前，通过项目电子化交易系统进行签到，如未进行签到，产生的一切后果由供应商自行承担。（3）为顺利推进政府采购电子化交易平台试点应用工作，供应商需要在线提交所有通过电子化交易平台实施的政府采购项目的响应文件，同时，线下提交纸质响应文件正本一份、副本一份，电子版本一份（以U盘形式提供，文件格式包含.doc/.docx格式及正本盖章后扫描的.pdf格式），递交地址：亿诚建设项目管理有限公司开标室，递交截止时间同在线递交电子响应文件截止时间一致。电子响应文件与纸质响应文件内容应完全一致。响应文件正、副本分别各自装订成册密封，在封口处加盖供应商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提供具有独立承担民事责任能力的法人或其他组织，提供合法有效的营业执照、税务登记证、组织机构代码证（三证合一的企业提供统一社会信用代码的营业执照）（原件的复印件加盖公章）。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提供具有财务审计资质单位出具的2024年度或2025年度完整的审计报告或提供供应商基本存款账户信息及开标日期前90日内其基本存款账户开户银行出具的资信证明。以上形式的证明资料提供任何一种即可。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出具履行合同所必需的设备和专业技术能力的书面声明。</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1.供应商近六个月内（投标截止时间前）任意1个月纳税证明材料：根据税务部门出具的完税凭证或纳税的银行转账汇款单、对账单等判定，如依法免税或不需要纳税的，提供相应证明材料。 2.供应商近六个月内（投标截止时间前）任意1个月缴纳社会保障金证明材料：根据银行转账汇款单或社保（税务）部门出具的缴纳社会保障金的凭证判定，证明材料应当显示险种和缴纳所属时期；不需要缴纳社会保障金的供应商，应当提供相关证明材料或书面声明。代缴社保证明材料不予认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不得为“信用中国”网站(http：//www.creditchina.gov.cn)列入“失信被执行人或重大税收违法失信主体或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信用查询.docx 供应商应提交的相关资格证明材料 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投标人满足法律、行政法规规定的其他条件的书面声明。</w:t>
            </w:r>
          </w:p>
        </w:tc>
        <w:tc>
          <w:tcPr>
            <w:tcW w:type="dxa" w:w="1661"/>
          </w:tcPr>
          <w:p>
            <w:pPr>
              <w:pStyle w:val="null3"/>
            </w:pPr>
            <w:r>
              <w:rPr>
                <w:rFonts w:ascii="仿宋_GB2312" w:hAnsi="仿宋_GB2312" w:cs="仿宋_GB2312" w:eastAsia="仿宋_GB2312"/>
              </w:rPr>
              <w:t>供应商应提交的相关资格证明材料 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在投标前6个月内（不含投标当月）任意3个月由投标人缴纳社保证明材料的复印件。</w:t>
            </w:r>
          </w:p>
        </w:tc>
        <w:tc>
          <w:tcPr>
            <w:tcW w:type="dxa" w:w="1661"/>
          </w:tcPr>
          <w:p>
            <w:pPr>
              <w:pStyle w:val="null3"/>
            </w:pPr>
            <w:r>
              <w:rPr>
                <w:rFonts w:ascii="仿宋_GB2312" w:hAnsi="仿宋_GB2312" w:cs="仿宋_GB2312" w:eastAsia="仿宋_GB2312"/>
              </w:rPr>
              <w:t>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投标供应商提供医疗器械经营许可证或医疗器械经营备案凭证。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本项目不接受由西安市红会医院职工及其亲属投资举办的企业参加投标(提供承诺函)。</w:t>
            </w:r>
          </w:p>
        </w:tc>
        <w:tc>
          <w:tcPr>
            <w:tcW w:type="dxa" w:w="1661"/>
          </w:tcPr>
          <w:p>
            <w:pPr>
              <w:pStyle w:val="null3"/>
            </w:pPr>
            <w:r>
              <w:rPr>
                <w:rFonts w:ascii="仿宋_GB2312" w:hAnsi="仿宋_GB2312" w:cs="仿宋_GB2312" w:eastAsia="仿宋_GB2312"/>
              </w:rPr>
              <w:t>供应商应提交的相关资格证明材料 承诺书.docx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单位负责人为同一人或者存在直接控股、管理关系的不同供应商不得参加同一合同项下的政府采购活动(提供承诺函)。</w:t>
            </w:r>
          </w:p>
        </w:tc>
        <w:tc>
          <w:tcPr>
            <w:tcW w:type="dxa" w:w="1661"/>
          </w:tcPr>
          <w:p>
            <w:pPr>
              <w:pStyle w:val="null3"/>
            </w:pPr>
            <w:r>
              <w:rPr>
                <w:rFonts w:ascii="仿宋_GB2312" w:hAnsi="仿宋_GB2312" w:cs="仿宋_GB2312" w:eastAsia="仿宋_GB2312"/>
              </w:rPr>
              <w:t>供应商应提交的相关资格证明材料 承诺书.docx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是否接受联合体</w:t>
            </w:r>
          </w:p>
        </w:tc>
        <w:tc>
          <w:tcPr>
            <w:tcW w:type="dxa" w:w="3322"/>
          </w:tcPr>
          <w:p>
            <w:pPr>
              <w:pStyle w:val="null3"/>
            </w:pPr>
            <w:r>
              <w:rPr>
                <w:rFonts w:ascii="仿宋_GB2312" w:hAnsi="仿宋_GB2312" w:cs="仿宋_GB2312" w:eastAsia="仿宋_GB2312"/>
              </w:rPr>
              <w:t>不接受联合体磋商(提供承诺函)。</w:t>
            </w:r>
          </w:p>
        </w:tc>
        <w:tc>
          <w:tcPr>
            <w:tcW w:type="dxa" w:w="1661"/>
          </w:tcPr>
          <w:p>
            <w:pPr>
              <w:pStyle w:val="null3"/>
            </w:pPr>
            <w:r>
              <w:rPr>
                <w:rFonts w:ascii="仿宋_GB2312" w:hAnsi="仿宋_GB2312" w:cs="仿宋_GB2312" w:eastAsia="仿宋_GB2312"/>
              </w:rPr>
              <w:t>供应商应提交的相关资格证明材料 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3.存在下列情形之一的，评审委员会应当启动异常低价投标（响应）审查程序：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1.磋商响应文件上法定代表人或其授权代表人的签字齐全并按要求加盖公章； 2.只能有一个有效报价，不得提交选择性报价，且报价不超过采购预算金额或最高限价； 3.不存在采购文件及法律法规规定的无效情形。</w:t>
            </w:r>
          </w:p>
        </w:tc>
        <w:tc>
          <w:tcPr>
            <w:tcW w:type="dxa" w:w="1661"/>
          </w:tcPr>
          <w:p>
            <w:pPr>
              <w:pStyle w:val="null3"/>
            </w:pPr>
            <w:r>
              <w:rPr>
                <w:rFonts w:ascii="仿宋_GB2312" w:hAnsi="仿宋_GB2312" w:cs="仿宋_GB2312" w:eastAsia="仿宋_GB2312"/>
              </w:rPr>
              <w:t>响应文件封面 承诺书.docx 标的清单 报价表 授权书.docx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1、磋商响应文件是否包含磋商报价表、响应函、技术和商务响应文件；2、磋商报价完整，不得只对采购需求部分内容进行报价。</w:t>
            </w:r>
          </w:p>
        </w:tc>
        <w:tc>
          <w:tcPr>
            <w:tcW w:type="dxa" w:w="1661"/>
          </w:tcPr>
          <w:p>
            <w:pPr>
              <w:pStyle w:val="null3"/>
            </w:pPr>
            <w:r>
              <w:rPr>
                <w:rFonts w:ascii="仿宋_GB2312" w:hAnsi="仿宋_GB2312" w:cs="仿宋_GB2312" w:eastAsia="仿宋_GB2312"/>
              </w:rPr>
              <w:t>响应文件封面 服务内容及服务邀请应答表 商务应答表 服务方案 供应商应提交的相关资格证明材料 其他资料.docx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技术参数与性能指标</w:t>
            </w:r>
          </w:p>
        </w:tc>
        <w:tc>
          <w:tcPr>
            <w:tcW w:type="dxa" w:w="2492"/>
          </w:tcPr>
          <w:p>
            <w:pPr>
              <w:pStyle w:val="null3"/>
            </w:pPr>
            <w:r>
              <w:rPr>
                <w:rFonts w:ascii="仿宋_GB2312" w:hAnsi="仿宋_GB2312" w:cs="仿宋_GB2312" w:eastAsia="仿宋_GB2312"/>
              </w:rPr>
              <w:t>①整机全保、②配件要求、③软件全保④核心服务内容⑤开机率保障⑥服务要求等服务内容满足要求得6分，每负偏离一项扣1分，扣完为止。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 1</w:t>
            </w:r>
          </w:p>
        </w:tc>
        <w:tc>
          <w:tcPr>
            <w:tcW w:type="dxa" w:w="2492"/>
          </w:tcPr>
          <w:p>
            <w:pPr>
              <w:pStyle w:val="null3"/>
            </w:pPr>
            <w:r>
              <w:rPr>
                <w:rFonts w:ascii="仿宋_GB2312" w:hAnsi="仿宋_GB2312" w:cs="仿宋_GB2312" w:eastAsia="仿宋_GB2312"/>
              </w:rPr>
              <w:t>提供针对本次维保设备以下内容的服务方案：①定期专业维护保养、②除尘清洁、③质量安全检查、④运行状况。方案各项内容全面详细、阐述条理清晰、内容合理，贴合项目的实际情况，能有效保障本项目实施得满分，每缺项一项扣2分，每有一项内容存在缺陷，扣1分。 备注：缺陷是指内容不详细、内容不合理、虽有内容但不完善、内容不贴合项目实际情况。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 2</w:t>
            </w:r>
          </w:p>
        </w:tc>
        <w:tc>
          <w:tcPr>
            <w:tcW w:type="dxa" w:w="2492"/>
          </w:tcPr>
          <w:p>
            <w:pPr>
              <w:pStyle w:val="null3"/>
            </w:pPr>
            <w:r>
              <w:rPr>
                <w:rFonts w:ascii="仿宋_GB2312" w:hAnsi="仿宋_GB2312" w:cs="仿宋_GB2312" w:eastAsia="仿宋_GB2312"/>
              </w:rPr>
              <w:t>提供针对本次维保设备以下内容的服务方案：①必要的机械检查、②图像质量检查、③性能测试及校准、④数据备份。 方案各项内容全面详细、阐述条理清晰、内容合理，贴合项目的实际情况，能有效保障本项目实施得满分，每缺项一项扣2分，每有一项内容存在缺陷，扣1分。 备注：缺陷是指内容不详细、内容不合理、虽有内容但不完善、内容不贴合项目实际情况。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 3</w:t>
            </w:r>
          </w:p>
        </w:tc>
        <w:tc>
          <w:tcPr>
            <w:tcW w:type="dxa" w:w="2492"/>
          </w:tcPr>
          <w:p>
            <w:pPr>
              <w:pStyle w:val="null3"/>
            </w:pPr>
            <w:r>
              <w:rPr>
                <w:rFonts w:ascii="仿宋_GB2312" w:hAnsi="仿宋_GB2312" w:cs="仿宋_GB2312" w:eastAsia="仿宋_GB2312"/>
              </w:rPr>
              <w:t>提供针对本次维保设备以下内容的服务方案：①开机保障率保证措施及承诺、②非紧急型的补救性维修方案、③突发特殊情况处理办法。 方案各项内容全面详细、阐述条理清晰、内容合理，贴合项目的实际情况，能有效保障本项目实施得满分，每缺项一项扣2分，每有一项内容存在缺陷，扣1分。 备注：缺陷是指内容不详细、内容不合理、虽有内容但不完善、内容不贴合项目实际情况。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 4</w:t>
            </w:r>
          </w:p>
        </w:tc>
        <w:tc>
          <w:tcPr>
            <w:tcW w:type="dxa" w:w="2492"/>
          </w:tcPr>
          <w:p>
            <w:pPr>
              <w:pStyle w:val="null3"/>
            </w:pPr>
            <w:r>
              <w:rPr>
                <w:rFonts w:ascii="仿宋_GB2312" w:hAnsi="仿宋_GB2312" w:cs="仿宋_GB2312" w:eastAsia="仿宋_GB2312"/>
              </w:rPr>
              <w:t>为本次维保设备制定规范化服务制度，包含：①设备运行时状况分析、②设备存在问题及建议、③设备维修后的验收、使用、保养、校准、资料管理、报废更新等内容。 方案各项内容全面详细、阐述条理清晰、内容合理，贴合项目的实际情况，能有效保障本项目实施得满分，每缺项一项扣2分，每有一项内容存在缺陷，扣1分。 备注：缺陷是指内容不详细、内容不合理、虽有内容但不完善、内容不贴合项目实际情况。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工具配置</w:t>
            </w:r>
          </w:p>
        </w:tc>
        <w:tc>
          <w:tcPr>
            <w:tcW w:type="dxa" w:w="2492"/>
          </w:tcPr>
          <w:p>
            <w:pPr>
              <w:pStyle w:val="null3"/>
            </w:pPr>
            <w:r>
              <w:rPr>
                <w:rFonts w:ascii="仿宋_GB2312" w:hAnsi="仿宋_GB2312" w:cs="仿宋_GB2312" w:eastAsia="仿宋_GB2312"/>
              </w:rPr>
              <w:t>供应商提供的专业维修工具包含以下内容：①专业性、②全面性。 1.提供的维修工具专业性高，种类齐全，以上2项每项得3分； 2.提供的维修工具专业性较好，种类较为齐全，以上2项每项得2分； 3.提供的维修工具专业性较差，种类不齐全，以上2项每项得1分。 4.缺项不得分。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备件保障</w:t>
            </w:r>
          </w:p>
        </w:tc>
        <w:tc>
          <w:tcPr>
            <w:tcW w:type="dxa" w:w="2492"/>
          </w:tcPr>
          <w:p>
            <w:pPr>
              <w:pStyle w:val="null3"/>
            </w:pPr>
            <w:r>
              <w:rPr>
                <w:rFonts w:ascii="仿宋_GB2312" w:hAnsi="仿宋_GB2312" w:cs="仿宋_GB2312" w:eastAsia="仿宋_GB2312"/>
              </w:rPr>
              <w:t>包含①供应商设有备件库（提供证明材料、仓库情况照片、常备件清单等证明材料）；②备品备件的合法来源渠道证明文件及技术资料；③保证提供的所有维修备件均能够与原设备配套兼容的措施；④设备软件免费升级保障措施；每满足一项得1分，最多不超过标准分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人员能力</w:t>
            </w:r>
          </w:p>
        </w:tc>
        <w:tc>
          <w:tcPr>
            <w:tcW w:type="dxa" w:w="2492"/>
          </w:tcPr>
          <w:p>
            <w:pPr>
              <w:pStyle w:val="null3"/>
            </w:pPr>
            <w:r>
              <w:rPr>
                <w:rFonts w:ascii="仿宋_GB2312" w:hAnsi="仿宋_GB2312" w:cs="仿宋_GB2312" w:eastAsia="仿宋_GB2312"/>
              </w:rPr>
              <w:t>每提供一名具有医用影像类设备维修经验的维修工程师，且该工程师同时具备原设备厂家培训证书的。每提供1人得2分，最多得标准分。须提供培训证书复印件。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供应商提供健全的服务质量保障制度，包含：①质量保障计划及措施、②能保证维修设备可靠、稳定的使用、③充分发挥产品性能。 1.服务质量保障制度、体系合理、清晰、完善，具体措施得当、有效，可行性高，以上3项每项得3分； 2.服务质量保障制度、体系基本合理、清晰、较为完善，具体措施较为有效，可行性较高，以上3项每项得2分； 3.服务质量保障制度、体系基本完善，有一定的可行性，以上3项每项得1分。 4.缺项不得分。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针对本项目提出完善的管理制度，包括岗位工作标准、作业流程、服务体系、维修标准等方面。 1.管理制度健全、规范、可行，得5分； 2.管理制度较为健全、规范、具有一定合理性，得3分； 3.管理制度较简单，得2分； 4.管理制度不合理或未提供得0分。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提供针对本项目的应急预案，包含：①故障响应时限、②到达服务现场响应时限、③备件供应、④突发事件处理措施等：服务方案科学、合理、全面、完整、可操作性强，针对性高得满分，每缺项一项扣2分，每有一项内容存在缺陷，扣1分。 备注：缺陷是指内容不详细、内容不合理、虽有内容但不完善、内容不贴合项目实际情况。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维护报告</w:t>
            </w:r>
          </w:p>
        </w:tc>
        <w:tc>
          <w:tcPr>
            <w:tcW w:type="dxa" w:w="2492"/>
          </w:tcPr>
          <w:p>
            <w:pPr>
              <w:pStyle w:val="null3"/>
            </w:pPr>
            <w:r>
              <w:rPr>
                <w:rFonts w:ascii="仿宋_GB2312" w:hAnsi="仿宋_GB2312" w:cs="仿宋_GB2312" w:eastAsia="仿宋_GB2312"/>
              </w:rPr>
              <w:t>供应商按照采购需求频次提供维护报告。 1.服务方案全面、详细、服务报告形式多样，科学合理、规范，可操作性强，得3分； 2.服务方案较为合理、规范，服务报告能够符合要求，具有一定操作性，得2分； 3.服务方案较为合理，服务报告单一，具有操作性，得1分； 4.服务方案不合理或未提供得0分。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提供供应商2023年5月1日至磋商日为止同品牌同类型设备维保业绩（业绩清单、对应完整合同及中标结果网页截图），每提供一份有效合同复印件及中标结果网页截图得2分,最多10分。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1.经初审合格的磋商响应文件，其磋商报价为有效磋商报价，对其价格（评审价格）进行价格评审。 2.满足磋商文件实质性要求且最终报价最低的供应商的价格为磋商基准价，其价格分15分。 3.磋商报价得分=（磋商基准价/最终磋商报价）×15的公式计算得分。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详见附件：授权书.docx</w:t>
      </w:r>
    </w:p>
    <w:p>
      <w:pPr>
        <w:pStyle w:val="null3"/>
        <w:ind w:firstLine="960"/>
      </w:pPr>
      <w:r>
        <w:rPr>
          <w:rFonts w:ascii="仿宋_GB2312" w:hAnsi="仿宋_GB2312" w:cs="仿宋_GB2312" w:eastAsia="仿宋_GB2312"/>
        </w:rPr>
        <w:t>详见附件：信用查询.docx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