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1E7E14">
      <w:pPr>
        <w:pStyle w:val="10"/>
        <w:jc w:val="center"/>
        <w:outlineLvl w:val="1"/>
        <w:rPr>
          <w:highlight w:val="none"/>
        </w:rPr>
      </w:pPr>
      <w:r>
        <w:rPr>
          <w:rFonts w:ascii="仿宋_GB2312" w:hAnsi="仿宋_GB2312" w:eastAsia="仿宋_GB2312" w:cs="仿宋_GB2312"/>
          <w:b/>
          <w:sz w:val="36"/>
          <w:highlight w:val="none"/>
        </w:rPr>
        <w:t>拟签订采购合同文本</w:t>
      </w:r>
    </w:p>
    <w:p w14:paraId="7DF94B22">
      <w:pPr>
        <w:pStyle w:val="10"/>
        <w:rPr>
          <w:rFonts w:ascii="仿宋_GB2312" w:hAnsi="仿宋_GB2312" w:eastAsia="仿宋_GB2312" w:cs="仿宋_GB2312"/>
          <w:highlight w:val="none"/>
        </w:rPr>
      </w:pPr>
      <w:bookmarkStart w:id="0" w:name="_GoBack"/>
      <w:bookmarkEnd w:id="0"/>
    </w:p>
    <w:p w14:paraId="1CF46DF8">
      <w:pPr>
        <w:keepNext w:val="0"/>
        <w:keepLines w:val="0"/>
        <w:pageBreakBefore w:val="0"/>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sz w:val="20"/>
          <w:szCs w:val="20"/>
          <w:highlight w:val="none"/>
        </w:rPr>
        <w:t>甲方：西安市红会医院</w:t>
      </w:r>
    </w:p>
    <w:p w14:paraId="019910CC">
      <w:pPr>
        <w:keepNext w:val="0"/>
        <w:keepLines w:val="0"/>
        <w:pageBreakBefore w:val="0"/>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sz w:val="20"/>
          <w:szCs w:val="20"/>
          <w:highlight w:val="none"/>
        </w:rPr>
        <w:t>乙方：</w:t>
      </w:r>
    </w:p>
    <w:p w14:paraId="1F843722">
      <w:pPr>
        <w:keepNext w:val="0"/>
        <w:keepLines w:val="0"/>
        <w:pageBreakBefore w:val="0"/>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sz w:val="20"/>
          <w:szCs w:val="20"/>
          <w:highlight w:val="none"/>
        </w:rPr>
        <w:t>鉴证方：</w:t>
      </w:r>
    </w:p>
    <w:p w14:paraId="40344279">
      <w:pPr>
        <w:keepNext w:val="0"/>
        <w:keepLines w:val="0"/>
        <w:pageBreakBefore w:val="0"/>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宋体"/>
          <w:sz w:val="20"/>
          <w:szCs w:val="20"/>
          <w:highlight w:val="none"/>
        </w:rPr>
        <w:t>甲方所需服务，按照采购程序，确定乙方为成交供应商。依据《中华人民共和国政府采购法》及实施条例、《中华人民共和国民法典》、成交供应商响应文件正本、成交通知书，经甲、乙双方协商，达成如下条款。</w:t>
      </w:r>
    </w:p>
    <w:p w14:paraId="15EE298F">
      <w:pPr>
        <w:pStyle w:val="11"/>
        <w:keepNext w:val="0"/>
        <w:keepLines w:val="0"/>
        <w:pageBreakBefore w:val="0"/>
        <w:widowControl/>
        <w:numPr>
          <w:ilvl w:val="0"/>
          <w:numId w:val="1"/>
        </w:numPr>
        <w:tabs>
          <w:tab w:val="left" w:pos="480"/>
          <w:tab w:val="left" w:pos="1146"/>
        </w:tabs>
        <w:wordWrap/>
        <w:overflowPunct/>
        <w:topLinePunct w:val="0"/>
        <w:bidi w:val="0"/>
        <w:snapToGrid/>
        <w:spacing w:line="240" w:lineRule="auto"/>
        <w:ind w:firstLineChars="0"/>
        <w:jc w:val="left"/>
        <w:rPr>
          <w:rFonts w:ascii="仿宋" w:hAnsi="仿宋" w:eastAsia="仿宋" w:cs="宋体"/>
          <w:b/>
          <w:sz w:val="20"/>
          <w:szCs w:val="20"/>
          <w:highlight w:val="none"/>
        </w:rPr>
      </w:pPr>
      <w:r>
        <w:rPr>
          <w:rFonts w:hint="eastAsia" w:ascii="仿宋" w:hAnsi="仿宋" w:eastAsia="仿宋" w:cs="宋体"/>
          <w:b/>
          <w:sz w:val="20"/>
          <w:szCs w:val="20"/>
          <w:highlight w:val="none"/>
        </w:rPr>
        <w:t>合同标的物内容及数量</w:t>
      </w:r>
    </w:p>
    <w:p w14:paraId="0FA37A58">
      <w:pPr>
        <w:keepNext w:val="0"/>
        <w:keepLines w:val="0"/>
        <w:pageBreakBefore w:val="0"/>
        <w:tabs>
          <w:tab w:val="left" w:pos="480"/>
        </w:tabs>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sz w:val="20"/>
          <w:szCs w:val="20"/>
          <w:highlight w:val="none"/>
        </w:rPr>
        <w:t>（一）合同最高执行总价</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940"/>
        <w:gridCol w:w="2526"/>
        <w:gridCol w:w="2670"/>
      </w:tblGrid>
      <w:tr w14:paraId="690D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176" w:type="dxa"/>
            <w:noWrap w:val="0"/>
            <w:vAlign w:val="center"/>
          </w:tcPr>
          <w:p w14:paraId="732AC464">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序号</w:t>
            </w:r>
          </w:p>
        </w:tc>
        <w:tc>
          <w:tcPr>
            <w:tcW w:w="2940" w:type="dxa"/>
            <w:noWrap w:val="0"/>
            <w:vAlign w:val="center"/>
          </w:tcPr>
          <w:p w14:paraId="030F9DB7">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名称</w:t>
            </w:r>
          </w:p>
        </w:tc>
        <w:tc>
          <w:tcPr>
            <w:tcW w:w="2526" w:type="dxa"/>
            <w:noWrap w:val="0"/>
            <w:vAlign w:val="center"/>
          </w:tcPr>
          <w:p w14:paraId="175F2BDF">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数量</w:t>
            </w:r>
          </w:p>
        </w:tc>
        <w:tc>
          <w:tcPr>
            <w:tcW w:w="2670" w:type="dxa"/>
            <w:noWrap w:val="0"/>
            <w:vAlign w:val="center"/>
          </w:tcPr>
          <w:p w14:paraId="3136A99B">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金额合计（小写）</w:t>
            </w:r>
          </w:p>
        </w:tc>
      </w:tr>
      <w:tr w14:paraId="0029F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176" w:type="dxa"/>
            <w:noWrap w:val="0"/>
            <w:vAlign w:val="center"/>
          </w:tcPr>
          <w:p w14:paraId="0656FDD1">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1</w:t>
            </w:r>
          </w:p>
        </w:tc>
        <w:tc>
          <w:tcPr>
            <w:tcW w:w="2940" w:type="dxa"/>
            <w:noWrap w:val="0"/>
            <w:vAlign w:val="center"/>
          </w:tcPr>
          <w:p w14:paraId="72796FFC">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b/>
                <w:sz w:val="20"/>
                <w:szCs w:val="20"/>
                <w:highlight w:val="none"/>
              </w:rPr>
              <w:t xml:space="preserve"> </w:t>
            </w:r>
          </w:p>
        </w:tc>
        <w:tc>
          <w:tcPr>
            <w:tcW w:w="2526" w:type="dxa"/>
            <w:noWrap w:val="0"/>
            <w:vAlign w:val="center"/>
          </w:tcPr>
          <w:p w14:paraId="1E2FF453">
            <w:pPr>
              <w:keepNext w:val="0"/>
              <w:keepLines w:val="0"/>
              <w:pageBreakBefore w:val="0"/>
              <w:wordWrap/>
              <w:overflowPunct/>
              <w:topLinePunct w:val="0"/>
              <w:bidi w:val="0"/>
              <w:snapToGrid/>
              <w:spacing w:line="240" w:lineRule="auto"/>
              <w:jc w:val="center"/>
              <w:rPr>
                <w:rFonts w:hint="default" w:ascii="仿宋" w:hAnsi="仿宋" w:eastAsia="仿宋" w:cs="宋体"/>
                <w:sz w:val="20"/>
                <w:szCs w:val="20"/>
                <w:highlight w:val="none"/>
                <w:lang w:val="en-US"/>
              </w:rPr>
            </w:pPr>
            <w:r>
              <w:rPr>
                <w:rFonts w:hint="eastAsia" w:ascii="仿宋" w:hAnsi="仿宋" w:eastAsia="仿宋" w:cs="宋体"/>
                <w:sz w:val="20"/>
                <w:szCs w:val="20"/>
                <w:highlight w:val="none"/>
                <w:lang w:val="en-US" w:eastAsia="zh-CN"/>
              </w:rPr>
              <w:t>3年</w:t>
            </w:r>
          </w:p>
        </w:tc>
        <w:tc>
          <w:tcPr>
            <w:tcW w:w="2670" w:type="dxa"/>
            <w:noWrap w:val="0"/>
            <w:vAlign w:val="center"/>
          </w:tcPr>
          <w:p w14:paraId="5CB40D4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 xml:space="preserve"> 元</w:t>
            </w:r>
          </w:p>
        </w:tc>
      </w:tr>
      <w:tr w14:paraId="5CE91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9312" w:type="dxa"/>
            <w:gridSpan w:val="4"/>
            <w:noWrap w:val="0"/>
            <w:vAlign w:val="center"/>
          </w:tcPr>
          <w:p w14:paraId="71FF2FAD">
            <w:pPr>
              <w:keepNext w:val="0"/>
              <w:keepLines w:val="0"/>
              <w:pageBreakBefore w:val="0"/>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sz w:val="20"/>
                <w:szCs w:val="20"/>
                <w:highlight w:val="none"/>
              </w:rPr>
              <w:t>合同最高执行总价人民币：（小写）         元整      （大写）</w:t>
            </w:r>
          </w:p>
        </w:tc>
      </w:tr>
    </w:tbl>
    <w:p w14:paraId="32952F65">
      <w:pPr>
        <w:keepNext w:val="0"/>
        <w:keepLines w:val="0"/>
        <w:pageBreakBefore w:val="0"/>
        <w:tabs>
          <w:tab w:val="left" w:pos="1155"/>
        </w:tabs>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sz w:val="20"/>
          <w:szCs w:val="20"/>
          <w:highlight w:val="none"/>
        </w:rPr>
        <w:t>（二）分项价格</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1582"/>
        <w:gridCol w:w="2780"/>
        <w:gridCol w:w="1120"/>
        <w:gridCol w:w="972"/>
        <w:gridCol w:w="1080"/>
        <w:gridCol w:w="1080"/>
      </w:tblGrid>
      <w:tr w14:paraId="2735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6B911C26">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序号</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6E42B68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服务内容</w:t>
            </w:r>
          </w:p>
        </w:tc>
        <w:tc>
          <w:tcPr>
            <w:tcW w:w="2780" w:type="dxa"/>
            <w:tcBorders>
              <w:top w:val="single" w:color="auto" w:sz="4" w:space="0"/>
              <w:left w:val="single" w:color="auto" w:sz="4" w:space="0"/>
              <w:bottom w:val="single" w:color="auto" w:sz="4" w:space="0"/>
              <w:right w:val="single" w:color="auto" w:sz="4" w:space="0"/>
            </w:tcBorders>
            <w:noWrap w:val="0"/>
            <w:vAlign w:val="center"/>
          </w:tcPr>
          <w:p w14:paraId="16C70024">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服务范围</w:t>
            </w:r>
          </w:p>
        </w:tc>
        <w:tc>
          <w:tcPr>
            <w:tcW w:w="1120" w:type="dxa"/>
            <w:tcBorders>
              <w:top w:val="single" w:color="auto" w:sz="4" w:space="0"/>
              <w:left w:val="single" w:color="auto" w:sz="4" w:space="0"/>
              <w:bottom w:val="single" w:color="auto" w:sz="4" w:space="0"/>
              <w:right w:val="single" w:color="auto" w:sz="4" w:space="0"/>
            </w:tcBorders>
            <w:noWrap w:val="0"/>
            <w:vAlign w:val="center"/>
          </w:tcPr>
          <w:p w14:paraId="129E3DB3">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服务</w:t>
            </w:r>
          </w:p>
          <w:p w14:paraId="56E2001E">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次数</w:t>
            </w:r>
          </w:p>
        </w:tc>
        <w:tc>
          <w:tcPr>
            <w:tcW w:w="972" w:type="dxa"/>
            <w:tcBorders>
              <w:top w:val="single" w:color="auto" w:sz="4" w:space="0"/>
              <w:left w:val="single" w:color="auto" w:sz="4" w:space="0"/>
              <w:bottom w:val="single" w:color="auto" w:sz="4" w:space="0"/>
              <w:right w:val="single" w:color="auto" w:sz="4" w:space="0"/>
            </w:tcBorders>
            <w:noWrap w:val="0"/>
            <w:vAlign w:val="center"/>
          </w:tcPr>
          <w:p w14:paraId="6315C29C">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服务</w:t>
            </w:r>
          </w:p>
          <w:p w14:paraId="0271FA27">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时间</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FFD38D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单价</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D8EAF3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合计</w:t>
            </w:r>
          </w:p>
        </w:tc>
      </w:tr>
      <w:tr w14:paraId="382F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19D477D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67BC604E">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2BDEA246">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7CFA9E0F">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4898BE07">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A5BAE0B">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7343F4E3">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r w14:paraId="7D66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7949A824">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38FBE5B6">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72E63510">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7289A781">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15303D64">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B44B487">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212A86B">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r w14:paraId="0CB8B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31C589B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47481E68">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6122109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53B20326">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627D1EB9">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FDB30C1">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06472CB">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r w14:paraId="6DE7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0902A6BF">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039BBE50">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1203EFC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420CD98F">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5E8B5B6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8E1E723">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53D0ED99">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r w14:paraId="770CA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2653C5E3">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4EBFD7F6">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2780" w:type="dxa"/>
            <w:tcBorders>
              <w:top w:val="single" w:color="auto" w:sz="4" w:space="0"/>
              <w:left w:val="single" w:color="auto" w:sz="4" w:space="0"/>
              <w:bottom w:val="single" w:color="auto" w:sz="4" w:space="0"/>
              <w:right w:val="single" w:color="auto" w:sz="4" w:space="0"/>
            </w:tcBorders>
            <w:noWrap w:val="0"/>
            <w:vAlign w:val="center"/>
          </w:tcPr>
          <w:p w14:paraId="2F3F7F1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399638EB">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63D0605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4EAAC9A3">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001F3249">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r w14:paraId="2D37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63" w:type="dxa"/>
            <w:tcBorders>
              <w:top w:val="single" w:color="auto" w:sz="4" w:space="0"/>
              <w:left w:val="single" w:color="auto" w:sz="4" w:space="0"/>
              <w:bottom w:val="single" w:color="auto" w:sz="4" w:space="0"/>
              <w:right w:val="single" w:color="auto" w:sz="4" w:space="0"/>
            </w:tcBorders>
            <w:noWrap w:val="0"/>
            <w:vAlign w:val="center"/>
          </w:tcPr>
          <w:p w14:paraId="392A176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582" w:type="dxa"/>
            <w:tcBorders>
              <w:top w:val="single" w:color="auto" w:sz="4" w:space="0"/>
              <w:left w:val="single" w:color="auto" w:sz="4" w:space="0"/>
              <w:bottom w:val="single" w:color="auto" w:sz="4" w:space="0"/>
              <w:right w:val="single" w:color="auto" w:sz="4" w:space="0"/>
            </w:tcBorders>
            <w:noWrap w:val="0"/>
            <w:vAlign w:val="center"/>
          </w:tcPr>
          <w:p w14:paraId="36358FC2">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r>
              <w:rPr>
                <w:rFonts w:hint="eastAsia" w:ascii="仿宋" w:hAnsi="仿宋" w:eastAsia="仿宋" w:cs="宋体"/>
                <w:sz w:val="20"/>
                <w:szCs w:val="20"/>
                <w:highlight w:val="none"/>
              </w:rPr>
              <w:t>总合计</w:t>
            </w:r>
          </w:p>
        </w:tc>
        <w:tc>
          <w:tcPr>
            <w:tcW w:w="2780" w:type="dxa"/>
            <w:tcBorders>
              <w:top w:val="single" w:color="auto" w:sz="4" w:space="0"/>
              <w:left w:val="single" w:color="auto" w:sz="4" w:space="0"/>
              <w:bottom w:val="single" w:color="auto" w:sz="4" w:space="0"/>
              <w:right w:val="single" w:color="auto" w:sz="4" w:space="0"/>
            </w:tcBorders>
            <w:noWrap w:val="0"/>
            <w:vAlign w:val="center"/>
          </w:tcPr>
          <w:p w14:paraId="63D6B5ED">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120" w:type="dxa"/>
            <w:tcBorders>
              <w:top w:val="single" w:color="auto" w:sz="4" w:space="0"/>
              <w:left w:val="single" w:color="auto" w:sz="4" w:space="0"/>
              <w:bottom w:val="single" w:color="auto" w:sz="4" w:space="0"/>
              <w:right w:val="single" w:color="auto" w:sz="4" w:space="0"/>
            </w:tcBorders>
            <w:noWrap w:val="0"/>
            <w:vAlign w:val="center"/>
          </w:tcPr>
          <w:p w14:paraId="29A21BAA">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972" w:type="dxa"/>
            <w:tcBorders>
              <w:top w:val="single" w:color="auto" w:sz="4" w:space="0"/>
              <w:left w:val="single" w:color="auto" w:sz="4" w:space="0"/>
              <w:bottom w:val="single" w:color="auto" w:sz="4" w:space="0"/>
              <w:right w:val="single" w:color="auto" w:sz="4" w:space="0"/>
            </w:tcBorders>
            <w:noWrap w:val="0"/>
            <w:vAlign w:val="center"/>
          </w:tcPr>
          <w:p w14:paraId="05925328">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2395AE3E">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14:paraId="631ADB78">
            <w:pPr>
              <w:keepNext w:val="0"/>
              <w:keepLines w:val="0"/>
              <w:pageBreakBefore w:val="0"/>
              <w:wordWrap/>
              <w:overflowPunct/>
              <w:topLinePunct w:val="0"/>
              <w:bidi w:val="0"/>
              <w:snapToGrid/>
              <w:spacing w:line="240" w:lineRule="auto"/>
              <w:jc w:val="center"/>
              <w:rPr>
                <w:rFonts w:ascii="仿宋" w:hAnsi="仿宋" w:eastAsia="仿宋" w:cs="宋体"/>
                <w:sz w:val="20"/>
                <w:szCs w:val="20"/>
                <w:highlight w:val="none"/>
              </w:rPr>
            </w:pPr>
          </w:p>
        </w:tc>
      </w:tr>
    </w:tbl>
    <w:p w14:paraId="4340F5FA">
      <w:pPr>
        <w:keepNext w:val="0"/>
        <w:keepLines w:val="0"/>
        <w:pageBreakBefore w:val="0"/>
        <w:tabs>
          <w:tab w:val="left" w:pos="1155"/>
        </w:tabs>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二、服务期</w:t>
      </w:r>
    </w:p>
    <w:p w14:paraId="683A0545">
      <w:pPr>
        <w:keepNext w:val="0"/>
        <w:keepLines w:val="0"/>
        <w:pageBreakBefore w:val="0"/>
        <w:wordWrap/>
        <w:overflowPunct/>
        <w:topLinePunct w:val="0"/>
        <w:bidi w:val="0"/>
        <w:snapToGrid/>
        <w:spacing w:line="240" w:lineRule="auto"/>
        <w:ind w:firstLine="602"/>
        <w:contextualSpacing/>
        <w:rPr>
          <w:rFonts w:ascii="仿宋" w:hAnsi="仿宋" w:eastAsia="仿宋" w:cs="宋体"/>
          <w:sz w:val="20"/>
          <w:szCs w:val="20"/>
          <w:highlight w:val="none"/>
        </w:rPr>
      </w:pPr>
      <w:r>
        <w:rPr>
          <w:rFonts w:hint="eastAsia" w:ascii="仿宋" w:hAnsi="仿宋" w:eastAsia="仿宋" w:cs="宋体"/>
          <w:sz w:val="20"/>
          <w:szCs w:val="20"/>
          <w:highlight w:val="none"/>
        </w:rPr>
        <w:t>自合同签订之日起三年内。（根据项目情况无法明确具体时间的项目）</w:t>
      </w:r>
    </w:p>
    <w:p w14:paraId="5C7CDC1D">
      <w:pPr>
        <w:keepNext w:val="0"/>
        <w:keepLines w:val="0"/>
        <w:pageBreakBefore w:val="0"/>
        <w:tabs>
          <w:tab w:val="left" w:pos="5971"/>
        </w:tabs>
        <w:kinsoku w:val="0"/>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三、服务地点</w:t>
      </w:r>
    </w:p>
    <w:p w14:paraId="374B799A">
      <w:pPr>
        <w:keepNext w:val="0"/>
        <w:keepLines w:val="0"/>
        <w:pageBreakBefore w:val="0"/>
        <w:tabs>
          <w:tab w:val="left" w:pos="5971"/>
        </w:tabs>
        <w:kinsoku w:val="0"/>
        <w:wordWrap/>
        <w:overflowPunct/>
        <w:topLinePunct w:val="0"/>
        <w:bidi w:val="0"/>
        <w:snapToGrid/>
        <w:spacing w:line="240" w:lineRule="auto"/>
        <w:ind w:firstLine="602"/>
        <w:rPr>
          <w:rFonts w:ascii="仿宋" w:hAnsi="仿宋" w:eastAsia="仿宋" w:cs="宋体"/>
          <w:sz w:val="20"/>
          <w:szCs w:val="20"/>
          <w:highlight w:val="none"/>
        </w:rPr>
      </w:pPr>
      <w:r>
        <w:rPr>
          <w:rFonts w:hint="eastAsia" w:ascii="仿宋" w:hAnsi="仿宋" w:eastAsia="仿宋" w:cs="宋体"/>
          <w:sz w:val="20"/>
          <w:szCs w:val="20"/>
          <w:highlight w:val="none"/>
        </w:rPr>
        <w:t>服务地点：甲方指定地点。</w:t>
      </w:r>
    </w:p>
    <w:p w14:paraId="1F39A5F9">
      <w:pPr>
        <w:keepNext w:val="0"/>
        <w:keepLines w:val="0"/>
        <w:pageBreakBefore w:val="0"/>
        <w:tabs>
          <w:tab w:val="left" w:pos="480"/>
        </w:tabs>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四、合同价款</w:t>
      </w:r>
    </w:p>
    <w:p w14:paraId="52648954">
      <w:pPr>
        <w:keepNext w:val="0"/>
        <w:keepLines w:val="0"/>
        <w:pageBreakBefore w:val="0"/>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（一）合同最高</w:t>
      </w:r>
      <w:r>
        <w:rPr>
          <w:rFonts w:hint="eastAsia" w:ascii="仿宋" w:hAnsi="仿宋" w:eastAsia="仿宋" w:cs="宋体"/>
          <w:sz w:val="20"/>
          <w:szCs w:val="20"/>
          <w:highlight w:val="none"/>
        </w:rPr>
        <w:t>执行总价</w:t>
      </w:r>
      <w:r>
        <w:rPr>
          <w:rFonts w:hint="eastAsia" w:ascii="仿宋" w:hAnsi="仿宋" w:eastAsia="仿宋" w:cs="宋体"/>
          <w:bCs/>
          <w:sz w:val="20"/>
          <w:szCs w:val="20"/>
          <w:highlight w:val="none"/>
        </w:rPr>
        <w:t>人民币：</w:t>
      </w:r>
      <w:r>
        <w:rPr>
          <w:rFonts w:hint="eastAsia" w:ascii="仿宋" w:hAnsi="仿宋" w:eastAsia="仿宋" w:cs="宋体"/>
          <w:sz w:val="20"/>
          <w:szCs w:val="20"/>
          <w:highlight w:val="none"/>
        </w:rPr>
        <w:t>（小写）</w:t>
      </w:r>
      <w:r>
        <w:rPr>
          <w:rFonts w:hint="eastAsia" w:ascii="仿宋" w:hAnsi="仿宋" w:eastAsia="仿宋" w:cs="宋体"/>
          <w:sz w:val="20"/>
          <w:szCs w:val="20"/>
          <w:highlight w:val="none"/>
          <w:u w:val="single"/>
        </w:rPr>
        <w:t xml:space="preserve">     </w:t>
      </w:r>
      <w:r>
        <w:rPr>
          <w:rFonts w:hint="eastAsia" w:ascii="仿宋" w:hAnsi="仿宋" w:eastAsia="仿宋" w:cs="宋体"/>
          <w:sz w:val="20"/>
          <w:szCs w:val="20"/>
          <w:highlight w:val="none"/>
        </w:rPr>
        <w:t>（大写）</w:t>
      </w:r>
      <w:r>
        <w:rPr>
          <w:rFonts w:hint="eastAsia" w:ascii="仿宋" w:hAnsi="仿宋" w:eastAsia="仿宋" w:cs="宋体"/>
          <w:sz w:val="20"/>
          <w:szCs w:val="20"/>
          <w:highlight w:val="none"/>
          <w:u w:val="single"/>
        </w:rPr>
        <w:t xml:space="preserve">            </w:t>
      </w:r>
      <w:r>
        <w:rPr>
          <w:rFonts w:hint="eastAsia" w:ascii="仿宋" w:hAnsi="仿宋" w:eastAsia="仿宋" w:cs="宋体"/>
          <w:sz w:val="20"/>
          <w:szCs w:val="20"/>
          <w:highlight w:val="none"/>
        </w:rPr>
        <w:t xml:space="preserve"> 。</w:t>
      </w:r>
    </w:p>
    <w:p w14:paraId="6B6AAE0E">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（二）合同</w:t>
      </w:r>
      <w:r>
        <w:rPr>
          <w:rFonts w:hint="eastAsia" w:ascii="仿宋" w:hAnsi="仿宋" w:eastAsia="仿宋" w:cs="宋体"/>
          <w:bCs/>
          <w:color w:val="FF0000"/>
          <w:sz w:val="20"/>
          <w:szCs w:val="20"/>
          <w:highlight w:val="none"/>
          <w:lang w:val="en-US" w:eastAsia="zh-CN"/>
        </w:rPr>
        <w:t>总</w:t>
      </w:r>
      <w:r>
        <w:rPr>
          <w:rFonts w:hint="eastAsia" w:ascii="仿宋" w:hAnsi="仿宋" w:eastAsia="仿宋" w:cs="宋体"/>
          <w:bCs/>
          <w:sz w:val="20"/>
          <w:szCs w:val="20"/>
          <w:highlight w:val="none"/>
        </w:rPr>
        <w:t>价包括：服务响应报价为提供磋商文件要求服务的</w:t>
      </w:r>
      <w:r>
        <w:rPr>
          <w:rFonts w:hint="eastAsia" w:ascii="仿宋" w:hAnsi="仿宋" w:eastAsia="仿宋" w:cs="宋体"/>
          <w:bCs/>
          <w:sz w:val="20"/>
          <w:szCs w:val="20"/>
          <w:highlight w:val="none"/>
          <w:lang w:eastAsia="zh-CN"/>
        </w:rPr>
        <w:t>全部</w:t>
      </w:r>
      <w:r>
        <w:rPr>
          <w:rFonts w:hint="eastAsia" w:ascii="仿宋" w:hAnsi="仿宋" w:eastAsia="仿宋" w:cs="宋体"/>
          <w:bCs/>
          <w:sz w:val="20"/>
          <w:szCs w:val="20"/>
          <w:highlight w:val="none"/>
        </w:rPr>
        <w:t>费用，包括但不限于人员工资、备品备件等其他</w:t>
      </w:r>
      <w:r>
        <w:rPr>
          <w:rFonts w:hint="eastAsia" w:ascii="仿宋" w:hAnsi="仿宋" w:eastAsia="仿宋" w:cs="宋体"/>
          <w:bCs/>
          <w:sz w:val="20"/>
          <w:szCs w:val="20"/>
          <w:highlight w:val="none"/>
          <w:lang w:val="en-US" w:eastAsia="zh-CN"/>
        </w:rPr>
        <w:t>全部</w:t>
      </w:r>
      <w:r>
        <w:rPr>
          <w:rFonts w:hint="eastAsia" w:ascii="仿宋" w:hAnsi="仿宋" w:eastAsia="仿宋" w:cs="宋体"/>
          <w:bCs/>
          <w:sz w:val="20"/>
          <w:szCs w:val="20"/>
          <w:highlight w:val="none"/>
        </w:rPr>
        <w:t>费用。</w:t>
      </w:r>
    </w:p>
    <w:p w14:paraId="7A744EB9">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（三）合同金额一次性包死，不受市场价格变化等因素的影响。</w:t>
      </w:r>
    </w:p>
    <w:p w14:paraId="723762AA">
      <w:pPr>
        <w:keepNext w:val="0"/>
        <w:keepLines w:val="0"/>
        <w:pageBreakBefore w:val="0"/>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五、款项结算：</w:t>
      </w:r>
    </w:p>
    <w:p w14:paraId="0BC73A37">
      <w:pPr>
        <w:keepNext w:val="0"/>
        <w:keepLines w:val="0"/>
        <w:pageBreakBefore w:val="0"/>
        <w:wordWrap/>
        <w:overflowPunct/>
        <w:topLinePunct w:val="0"/>
        <w:bidi w:val="0"/>
        <w:snapToGrid/>
        <w:spacing w:line="240" w:lineRule="auto"/>
        <w:ind w:firstLine="400" w:firstLineChars="200"/>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（一）付款方式：</w:t>
      </w:r>
    </w:p>
    <w:p w14:paraId="5E9D61B7">
      <w:pPr>
        <w:keepNext w:val="0"/>
        <w:keepLines w:val="0"/>
        <w:pageBreakBefore w:val="0"/>
        <w:wordWrap/>
        <w:overflowPunct/>
        <w:topLinePunct w:val="0"/>
        <w:bidi w:val="0"/>
        <w:snapToGrid/>
        <w:spacing w:line="240" w:lineRule="auto"/>
        <w:ind w:firstLine="200" w:firstLineChars="100"/>
        <w:rPr>
          <w:rFonts w:ascii="仿宋" w:hAnsi="仿宋" w:eastAsia="仿宋" w:cs="宋体"/>
          <w:sz w:val="20"/>
          <w:szCs w:val="20"/>
          <w:highlight w:val="none"/>
        </w:rPr>
      </w:pPr>
      <w:r>
        <w:rPr>
          <w:rFonts w:hint="eastAsia" w:ascii="仿宋" w:hAnsi="仿宋" w:eastAsia="仿宋" w:cs="宋体"/>
          <w:sz w:val="20"/>
          <w:szCs w:val="20"/>
          <w:highlight w:val="none"/>
        </w:rPr>
        <w:t xml:space="preserve">   1.1履约保证金的收取与退还：</w:t>
      </w:r>
    </w:p>
    <w:p w14:paraId="5DBEFED6">
      <w:pPr>
        <w:keepNext w:val="0"/>
        <w:keepLines w:val="0"/>
        <w:pageBreakBefore w:val="0"/>
        <w:numPr>
          <w:ilvl w:val="0"/>
          <w:numId w:val="2"/>
        </w:numPr>
        <w:wordWrap/>
        <w:overflowPunct/>
        <w:topLinePunct w:val="0"/>
        <w:bidi w:val="0"/>
        <w:snapToGrid/>
        <w:spacing w:line="240" w:lineRule="auto"/>
        <w:ind w:firstLine="400" w:firstLineChars="200"/>
        <w:rPr>
          <w:rFonts w:hint="eastAsia" w:ascii="仿宋" w:hAnsi="仿宋" w:eastAsia="仿宋" w:cs="仿宋"/>
          <w:i w:val="0"/>
          <w:iCs w:val="0"/>
          <w:caps w:val="0"/>
          <w:color w:val="auto"/>
          <w:spacing w:val="0"/>
          <w:sz w:val="20"/>
          <w:szCs w:val="20"/>
          <w:highlight w:val="none"/>
          <w:shd w:val="clear" w:color="auto" w:fill="FFFFFF"/>
        </w:rPr>
      </w:pPr>
      <w:r>
        <w:rPr>
          <w:rFonts w:hint="eastAsia" w:ascii="仿宋" w:hAnsi="仿宋" w:eastAsia="仿宋" w:cs="仿宋"/>
          <w:i w:val="0"/>
          <w:iCs w:val="0"/>
          <w:caps w:val="0"/>
          <w:color w:val="auto"/>
          <w:spacing w:val="0"/>
          <w:sz w:val="20"/>
          <w:szCs w:val="20"/>
          <w:highlight w:val="none"/>
          <w:shd w:val="clear" w:color="auto" w:fill="FFFFFF"/>
        </w:rPr>
        <w:t>履约保证金收取与退还：乙方应当在中标通知书领取后五个工作日内将项目履约保证金（包预算总金额的 5%）转账至甲方基本户,未按照招标文件要求按时足额缴纳履约保证金的，甲方将取消乙方中标资格，且无需承担任何责任，甲方可重新组织招标活动。服务期满</w:t>
      </w:r>
      <w:r>
        <w:rPr>
          <w:rFonts w:hint="eastAsia" w:ascii="仿宋" w:hAnsi="仿宋" w:eastAsia="仿宋" w:cs="仿宋"/>
          <w:i w:val="0"/>
          <w:iCs w:val="0"/>
          <w:caps w:val="0"/>
          <w:color w:val="FF0000"/>
          <w:spacing w:val="0"/>
          <w:sz w:val="20"/>
          <w:szCs w:val="20"/>
          <w:highlight w:val="none"/>
          <w:shd w:val="clear" w:color="auto" w:fill="FFFFFF"/>
          <w:lang w:val="en-US" w:eastAsia="zh-CN"/>
        </w:rPr>
        <w:t>一</w:t>
      </w:r>
      <w:r>
        <w:rPr>
          <w:rFonts w:hint="eastAsia" w:ascii="仿宋" w:hAnsi="仿宋" w:eastAsia="仿宋" w:cs="仿宋"/>
          <w:i w:val="0"/>
          <w:iCs w:val="0"/>
          <w:caps w:val="0"/>
          <w:color w:val="auto"/>
          <w:spacing w:val="0"/>
          <w:sz w:val="20"/>
          <w:szCs w:val="20"/>
          <w:highlight w:val="none"/>
          <w:shd w:val="clear" w:color="auto" w:fill="FFFFFF"/>
        </w:rPr>
        <w:t>年无质量问题后，无息退还履约保证金。 甲方基本户户名：西安市红会医院账号：102407334632 开户行：中行西安长安路支行 注：转账请注明用途</w:t>
      </w:r>
    </w:p>
    <w:p w14:paraId="78C80614">
      <w:pPr>
        <w:keepNext w:val="0"/>
        <w:keepLines w:val="0"/>
        <w:pageBreakBefore w:val="0"/>
        <w:numPr>
          <w:ilvl w:val="0"/>
          <w:numId w:val="0"/>
        </w:numPr>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仿宋"/>
          <w:sz w:val="20"/>
          <w:szCs w:val="20"/>
          <w:highlight w:val="none"/>
        </w:rPr>
        <w:t>（</w:t>
      </w:r>
      <w:r>
        <w:rPr>
          <w:rFonts w:ascii="仿宋" w:hAnsi="仿宋" w:eastAsia="仿宋" w:cs="宋体"/>
          <w:sz w:val="20"/>
          <w:szCs w:val="20"/>
          <w:highlight w:val="none"/>
        </w:rPr>
        <w:t>2</w:t>
      </w:r>
      <w:r>
        <w:rPr>
          <w:rFonts w:hint="eastAsia" w:ascii="仿宋" w:hAnsi="仿宋" w:eastAsia="仿宋" w:cs="宋体"/>
          <w:sz w:val="20"/>
          <w:szCs w:val="20"/>
          <w:highlight w:val="none"/>
        </w:rPr>
        <w:t>）招标方基本户：</w:t>
      </w:r>
    </w:p>
    <w:p w14:paraId="4B3A27BD">
      <w:pPr>
        <w:keepNext w:val="0"/>
        <w:keepLines w:val="0"/>
        <w:pageBreakBefore w:val="0"/>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宋体"/>
          <w:sz w:val="20"/>
          <w:szCs w:val="20"/>
          <w:highlight w:val="none"/>
        </w:rPr>
        <w:t>户名：西安市红会医院</w:t>
      </w:r>
    </w:p>
    <w:p w14:paraId="082D5D5B">
      <w:pPr>
        <w:keepNext w:val="0"/>
        <w:keepLines w:val="0"/>
        <w:pageBreakBefore w:val="0"/>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宋体"/>
          <w:sz w:val="20"/>
          <w:szCs w:val="20"/>
          <w:highlight w:val="none"/>
        </w:rPr>
        <w:t>账号：</w:t>
      </w:r>
      <w:r>
        <w:rPr>
          <w:rFonts w:ascii="仿宋" w:hAnsi="仿宋" w:eastAsia="仿宋" w:cs="宋体"/>
          <w:sz w:val="20"/>
          <w:szCs w:val="20"/>
          <w:highlight w:val="none"/>
        </w:rPr>
        <w:t>102407334632</w:t>
      </w:r>
    </w:p>
    <w:p w14:paraId="3EA7F5B8">
      <w:pPr>
        <w:keepNext w:val="0"/>
        <w:keepLines w:val="0"/>
        <w:pageBreakBefore w:val="0"/>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宋体"/>
          <w:sz w:val="20"/>
          <w:szCs w:val="20"/>
          <w:highlight w:val="none"/>
        </w:rPr>
        <w:t>开户行：中行西安长安路支行</w:t>
      </w:r>
    </w:p>
    <w:p w14:paraId="4C35E5F0">
      <w:pPr>
        <w:keepNext w:val="0"/>
        <w:keepLines w:val="0"/>
        <w:pageBreakBefore w:val="0"/>
        <w:wordWrap/>
        <w:overflowPunct/>
        <w:topLinePunct w:val="0"/>
        <w:bidi w:val="0"/>
        <w:snapToGrid/>
        <w:spacing w:line="240" w:lineRule="auto"/>
        <w:ind w:firstLine="400" w:firstLineChars="200"/>
        <w:rPr>
          <w:rFonts w:ascii="仿宋" w:hAnsi="仿宋" w:eastAsia="仿宋" w:cs="宋体"/>
          <w:sz w:val="20"/>
          <w:szCs w:val="20"/>
          <w:highlight w:val="none"/>
        </w:rPr>
      </w:pPr>
      <w:r>
        <w:rPr>
          <w:rFonts w:hint="eastAsia" w:ascii="仿宋" w:hAnsi="仿宋" w:eastAsia="仿宋" w:cs="宋体"/>
          <w:sz w:val="20"/>
          <w:szCs w:val="20"/>
          <w:highlight w:val="none"/>
        </w:rPr>
        <w:t>转账请注明用途</w:t>
      </w:r>
    </w:p>
    <w:p w14:paraId="63C93D7C">
      <w:pPr>
        <w:keepNext w:val="0"/>
        <w:keepLines w:val="0"/>
        <w:pageBreakBefore w:val="0"/>
        <w:wordWrap/>
        <w:overflowPunct/>
        <w:topLinePunct w:val="0"/>
        <w:bidi w:val="0"/>
        <w:snapToGrid/>
        <w:spacing w:line="240" w:lineRule="auto"/>
        <w:ind w:firstLine="400" w:firstLineChars="200"/>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w:t>
      </w:r>
      <w:r>
        <w:rPr>
          <w:rFonts w:hint="eastAsia" w:ascii="仿宋" w:hAnsi="仿宋" w:eastAsia="仿宋" w:cs="宋体"/>
          <w:bCs/>
          <w:kern w:val="36"/>
          <w:sz w:val="20"/>
          <w:szCs w:val="20"/>
          <w:highlight w:val="none"/>
          <w:lang w:val="en-US" w:eastAsia="zh-CN"/>
        </w:rPr>
        <w:t>3</w:t>
      </w:r>
      <w:r>
        <w:rPr>
          <w:rFonts w:hint="eastAsia" w:ascii="仿宋" w:hAnsi="仿宋" w:eastAsia="仿宋" w:cs="宋体"/>
          <w:bCs/>
          <w:kern w:val="36"/>
          <w:sz w:val="20"/>
          <w:szCs w:val="20"/>
          <w:highlight w:val="none"/>
        </w:rPr>
        <w:t>）支付方式：银行转账。</w:t>
      </w:r>
    </w:p>
    <w:p w14:paraId="77C3EDF8">
      <w:pPr>
        <w:keepNext w:val="0"/>
        <w:keepLines w:val="0"/>
        <w:pageBreakBefore w:val="0"/>
        <w:wordWrap/>
        <w:overflowPunct/>
        <w:topLinePunct w:val="0"/>
        <w:bidi w:val="0"/>
        <w:snapToGrid/>
        <w:spacing w:line="240" w:lineRule="auto"/>
        <w:ind w:firstLine="400" w:firstLineChars="200"/>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乙方确认以下信息为收款信息：</w:t>
      </w:r>
    </w:p>
    <w:p w14:paraId="0EE7C530">
      <w:pPr>
        <w:keepNext w:val="0"/>
        <w:keepLines w:val="0"/>
        <w:pageBreakBefore w:val="0"/>
        <w:wordWrap/>
        <w:overflowPunct/>
        <w:topLinePunct w:val="0"/>
        <w:bidi w:val="0"/>
        <w:snapToGrid/>
        <w:spacing w:line="240" w:lineRule="auto"/>
        <w:ind w:firstLine="400" w:firstLineChars="200"/>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开户名：</w:t>
      </w:r>
    </w:p>
    <w:p w14:paraId="69FECA04">
      <w:pPr>
        <w:keepNext w:val="0"/>
        <w:keepLines w:val="0"/>
        <w:pageBreakBefore w:val="0"/>
        <w:wordWrap/>
        <w:overflowPunct/>
        <w:topLinePunct w:val="0"/>
        <w:bidi w:val="0"/>
        <w:snapToGrid/>
        <w:spacing w:line="240" w:lineRule="auto"/>
        <w:ind w:firstLine="400" w:firstLineChars="200"/>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开户行：</w:t>
      </w:r>
    </w:p>
    <w:p w14:paraId="66CA5766">
      <w:pPr>
        <w:keepNext w:val="0"/>
        <w:keepLines w:val="0"/>
        <w:pageBreakBefore w:val="0"/>
        <w:wordWrap/>
        <w:overflowPunct/>
        <w:topLinePunct w:val="0"/>
        <w:bidi w:val="0"/>
        <w:snapToGrid/>
        <w:spacing w:line="240" w:lineRule="auto"/>
        <w:ind w:firstLine="392" w:firstLineChars="196"/>
        <w:rPr>
          <w:rFonts w:ascii="仿宋" w:hAnsi="仿宋" w:eastAsia="仿宋" w:cs="宋体"/>
          <w:bCs/>
          <w:kern w:val="36"/>
          <w:sz w:val="20"/>
          <w:szCs w:val="20"/>
          <w:highlight w:val="none"/>
        </w:rPr>
      </w:pPr>
      <w:r>
        <w:rPr>
          <w:rFonts w:hint="eastAsia" w:ascii="仿宋" w:hAnsi="仿宋" w:eastAsia="仿宋" w:cs="宋体"/>
          <w:bCs/>
          <w:kern w:val="36"/>
          <w:sz w:val="20"/>
          <w:szCs w:val="20"/>
          <w:highlight w:val="none"/>
        </w:rPr>
        <w:t>账号：</w:t>
      </w:r>
    </w:p>
    <w:p w14:paraId="6B8AECB7">
      <w:pPr>
        <w:keepNext w:val="0"/>
        <w:keepLines w:val="0"/>
        <w:pageBreakBefore w:val="0"/>
        <w:numPr>
          <w:ilvl w:val="0"/>
          <w:numId w:val="0"/>
        </w:numPr>
        <w:tabs>
          <w:tab w:val="left" w:pos="1155"/>
        </w:tabs>
        <w:wordWrap/>
        <w:overflowPunct/>
        <w:topLinePunct w:val="0"/>
        <w:bidi w:val="0"/>
        <w:snapToGrid/>
        <w:spacing w:line="240" w:lineRule="auto"/>
        <w:ind w:firstLine="400" w:firstLineChars="200"/>
        <w:rPr>
          <w:rFonts w:hint="eastAsia" w:ascii="仿宋" w:hAnsi="仿宋" w:eastAsia="仿宋" w:cs="仿宋"/>
          <w:bCs/>
          <w:kern w:val="36"/>
          <w:sz w:val="20"/>
          <w:szCs w:val="20"/>
          <w:highlight w:val="none"/>
        </w:rPr>
      </w:pPr>
      <w:r>
        <w:rPr>
          <w:rFonts w:hint="eastAsia" w:ascii="仿宋" w:hAnsi="仿宋" w:eastAsia="仿宋" w:cs="宋体"/>
          <w:bCs/>
          <w:kern w:val="36"/>
          <w:sz w:val="20"/>
          <w:szCs w:val="20"/>
          <w:highlight w:val="none"/>
          <w:lang w:eastAsia="zh-CN"/>
        </w:rPr>
        <w:t>（二）支付</w:t>
      </w:r>
      <w:r>
        <w:rPr>
          <w:rFonts w:hint="eastAsia" w:ascii="仿宋" w:hAnsi="仿宋" w:eastAsia="仿宋" w:cs="宋体"/>
          <w:bCs/>
          <w:kern w:val="36"/>
          <w:sz w:val="20"/>
          <w:szCs w:val="20"/>
          <w:highlight w:val="none"/>
        </w:rPr>
        <w:t>方式：</w:t>
      </w:r>
      <w:r>
        <w:rPr>
          <w:rFonts w:hint="eastAsia" w:ascii="仿宋" w:hAnsi="仿宋" w:eastAsia="仿宋" w:cs="仿宋"/>
          <w:color w:val="auto"/>
          <w:kern w:val="2"/>
          <w:sz w:val="20"/>
          <w:szCs w:val="20"/>
          <w:highlight w:val="none"/>
          <w:lang w:val="en-US" w:eastAsia="zh-CN" w:bidi="ar-SA"/>
        </w:rPr>
        <w:t>分六期付款，每执行半年验收合格后，支付当年合同款的50%。</w:t>
      </w:r>
    </w:p>
    <w:p w14:paraId="3274BFC6">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宋体"/>
          <w:bCs/>
          <w:kern w:val="36"/>
          <w:sz w:val="20"/>
          <w:szCs w:val="20"/>
          <w:highlight w:val="none"/>
          <w:lang w:val="en-US" w:eastAsia="zh-CN"/>
        </w:rPr>
        <w:t xml:space="preserve">    </w:t>
      </w:r>
      <w:r>
        <w:rPr>
          <w:rFonts w:hint="eastAsia" w:ascii="仿宋" w:hAnsi="仿宋" w:eastAsia="仿宋" w:cs="仿宋"/>
          <w:bCs/>
          <w:kern w:val="36"/>
          <w:sz w:val="20"/>
          <w:szCs w:val="20"/>
          <w:highlight w:val="none"/>
          <w:lang w:val="en-US" w:eastAsia="zh-CN"/>
        </w:rPr>
        <w:t xml:space="preserve"> </w:t>
      </w:r>
      <w:r>
        <w:rPr>
          <w:rFonts w:hint="eastAsia" w:ascii="仿宋" w:hAnsi="仿宋" w:eastAsia="仿宋" w:cs="仿宋"/>
          <w:color w:val="000000"/>
          <w:sz w:val="20"/>
          <w:szCs w:val="20"/>
          <w:highlight w:val="none"/>
        </w:rPr>
        <w:t xml:space="preserve">第 一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日之前，向乙方支付第一期合同款即人民币（大写）： 元整 （小写￥ 元)；</w:t>
      </w:r>
    </w:p>
    <w:p w14:paraId="73539F98">
      <w:pPr>
        <w:keepNext w:val="0"/>
        <w:keepLines w:val="0"/>
        <w:pageBreakBefore w:val="0"/>
        <w:wordWrap/>
        <w:overflowPunct/>
        <w:topLinePunct w:val="0"/>
        <w:bidi w:val="0"/>
        <w:snapToGrid/>
        <w:spacing w:line="240" w:lineRule="auto"/>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第 二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日之前，向乙方支付第二期合同款即人民币（大</w:t>
      </w:r>
    </w:p>
    <w:p w14:paraId="4D44B9A9">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写） 元整 （小写￥ 元)；</w:t>
      </w:r>
    </w:p>
    <w:p w14:paraId="53AD98DB">
      <w:pPr>
        <w:keepNext w:val="0"/>
        <w:keepLines w:val="0"/>
        <w:pageBreakBefore w:val="0"/>
        <w:wordWrap/>
        <w:overflowPunct/>
        <w:topLinePunct w:val="0"/>
        <w:bidi w:val="0"/>
        <w:snapToGrid/>
        <w:spacing w:line="240" w:lineRule="auto"/>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第 三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日之前，向乙方支付第三期合同款即人民币（大</w:t>
      </w:r>
    </w:p>
    <w:p w14:paraId="3BF492D5">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写）： 元整 （小写￥ 元)；</w:t>
      </w:r>
    </w:p>
    <w:p w14:paraId="52F60D18">
      <w:pPr>
        <w:keepNext w:val="0"/>
        <w:keepLines w:val="0"/>
        <w:pageBreakBefore w:val="0"/>
        <w:wordWrap/>
        <w:overflowPunct/>
        <w:topLinePunct w:val="0"/>
        <w:bidi w:val="0"/>
        <w:snapToGrid/>
        <w:spacing w:line="240" w:lineRule="auto"/>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第 四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日之前，向乙方支付第四期合同款即人民币</w:t>
      </w:r>
    </w:p>
    <w:p w14:paraId="1D269257">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（大写）： 元整 （小写￥ 元)；</w:t>
      </w:r>
    </w:p>
    <w:p w14:paraId="64388348">
      <w:pPr>
        <w:keepNext w:val="0"/>
        <w:keepLines w:val="0"/>
        <w:pageBreakBefore w:val="0"/>
        <w:wordWrap/>
        <w:overflowPunct/>
        <w:topLinePunct w:val="0"/>
        <w:bidi w:val="0"/>
        <w:snapToGrid/>
        <w:spacing w:line="240" w:lineRule="auto"/>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第 五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日之前，向乙方支付第五期合同款即人民币（大</w:t>
      </w:r>
    </w:p>
    <w:p w14:paraId="7E8A2176">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写）：贰 元整 （小写￥ 元)；</w:t>
      </w:r>
    </w:p>
    <w:p w14:paraId="6F6C7C41">
      <w:pPr>
        <w:keepNext w:val="0"/>
        <w:keepLines w:val="0"/>
        <w:pageBreakBefore w:val="0"/>
        <w:wordWrap/>
        <w:overflowPunct/>
        <w:topLinePunct w:val="0"/>
        <w:bidi w:val="0"/>
        <w:snapToGrid/>
        <w:spacing w:line="240" w:lineRule="auto"/>
        <w:ind w:firstLine="400" w:firstLineChars="200"/>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 xml:space="preserve">第 六 期 ：甲方应在  </w:t>
      </w:r>
      <w:r>
        <w:rPr>
          <w:rFonts w:hint="eastAsia" w:ascii="仿宋" w:hAnsi="仿宋" w:eastAsia="仿宋" w:cs="仿宋"/>
          <w:color w:val="000000"/>
          <w:sz w:val="20"/>
          <w:szCs w:val="20"/>
          <w:highlight w:val="none"/>
          <w:lang w:val="en-US" w:eastAsia="zh-CN"/>
        </w:rPr>
        <w:t xml:space="preserve">   </w:t>
      </w:r>
      <w:r>
        <w:rPr>
          <w:rFonts w:hint="eastAsia" w:ascii="仿宋" w:hAnsi="仿宋" w:eastAsia="仿宋" w:cs="仿宋"/>
          <w:color w:val="000000"/>
          <w:sz w:val="20"/>
          <w:szCs w:val="20"/>
          <w:highlight w:val="none"/>
        </w:rPr>
        <w:t xml:space="preserve"> 年 月 日之前，向乙方支付第六期合同款即人民币</w:t>
      </w:r>
    </w:p>
    <w:p w14:paraId="3E85DEB3">
      <w:pPr>
        <w:keepNext w:val="0"/>
        <w:keepLines w:val="0"/>
        <w:pageBreakBefore w:val="0"/>
        <w:wordWrap/>
        <w:overflowPunct/>
        <w:topLinePunct w:val="0"/>
        <w:bidi w:val="0"/>
        <w:snapToGrid/>
        <w:spacing w:line="24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（大写）： 元整 （小写￥ 元)；</w:t>
      </w:r>
    </w:p>
    <w:p w14:paraId="50B38BD4">
      <w:pPr>
        <w:keepNext w:val="0"/>
        <w:keepLines w:val="0"/>
        <w:pageBreakBefore w:val="0"/>
        <w:numPr>
          <w:ilvl w:val="0"/>
          <w:numId w:val="0"/>
        </w:numPr>
        <w:tabs>
          <w:tab w:val="left" w:pos="1155"/>
        </w:tabs>
        <w:wordWrap/>
        <w:overflowPunct/>
        <w:topLinePunct w:val="0"/>
        <w:bidi w:val="0"/>
        <w:snapToGrid/>
        <w:spacing w:line="240" w:lineRule="auto"/>
        <w:rPr>
          <w:rFonts w:hint="default" w:ascii="仿宋" w:hAnsi="仿宋" w:eastAsia="仿宋" w:cs="宋体"/>
          <w:bCs/>
          <w:kern w:val="36"/>
          <w:sz w:val="20"/>
          <w:szCs w:val="20"/>
          <w:highlight w:val="none"/>
          <w:lang w:val="en-US" w:eastAsia="zh-CN"/>
        </w:rPr>
      </w:pPr>
    </w:p>
    <w:p w14:paraId="26DE5950">
      <w:pPr>
        <w:keepNext w:val="0"/>
        <w:keepLines w:val="0"/>
        <w:pageBreakBefore w:val="0"/>
        <w:numPr>
          <w:ilvl w:val="0"/>
          <w:numId w:val="3"/>
        </w:numPr>
        <w:tabs>
          <w:tab w:val="left" w:pos="1155"/>
        </w:tabs>
        <w:wordWrap/>
        <w:overflowPunct/>
        <w:topLinePunct w:val="0"/>
        <w:bidi w:val="0"/>
        <w:snapToGrid/>
        <w:spacing w:line="240" w:lineRule="auto"/>
        <w:ind w:firstLine="400" w:firstLineChars="200"/>
        <w:rPr>
          <w:rFonts w:hint="default" w:ascii="仿宋" w:hAnsi="仿宋" w:eastAsia="仿宋" w:cs="宋体"/>
          <w:b/>
          <w:sz w:val="20"/>
          <w:szCs w:val="20"/>
          <w:highlight w:val="none"/>
          <w:lang w:val="en-US" w:eastAsia="zh-CN"/>
        </w:rPr>
      </w:pPr>
      <w:r>
        <w:rPr>
          <w:rFonts w:hint="eastAsia" w:ascii="仿宋" w:hAnsi="仿宋" w:eastAsia="仿宋" w:cs="宋体"/>
          <w:bCs/>
          <w:kern w:val="36"/>
          <w:sz w:val="20"/>
          <w:szCs w:val="20"/>
          <w:highlight w:val="none"/>
          <w:lang w:val="en-US" w:eastAsia="zh-CN"/>
        </w:rPr>
        <w:t>支付条件：乙方提供验收单，经主管科室、使用科室签字验收后。</w:t>
      </w:r>
    </w:p>
    <w:p w14:paraId="7EBFA13D">
      <w:pPr>
        <w:keepNext w:val="0"/>
        <w:keepLines w:val="0"/>
        <w:pageBreakBefore w:val="0"/>
        <w:numPr>
          <w:ilvl w:val="0"/>
          <w:numId w:val="3"/>
        </w:numPr>
        <w:tabs>
          <w:tab w:val="left" w:pos="1155"/>
        </w:tabs>
        <w:wordWrap/>
        <w:overflowPunct/>
        <w:topLinePunct w:val="0"/>
        <w:bidi w:val="0"/>
        <w:snapToGrid/>
        <w:spacing w:line="240" w:lineRule="auto"/>
        <w:ind w:firstLine="400" w:firstLineChars="200"/>
        <w:rPr>
          <w:rFonts w:hint="default" w:ascii="仿宋" w:hAnsi="仿宋" w:eastAsia="仿宋" w:cs="宋体"/>
          <w:b/>
          <w:sz w:val="20"/>
          <w:szCs w:val="20"/>
          <w:highlight w:val="none"/>
          <w:lang w:val="en-US" w:eastAsia="zh-CN"/>
        </w:rPr>
      </w:pPr>
      <w:r>
        <w:rPr>
          <w:rFonts w:hint="eastAsia" w:ascii="仿宋" w:hAnsi="仿宋" w:eastAsia="仿宋" w:cs="宋体"/>
          <w:bCs/>
          <w:kern w:val="36"/>
          <w:sz w:val="20"/>
          <w:szCs w:val="20"/>
          <w:highlight w:val="none"/>
          <w:lang w:val="en-US" w:eastAsia="zh-CN"/>
        </w:rPr>
        <w:t>付款方式：银行转账</w:t>
      </w:r>
    </w:p>
    <w:p w14:paraId="2F09B096">
      <w:pPr>
        <w:keepNext w:val="0"/>
        <w:keepLines w:val="0"/>
        <w:pageBreakBefore w:val="0"/>
        <w:tabs>
          <w:tab w:val="left" w:pos="1155"/>
        </w:tabs>
        <w:wordWrap/>
        <w:overflowPunct/>
        <w:topLinePunct w:val="0"/>
        <w:bidi w:val="0"/>
        <w:snapToGrid/>
        <w:spacing w:line="240" w:lineRule="auto"/>
        <w:ind w:firstLine="402" w:firstLineChars="200"/>
        <w:rPr>
          <w:rFonts w:hint="default" w:ascii="仿宋" w:hAnsi="仿宋" w:eastAsia="仿宋" w:cs="宋体"/>
          <w:b/>
          <w:sz w:val="20"/>
          <w:szCs w:val="20"/>
          <w:highlight w:val="none"/>
          <w:lang w:val="en-US" w:eastAsia="zh-CN"/>
        </w:rPr>
      </w:pPr>
    </w:p>
    <w:p w14:paraId="76B2A8D5">
      <w:pPr>
        <w:keepNext w:val="0"/>
        <w:keepLines w:val="0"/>
        <w:pageBreakBefore w:val="0"/>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六、双方的权利和义务：</w:t>
      </w:r>
    </w:p>
    <w:p w14:paraId="6491893C">
      <w:pPr>
        <w:keepNext w:val="0"/>
        <w:keepLines w:val="0"/>
        <w:pageBreakBefore w:val="0"/>
        <w:wordWrap/>
        <w:overflowPunct/>
        <w:topLinePunct w:val="0"/>
        <w:bidi w:val="0"/>
        <w:snapToGrid/>
        <w:spacing w:line="240" w:lineRule="auto"/>
        <w:ind w:firstLine="392" w:firstLineChars="196"/>
        <w:rPr>
          <w:rFonts w:ascii="仿宋" w:hAnsi="仿宋" w:eastAsia="仿宋" w:cs="宋体"/>
          <w:bCs/>
          <w:sz w:val="20"/>
          <w:szCs w:val="20"/>
          <w:highlight w:val="none"/>
        </w:rPr>
      </w:pPr>
      <w:r>
        <w:rPr>
          <w:rFonts w:hint="eastAsia" w:ascii="仿宋" w:hAnsi="仿宋" w:eastAsia="仿宋" w:cs="宋体"/>
          <w:bCs/>
          <w:sz w:val="20"/>
          <w:szCs w:val="20"/>
          <w:highlight w:val="none"/>
        </w:rPr>
        <w:t>（一）甲方的权利和义务</w:t>
      </w:r>
    </w:p>
    <w:p w14:paraId="53A4D011">
      <w:pPr>
        <w:keepNext w:val="0"/>
        <w:keepLines w:val="0"/>
        <w:pageBreakBefore w:val="0"/>
        <w:wordWrap/>
        <w:overflowPunct/>
        <w:topLinePunct w:val="0"/>
        <w:bidi w:val="0"/>
        <w:snapToGrid/>
        <w:spacing w:line="240" w:lineRule="auto"/>
        <w:ind w:firstLine="392" w:firstLineChars="196"/>
        <w:rPr>
          <w:rFonts w:ascii="仿宋" w:hAnsi="仿宋" w:eastAsia="仿宋" w:cs="宋体"/>
          <w:bCs/>
          <w:sz w:val="20"/>
          <w:szCs w:val="20"/>
          <w:highlight w:val="none"/>
        </w:rPr>
      </w:pPr>
      <w:r>
        <w:rPr>
          <w:rFonts w:hint="eastAsia" w:ascii="仿宋" w:hAnsi="仿宋" w:eastAsia="仿宋" w:cs="宋体"/>
          <w:bCs/>
          <w:sz w:val="20"/>
          <w:szCs w:val="20"/>
          <w:highlight w:val="none"/>
        </w:rPr>
        <w:t>1、甲方保证提供给乙方的资料、信息内容合法， 不侵犯第三方的合法权益。如因甲方原因致使乙方遭受第三方追诉的，甲方在过错范围内承担由此给乙方造成的损失，并承担违约责任。</w:t>
      </w:r>
    </w:p>
    <w:p w14:paraId="688E6C43">
      <w:pPr>
        <w:keepNext w:val="0"/>
        <w:keepLines w:val="0"/>
        <w:pageBreakBefore w:val="0"/>
        <w:wordWrap/>
        <w:overflowPunct/>
        <w:topLinePunct w:val="0"/>
        <w:bidi w:val="0"/>
        <w:snapToGrid/>
        <w:spacing w:line="240" w:lineRule="auto"/>
        <w:ind w:firstLine="392" w:firstLineChars="196"/>
        <w:rPr>
          <w:rFonts w:ascii="仿宋" w:hAnsi="仿宋" w:eastAsia="仿宋" w:cs="宋体"/>
          <w:bCs/>
          <w:kern w:val="36"/>
          <w:sz w:val="20"/>
          <w:szCs w:val="20"/>
          <w:highlight w:val="none"/>
        </w:rPr>
      </w:pPr>
      <w:r>
        <w:rPr>
          <w:rFonts w:hint="eastAsia" w:ascii="仿宋" w:hAnsi="仿宋" w:eastAsia="仿宋" w:cs="宋体"/>
          <w:bCs/>
          <w:sz w:val="20"/>
          <w:szCs w:val="20"/>
          <w:highlight w:val="none"/>
        </w:rPr>
        <w:t>2、</w:t>
      </w:r>
      <w:r>
        <w:rPr>
          <w:rFonts w:hint="eastAsia" w:ascii="仿宋" w:hAnsi="仿宋" w:eastAsia="仿宋" w:cs="宋体"/>
          <w:bCs/>
          <w:kern w:val="36"/>
          <w:sz w:val="20"/>
          <w:szCs w:val="20"/>
          <w:highlight w:val="none"/>
        </w:rPr>
        <w:t>由于乙方原因不能按合同约定履约，甲方有权扣留剩余款项，作为对甲方损失的赔偿</w:t>
      </w:r>
      <w:r>
        <w:rPr>
          <w:rFonts w:hint="eastAsia" w:ascii="仿宋" w:hAnsi="仿宋" w:eastAsia="仿宋" w:cs="宋体"/>
          <w:bCs/>
          <w:sz w:val="20"/>
          <w:szCs w:val="20"/>
          <w:highlight w:val="none"/>
        </w:rPr>
        <w:t>。剩余款项已付或不足以赔偿甲方损失的，由乙方另行支付。</w:t>
      </w:r>
    </w:p>
    <w:p w14:paraId="760DE0A3">
      <w:pPr>
        <w:keepNext w:val="0"/>
        <w:keepLines w:val="0"/>
        <w:pageBreakBefore w:val="0"/>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（二）乙方的权利和义务</w:t>
      </w:r>
    </w:p>
    <w:p w14:paraId="3262800C">
      <w:pPr>
        <w:keepNext w:val="0"/>
        <w:keepLines w:val="0"/>
        <w:pageBreakBefore w:val="0"/>
        <w:wordWrap/>
        <w:overflowPunct/>
        <w:topLinePunct w:val="0"/>
        <w:bidi w:val="0"/>
        <w:snapToGrid/>
        <w:spacing w:line="240" w:lineRule="auto"/>
        <w:ind w:firstLine="392" w:firstLineChars="196"/>
        <w:rPr>
          <w:rFonts w:ascii="仿宋" w:hAnsi="仿宋" w:eastAsia="仿宋" w:cs="宋体"/>
          <w:bCs/>
          <w:sz w:val="20"/>
          <w:szCs w:val="20"/>
          <w:highlight w:val="none"/>
        </w:rPr>
      </w:pPr>
      <w:r>
        <w:rPr>
          <w:rFonts w:hint="eastAsia" w:ascii="仿宋" w:hAnsi="仿宋" w:eastAsia="仿宋" w:cs="宋体"/>
          <w:bCs/>
          <w:sz w:val="20"/>
          <w:szCs w:val="20"/>
          <w:highlight w:val="none"/>
        </w:rPr>
        <w:t>1、乙方保证在本项目服务期内，不侵犯第三方的合法权益。如因乙方原因致使甲方遭受第三方追诉的，乙方应承担由此给甲方造成的全部损失，并承担违约责任。</w:t>
      </w:r>
    </w:p>
    <w:p w14:paraId="647298C2">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2、乙方按照本合同约定，在履行的过程中，不允许利用甲方提供的相关资料和工作条件，进行与本项目无关的工作。如因乙方原因，致使甲方遭受经济及法律追诉的，由乙方完全承担。</w:t>
      </w:r>
    </w:p>
    <w:p w14:paraId="293EB2F9">
      <w:pPr>
        <w:keepNext w:val="0"/>
        <w:keepLines w:val="0"/>
        <w:pageBreakBefore w:val="0"/>
        <w:wordWrap/>
        <w:overflowPunct/>
        <w:topLinePunct w:val="0"/>
        <w:bidi w:val="0"/>
        <w:snapToGrid/>
        <w:spacing w:line="240" w:lineRule="auto"/>
        <w:contextualSpacing/>
        <w:rPr>
          <w:rFonts w:hint="eastAsia" w:ascii="仿宋" w:hAnsi="仿宋" w:eastAsia="仿宋" w:cs="宋体"/>
          <w:b/>
          <w:color w:val="FF0000"/>
          <w:sz w:val="20"/>
          <w:szCs w:val="20"/>
          <w:highlight w:val="none"/>
          <w:lang w:eastAsia="zh-CN"/>
        </w:rPr>
      </w:pPr>
      <w:r>
        <w:rPr>
          <w:rFonts w:hint="eastAsia" w:ascii="仿宋" w:hAnsi="仿宋" w:eastAsia="仿宋" w:cs="宋体"/>
          <w:b/>
          <w:color w:val="FF0000"/>
          <w:sz w:val="20"/>
          <w:szCs w:val="20"/>
          <w:highlight w:val="none"/>
        </w:rPr>
        <w:t>七、</w:t>
      </w:r>
      <w:r>
        <w:rPr>
          <w:rFonts w:hint="eastAsia" w:ascii="仿宋" w:hAnsi="仿宋" w:eastAsia="仿宋" w:cs="宋体"/>
          <w:b/>
          <w:color w:val="FF0000"/>
          <w:sz w:val="20"/>
          <w:szCs w:val="20"/>
          <w:highlight w:val="none"/>
          <w:lang w:eastAsia="zh-CN"/>
        </w:rPr>
        <w:t>技术要求及服务要求</w:t>
      </w:r>
      <w:r>
        <w:rPr>
          <w:rFonts w:hint="eastAsia" w:ascii="仿宋" w:hAnsi="仿宋" w:eastAsia="仿宋" w:cs="宋体"/>
          <w:b/>
          <w:color w:val="FF0000"/>
          <w:sz w:val="20"/>
          <w:szCs w:val="20"/>
          <w:highlight w:val="none"/>
        </w:rPr>
        <w:t>：</w:t>
      </w:r>
    </w:p>
    <w:p w14:paraId="5A772BA0">
      <w:pPr>
        <w:keepNext w:val="0"/>
        <w:keepLines w:val="0"/>
        <w:pageBreakBefore w:val="0"/>
        <w:wordWrap/>
        <w:overflowPunct/>
        <w:topLinePunct w:val="0"/>
        <w:bidi w:val="0"/>
        <w:snapToGrid/>
        <w:spacing w:line="24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（一）技术要求</w:t>
      </w:r>
    </w:p>
    <w:p w14:paraId="4C9EE9B4">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整机全保（含球管、探测器等所有硬件、软件耗材及核心部件及更换现已损坏的球管一支）。为保障设备长期稳定、安全、高效运行，满足临床日常诊疗及应急检查需求，本次维保服务覆盖设备运行全流程、全部件，确保无服务盲区、无费用遗漏。</w:t>
      </w:r>
    </w:p>
    <w:p w14:paraId="62F3C57C">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2、配件要求</w:t>
      </w:r>
    </w:p>
    <w:p w14:paraId="6C974182">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（1）所有配件（含高真空元器件、球管、平板等）均为原厂全新正品，符合设备原厂技术指标及国家医疗器械相关规定。</w:t>
      </w:r>
    </w:p>
    <w:p w14:paraId="3C4E11AA">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（2）配件需提供合法来源证明，同时附配件质量承诺书，明确承诺非翻新、非替代、非二手配件。</w:t>
      </w:r>
    </w:p>
    <w:p w14:paraId="2026B60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（3）国内设有专项配件仓储库，确保核心配件长备库存。</w:t>
      </w:r>
    </w:p>
    <w:p w14:paraId="2648B0E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3、软件全保</w:t>
      </w:r>
    </w:p>
    <w:p w14:paraId="75AFBB86">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负责提供系统软件升级、漏洞补丁、安全更新服务，确保软件版本始终处于合规、稳定状态。</w:t>
      </w:r>
    </w:p>
    <w:p w14:paraId="5DC2078F">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4、核心服务内容</w:t>
      </w:r>
    </w:p>
    <w:p w14:paraId="74FB6209">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（1）故障维修：全年不限次数故障维修、备件更换、现场服务，无维修次数及费用限制。</w:t>
      </w:r>
    </w:p>
    <w:p w14:paraId="53CE96F3">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（2）预防性维护：定期开展预防性维护（PM）、设备性能校准、安全检测，保障设备稳定运行。</w:t>
      </w:r>
    </w:p>
    <w:p w14:paraId="4609E845">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5、开机率保障：全年设备开机率≥97%（按365天计算），每低1天保修顺延7天；开机率低于85%视为乙方违约，甲方有权书面解除合同。</w:t>
      </w:r>
    </w:p>
    <w:p w14:paraId="6CCBCADE">
      <w:pPr>
        <w:keepNext w:val="0"/>
        <w:keepLines w:val="0"/>
        <w:pageBreakBefore w:val="0"/>
        <w:wordWrap/>
        <w:overflowPunct/>
        <w:topLinePunct w:val="0"/>
        <w:bidi w:val="0"/>
        <w:snapToGrid/>
        <w:spacing w:line="24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（二）服务要求</w:t>
      </w:r>
    </w:p>
    <w:p w14:paraId="55D57044">
      <w:pPr>
        <w:keepNext w:val="0"/>
        <w:keepLines w:val="0"/>
        <w:pageBreakBefore w:val="0"/>
        <w:widowControl w:val="0"/>
        <w:tabs>
          <w:tab w:val="left" w:pos="0"/>
          <w:tab w:val="center" w:pos="4153"/>
        </w:tabs>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宋体"/>
          <w:b w:val="0"/>
          <w:bCs/>
          <w:sz w:val="20"/>
          <w:szCs w:val="20"/>
          <w:highlight w:val="none"/>
        </w:rPr>
      </w:pPr>
      <w:r>
        <w:rPr>
          <w:rFonts w:hint="eastAsia" w:ascii="仿宋" w:hAnsi="仿宋" w:eastAsia="仿宋" w:cs="宋体"/>
          <w:b w:val="0"/>
          <w:bCs/>
          <w:sz w:val="20"/>
          <w:szCs w:val="20"/>
          <w:highlight w:val="none"/>
        </w:rPr>
        <w:t>1、维修响应时效：接到报修≤1小时响应并提供方案；需现场维修时，持证工程师≤4小时内抵达（含法定节假日）；无配件更换故障≤24小时修复，涉及配件更换≤48小时修复（不可抗力除外）。</w:t>
      </w:r>
    </w:p>
    <w:p w14:paraId="23949EF6">
      <w:pPr>
        <w:keepNext w:val="0"/>
        <w:keepLines w:val="0"/>
        <w:pageBreakBefore w:val="0"/>
        <w:widowControl w:val="0"/>
        <w:tabs>
          <w:tab w:val="left" w:pos="0"/>
          <w:tab w:val="center" w:pos="4153"/>
        </w:tabs>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宋体"/>
          <w:b w:val="0"/>
          <w:bCs/>
          <w:sz w:val="20"/>
          <w:szCs w:val="20"/>
          <w:highlight w:val="none"/>
        </w:rPr>
      </w:pPr>
      <w:r>
        <w:rPr>
          <w:rFonts w:hint="eastAsia" w:ascii="仿宋" w:hAnsi="仿宋" w:eastAsia="仿宋" w:cs="宋体"/>
          <w:b w:val="0"/>
          <w:bCs/>
          <w:sz w:val="20"/>
          <w:szCs w:val="20"/>
          <w:highlight w:val="none"/>
        </w:rPr>
        <w:t>2、预防性维保要求：每年≥4次预防性保养，含系统运行检查、清洁除尘、安全检测、影像质量校准、参数评判、性能测试、机电检查及软件维护等；每次保养出具双方签字确认的报告单，年度提交设备运行维护报告，维保到期前并完成设备整机全面检测。</w:t>
      </w:r>
    </w:p>
    <w:p w14:paraId="2795A02E">
      <w:pPr>
        <w:keepNext w:val="0"/>
        <w:keepLines w:val="0"/>
        <w:pageBreakBefore w:val="0"/>
        <w:widowControl w:val="0"/>
        <w:tabs>
          <w:tab w:val="left" w:pos="0"/>
          <w:tab w:val="center" w:pos="4153"/>
        </w:tabs>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宋体"/>
          <w:b w:val="0"/>
          <w:bCs/>
          <w:sz w:val="20"/>
          <w:szCs w:val="20"/>
          <w:highlight w:val="none"/>
        </w:rPr>
      </w:pPr>
      <w:r>
        <w:rPr>
          <w:rFonts w:hint="eastAsia" w:ascii="仿宋" w:hAnsi="仿宋" w:eastAsia="仿宋" w:cs="宋体"/>
          <w:b w:val="0"/>
          <w:bCs/>
          <w:sz w:val="20"/>
          <w:szCs w:val="20"/>
          <w:highlight w:val="none"/>
        </w:rPr>
        <w:t>3、年度评估总结：年末出具详细维保评估总结报告，汇总全年故障次数、故障类别、更换配件的具体数量及对应费用；全面评估设备运行状况，结合设备使用年限及故障规律，提出针对性的优化使用及维护建议。</w:t>
      </w:r>
    </w:p>
    <w:p w14:paraId="565EE45E">
      <w:pPr>
        <w:keepNext w:val="0"/>
        <w:keepLines w:val="0"/>
        <w:pageBreakBefore w:val="0"/>
        <w:widowControl w:val="0"/>
        <w:tabs>
          <w:tab w:val="left" w:pos="0"/>
          <w:tab w:val="center" w:pos="4153"/>
        </w:tabs>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宋体"/>
          <w:b w:val="0"/>
          <w:bCs/>
          <w:sz w:val="20"/>
          <w:szCs w:val="20"/>
          <w:highlight w:val="none"/>
        </w:rPr>
      </w:pPr>
      <w:r>
        <w:rPr>
          <w:rFonts w:hint="eastAsia" w:ascii="仿宋" w:hAnsi="仿宋" w:eastAsia="仿宋" w:cs="宋体"/>
          <w:b w:val="0"/>
          <w:bCs/>
          <w:sz w:val="20"/>
          <w:szCs w:val="20"/>
          <w:highlight w:val="none"/>
        </w:rPr>
        <w:t>4、备件证明：更换关键备件时（球管、发生器、探测器），需提供备件报关单，确保备件合规可追溯。</w:t>
      </w:r>
    </w:p>
    <w:p w14:paraId="4FBA2B7D">
      <w:pPr>
        <w:keepNext w:val="0"/>
        <w:keepLines w:val="0"/>
        <w:pageBreakBefore w:val="0"/>
        <w:widowControl w:val="0"/>
        <w:tabs>
          <w:tab w:val="left" w:pos="0"/>
          <w:tab w:val="center" w:pos="4153"/>
        </w:tabs>
        <w:kinsoku/>
        <w:wordWrap/>
        <w:overflowPunct/>
        <w:topLinePunct w:val="0"/>
        <w:autoSpaceDE/>
        <w:autoSpaceDN/>
        <w:bidi w:val="0"/>
        <w:adjustRightInd/>
        <w:snapToGrid/>
        <w:spacing w:line="240" w:lineRule="auto"/>
        <w:ind w:firstLine="400" w:firstLineChars="200"/>
        <w:textAlignment w:val="auto"/>
        <w:rPr>
          <w:rFonts w:hint="eastAsia" w:ascii="仿宋" w:hAnsi="仿宋" w:eastAsia="仿宋" w:cs="宋体"/>
          <w:b w:val="0"/>
          <w:bCs/>
          <w:sz w:val="20"/>
          <w:szCs w:val="20"/>
          <w:highlight w:val="none"/>
        </w:rPr>
      </w:pPr>
      <w:r>
        <w:rPr>
          <w:rFonts w:hint="eastAsia" w:ascii="仿宋" w:hAnsi="仿宋" w:eastAsia="仿宋" w:cs="宋体"/>
          <w:b w:val="0"/>
          <w:bCs/>
          <w:sz w:val="20"/>
          <w:szCs w:val="20"/>
          <w:highlight w:val="none"/>
        </w:rPr>
        <w:t>5、工程师资质：项目负责人及维修工程师必须具备相关设备维修培训合格证书，熟悉设备结构、工作原理及维修技术。</w:t>
      </w:r>
    </w:p>
    <w:p w14:paraId="37283B17">
      <w:pPr>
        <w:keepNext w:val="0"/>
        <w:keepLines w:val="0"/>
        <w:pageBreakBefore w:val="0"/>
        <w:tabs>
          <w:tab w:val="left" w:pos="0"/>
          <w:tab w:val="center" w:pos="4153"/>
        </w:tabs>
        <w:wordWrap/>
        <w:overflowPunct/>
        <w:topLinePunct w:val="0"/>
        <w:bidi w:val="0"/>
        <w:snapToGrid/>
        <w:spacing w:line="240" w:lineRule="auto"/>
        <w:rPr>
          <w:rFonts w:ascii="仿宋" w:hAnsi="仿宋" w:eastAsia="仿宋" w:cs="宋体"/>
          <w:sz w:val="20"/>
          <w:szCs w:val="20"/>
          <w:highlight w:val="none"/>
        </w:rPr>
      </w:pPr>
      <w:r>
        <w:rPr>
          <w:rFonts w:hint="eastAsia" w:ascii="仿宋" w:hAnsi="仿宋" w:eastAsia="仿宋" w:cs="宋体"/>
          <w:b/>
          <w:sz w:val="20"/>
          <w:szCs w:val="20"/>
          <w:highlight w:val="none"/>
        </w:rPr>
        <w:t>九、违约责任</w:t>
      </w:r>
    </w:p>
    <w:p w14:paraId="3188372E">
      <w:pPr>
        <w:keepNext w:val="0"/>
        <w:keepLines w:val="0"/>
        <w:pageBreakBefore w:val="0"/>
        <w:widowControl w:val="0"/>
        <w:tabs>
          <w:tab w:val="left" w:pos="0"/>
          <w:tab w:val="center" w:pos="4153"/>
        </w:tabs>
        <w:kinsoku/>
        <w:wordWrap/>
        <w:overflowPunct/>
        <w:topLinePunct w:val="0"/>
        <w:autoSpaceDE/>
        <w:autoSpaceDN/>
        <w:bidi w:val="0"/>
        <w:adjustRightInd w:val="0"/>
        <w:snapToGrid/>
        <w:spacing w:line="240" w:lineRule="auto"/>
        <w:ind w:firstLine="400" w:firstLineChars="200"/>
        <w:textAlignment w:val="auto"/>
        <w:rPr>
          <w:rFonts w:hint="eastAsia" w:ascii="仿宋" w:hAnsi="仿宋" w:eastAsia="仿宋" w:cs="宋体"/>
          <w:sz w:val="20"/>
          <w:szCs w:val="20"/>
          <w:highlight w:val="none"/>
        </w:rPr>
      </w:pPr>
      <w:r>
        <w:rPr>
          <w:rFonts w:hint="eastAsia" w:ascii="仿宋" w:hAnsi="仿宋" w:eastAsia="仿宋" w:cs="宋体"/>
          <w:sz w:val="20"/>
          <w:szCs w:val="20"/>
          <w:highlight w:val="none"/>
        </w:rPr>
        <w:t>（一）按《中华人民共和国民法典》中的相关条款执行。</w:t>
      </w:r>
    </w:p>
    <w:p w14:paraId="40F13B8D">
      <w:pPr>
        <w:keepNext w:val="0"/>
        <w:keepLines w:val="0"/>
        <w:pageBreakBefore w:val="0"/>
        <w:widowControl w:val="0"/>
        <w:tabs>
          <w:tab w:val="left" w:pos="0"/>
          <w:tab w:val="center" w:pos="4153"/>
        </w:tabs>
        <w:kinsoku/>
        <w:wordWrap/>
        <w:overflowPunct/>
        <w:topLinePunct w:val="0"/>
        <w:autoSpaceDE/>
        <w:autoSpaceDN/>
        <w:bidi w:val="0"/>
        <w:adjustRightInd w:val="0"/>
        <w:snapToGrid/>
        <w:spacing w:line="240" w:lineRule="auto"/>
        <w:ind w:firstLine="400" w:firstLineChars="200"/>
        <w:textAlignment w:val="auto"/>
        <w:rPr>
          <w:rFonts w:hint="eastAsia" w:ascii="仿宋" w:hAnsi="仿宋" w:eastAsia="仿宋" w:cs="宋体"/>
          <w:sz w:val="20"/>
          <w:szCs w:val="20"/>
          <w:highlight w:val="none"/>
        </w:rPr>
      </w:pPr>
      <w:r>
        <w:rPr>
          <w:rFonts w:hint="eastAsia" w:ascii="仿宋" w:hAnsi="仿宋" w:eastAsia="仿宋" w:cs="宋体"/>
          <w:sz w:val="20"/>
          <w:szCs w:val="20"/>
          <w:highlight w:val="none"/>
        </w:rPr>
        <w:t>（二）乙方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并按照合同最高执行总价的30%支付违约金，同时按《政府采购法》有关处罚条款报监管机构进行相应的处罚。</w:t>
      </w:r>
    </w:p>
    <w:p w14:paraId="4618C6CB">
      <w:pPr>
        <w:keepNext w:val="0"/>
        <w:keepLines w:val="0"/>
        <w:pageBreakBefore w:val="0"/>
        <w:widowControl w:val="0"/>
        <w:tabs>
          <w:tab w:val="left" w:pos="0"/>
          <w:tab w:val="center" w:pos="4153"/>
        </w:tabs>
        <w:kinsoku/>
        <w:wordWrap/>
        <w:overflowPunct/>
        <w:topLinePunct w:val="0"/>
        <w:autoSpaceDE/>
        <w:autoSpaceDN/>
        <w:bidi w:val="0"/>
        <w:adjustRightInd w:val="0"/>
        <w:snapToGrid/>
        <w:spacing w:line="240" w:lineRule="auto"/>
        <w:ind w:firstLine="400" w:firstLineChars="200"/>
        <w:textAlignment w:val="auto"/>
        <w:rPr>
          <w:rFonts w:hint="eastAsia" w:ascii="仿宋" w:hAnsi="仿宋" w:eastAsia="仿宋" w:cs="宋体"/>
          <w:sz w:val="20"/>
          <w:szCs w:val="20"/>
          <w:highlight w:val="none"/>
        </w:rPr>
      </w:pPr>
      <w:r>
        <w:rPr>
          <w:rFonts w:hint="eastAsia" w:ascii="仿宋" w:hAnsi="仿宋" w:eastAsia="仿宋" w:cs="宋体"/>
          <w:sz w:val="20"/>
          <w:szCs w:val="20"/>
          <w:highlight w:val="none"/>
        </w:rPr>
        <w:t>（三）合同执行中发生争议的，当事人双方应协商解决，协商达不成一致时，可向</w:t>
      </w:r>
      <w:r>
        <w:rPr>
          <w:rFonts w:hint="eastAsia" w:ascii="仿宋" w:hAnsi="仿宋" w:eastAsia="仿宋" w:cs="宋体"/>
          <w:sz w:val="20"/>
          <w:szCs w:val="20"/>
          <w:highlight w:val="none"/>
          <w:lang w:val="en-US" w:eastAsia="zh-CN"/>
        </w:rPr>
        <w:t>甲方</w:t>
      </w:r>
      <w:r>
        <w:rPr>
          <w:rFonts w:hint="eastAsia" w:ascii="仿宋" w:hAnsi="仿宋" w:eastAsia="仿宋" w:cs="宋体"/>
          <w:sz w:val="20"/>
          <w:szCs w:val="20"/>
          <w:highlight w:val="none"/>
        </w:rPr>
        <w:t>所在地人民法院提请诉讼。</w:t>
      </w:r>
    </w:p>
    <w:p w14:paraId="36CD71E8">
      <w:pPr>
        <w:keepNext w:val="0"/>
        <w:keepLines w:val="0"/>
        <w:pageBreakBefore w:val="0"/>
        <w:widowControl w:val="0"/>
        <w:tabs>
          <w:tab w:val="left" w:pos="0"/>
          <w:tab w:val="center" w:pos="4153"/>
        </w:tabs>
        <w:kinsoku/>
        <w:wordWrap/>
        <w:overflowPunct/>
        <w:topLinePunct w:val="0"/>
        <w:autoSpaceDE/>
        <w:autoSpaceDN/>
        <w:bidi w:val="0"/>
        <w:adjustRightInd w:val="0"/>
        <w:snapToGrid/>
        <w:spacing w:line="240" w:lineRule="auto"/>
        <w:ind w:firstLine="400" w:firstLineChars="200"/>
        <w:textAlignment w:val="auto"/>
        <w:rPr>
          <w:rFonts w:hint="eastAsia" w:ascii="仿宋" w:hAnsi="仿宋" w:eastAsia="仿宋" w:cs="宋体"/>
          <w:bCs/>
          <w:kern w:val="36"/>
          <w:sz w:val="20"/>
          <w:szCs w:val="20"/>
          <w:highlight w:val="none"/>
        </w:rPr>
      </w:pPr>
      <w:r>
        <w:rPr>
          <w:rFonts w:hint="eastAsia" w:ascii="仿宋" w:hAnsi="仿宋" w:eastAsia="仿宋" w:cs="宋体"/>
          <w:sz w:val="20"/>
          <w:szCs w:val="20"/>
          <w:highlight w:val="none"/>
        </w:rPr>
        <w:t>（</w:t>
      </w:r>
      <w:r>
        <w:rPr>
          <w:rFonts w:hint="eastAsia" w:ascii="仿宋" w:hAnsi="仿宋" w:eastAsia="仿宋" w:cs="宋体"/>
          <w:sz w:val="20"/>
          <w:szCs w:val="20"/>
          <w:highlight w:val="none"/>
          <w:lang w:val="en-US" w:eastAsia="zh-CN"/>
        </w:rPr>
        <w:t>四</w:t>
      </w:r>
      <w:r>
        <w:rPr>
          <w:rFonts w:hint="eastAsia" w:ascii="仿宋" w:hAnsi="仿宋" w:eastAsia="仿宋" w:cs="宋体"/>
          <w:sz w:val="20"/>
          <w:szCs w:val="20"/>
          <w:highlight w:val="none"/>
        </w:rPr>
        <w:t>）服务期内，乙方每推迟或未提供服务1天，支付合同</w:t>
      </w:r>
      <w:r>
        <w:rPr>
          <w:rFonts w:hint="eastAsia" w:ascii="仿宋" w:hAnsi="仿宋" w:eastAsia="仿宋" w:cs="宋体"/>
          <w:color w:val="FF0000"/>
          <w:sz w:val="20"/>
          <w:szCs w:val="20"/>
          <w:highlight w:val="none"/>
          <w:lang w:eastAsia="zh-CN"/>
        </w:rPr>
        <w:t>（</w:t>
      </w:r>
      <w:r>
        <w:rPr>
          <w:rFonts w:hint="eastAsia" w:ascii="仿宋" w:hAnsi="仿宋" w:eastAsia="仿宋" w:cs="宋体"/>
          <w:color w:val="FF0000"/>
          <w:sz w:val="20"/>
          <w:szCs w:val="20"/>
          <w:highlight w:val="none"/>
        </w:rPr>
        <w:t>最高执行</w:t>
      </w:r>
      <w:r>
        <w:rPr>
          <w:rFonts w:hint="eastAsia" w:ascii="仿宋" w:hAnsi="仿宋" w:eastAsia="仿宋" w:cs="宋体"/>
          <w:color w:val="FF0000"/>
          <w:sz w:val="20"/>
          <w:szCs w:val="20"/>
          <w:highlight w:val="none"/>
          <w:lang w:eastAsia="zh-CN"/>
        </w:rPr>
        <w:t>）</w:t>
      </w:r>
      <w:r>
        <w:rPr>
          <w:rFonts w:hint="eastAsia" w:ascii="仿宋" w:hAnsi="仿宋" w:eastAsia="仿宋" w:cs="宋体"/>
          <w:sz w:val="20"/>
          <w:szCs w:val="20"/>
          <w:highlight w:val="none"/>
        </w:rPr>
        <w:t>总价的3‰作为违约金。</w:t>
      </w:r>
      <w:r>
        <w:rPr>
          <w:rFonts w:hint="eastAsia" w:ascii="仿宋" w:hAnsi="仿宋" w:eastAsia="仿宋" w:cs="仿宋"/>
          <w:sz w:val="20"/>
          <w:szCs w:val="20"/>
          <w:highlight w:val="none"/>
        </w:rPr>
        <w:t>当设备开机率低于85%时</w:t>
      </w:r>
      <w:r>
        <w:rPr>
          <w:rFonts w:hint="eastAsia" w:ascii="仿宋" w:hAnsi="仿宋" w:eastAsia="仿宋" w:cs="宋体"/>
          <w:sz w:val="20"/>
          <w:szCs w:val="20"/>
          <w:highlight w:val="none"/>
        </w:rPr>
        <w:t>视为乙方根本违约，甲方有权单方解除合同（合同自书面解除通知送达乙方之日起解除），乙方应赔偿解除合同给甲方造成的全部损失（包括但不限于重新采购产生的费用、合同未履行导致项目不能按规划提供可能产生的服务费用），</w:t>
      </w:r>
      <w:r>
        <w:rPr>
          <w:rFonts w:hint="eastAsia" w:ascii="仿宋" w:hAnsi="仿宋" w:eastAsia="仿宋" w:cs="宋体"/>
          <w:bCs/>
          <w:kern w:val="36"/>
          <w:sz w:val="20"/>
          <w:szCs w:val="20"/>
          <w:highlight w:val="none"/>
        </w:rPr>
        <w:t>乙方应按照合同</w:t>
      </w:r>
      <w:r>
        <w:rPr>
          <w:rFonts w:hint="eastAsia" w:ascii="仿宋" w:hAnsi="仿宋" w:eastAsia="仿宋" w:cs="宋体"/>
          <w:color w:val="FF0000"/>
          <w:sz w:val="20"/>
          <w:szCs w:val="20"/>
          <w:highlight w:val="none"/>
          <w:lang w:eastAsia="zh-CN"/>
        </w:rPr>
        <w:t>（</w:t>
      </w:r>
      <w:r>
        <w:rPr>
          <w:rFonts w:hint="eastAsia" w:ascii="仿宋" w:hAnsi="仿宋" w:eastAsia="仿宋" w:cs="宋体"/>
          <w:color w:val="FF0000"/>
          <w:sz w:val="20"/>
          <w:szCs w:val="20"/>
          <w:highlight w:val="none"/>
        </w:rPr>
        <w:t>最高执行</w:t>
      </w:r>
      <w:r>
        <w:rPr>
          <w:rFonts w:hint="eastAsia" w:ascii="仿宋" w:hAnsi="仿宋" w:eastAsia="仿宋" w:cs="宋体"/>
          <w:color w:val="FF0000"/>
          <w:sz w:val="20"/>
          <w:szCs w:val="20"/>
          <w:highlight w:val="none"/>
          <w:lang w:eastAsia="zh-CN"/>
        </w:rPr>
        <w:t>）</w:t>
      </w:r>
      <w:r>
        <w:rPr>
          <w:rFonts w:hint="eastAsia" w:ascii="仿宋" w:hAnsi="仿宋" w:eastAsia="仿宋" w:cs="宋体"/>
          <w:bCs/>
          <w:kern w:val="36"/>
          <w:sz w:val="20"/>
          <w:szCs w:val="20"/>
          <w:highlight w:val="none"/>
        </w:rPr>
        <w:t>总价的30%承担违约金，若违约金不足以弥补甲方损失的，由乙方另行支付。</w:t>
      </w:r>
    </w:p>
    <w:p w14:paraId="7C14E191">
      <w:pPr>
        <w:keepNext w:val="0"/>
        <w:keepLines w:val="0"/>
        <w:pageBreakBefore w:val="0"/>
        <w:tabs>
          <w:tab w:val="left" w:pos="0"/>
          <w:tab w:val="center" w:pos="4153"/>
        </w:tabs>
        <w:wordWrap/>
        <w:overflowPunct/>
        <w:topLinePunct w:val="0"/>
        <w:bidi w:val="0"/>
        <w:snapToGrid/>
        <w:spacing w:line="240" w:lineRule="auto"/>
        <w:rPr>
          <w:rFonts w:ascii="仿宋" w:hAnsi="仿宋" w:eastAsia="仿宋" w:cs="宋体"/>
          <w:b/>
          <w:sz w:val="20"/>
          <w:szCs w:val="20"/>
          <w:highlight w:val="none"/>
        </w:rPr>
      </w:pPr>
      <w:r>
        <w:rPr>
          <w:rFonts w:hint="eastAsia" w:ascii="仿宋" w:hAnsi="仿宋" w:eastAsia="仿宋" w:cs="宋体"/>
          <w:b/>
          <w:sz w:val="20"/>
          <w:szCs w:val="20"/>
          <w:highlight w:val="none"/>
        </w:rPr>
        <w:t>十、合同争议的解决</w:t>
      </w:r>
    </w:p>
    <w:p w14:paraId="4733234F">
      <w:pPr>
        <w:pStyle w:val="2"/>
        <w:keepNext w:val="0"/>
        <w:keepLines w:val="0"/>
        <w:pageBreakBefore w:val="0"/>
        <w:wordWrap/>
        <w:overflowPunct/>
        <w:topLinePunct w:val="0"/>
        <w:bidi w:val="0"/>
        <w:snapToGrid/>
        <w:spacing w:line="240" w:lineRule="auto"/>
        <w:ind w:firstLine="362" w:firstLineChars="181"/>
        <w:rPr>
          <w:rFonts w:hint="eastAsia" w:ascii="仿宋" w:hAnsi="仿宋" w:eastAsia="仿宋" w:cs="宋体"/>
          <w:bCs/>
          <w:kern w:val="2"/>
          <w:sz w:val="20"/>
          <w:szCs w:val="20"/>
          <w:highlight w:val="none"/>
          <w:lang w:val="en-US" w:eastAsia="zh-CN" w:bidi="ar-SA"/>
        </w:rPr>
      </w:pPr>
      <w:r>
        <w:rPr>
          <w:rFonts w:hint="eastAsia" w:ascii="仿宋" w:hAnsi="仿宋" w:eastAsia="仿宋" w:cs="宋体"/>
          <w:bCs/>
          <w:kern w:val="2"/>
          <w:sz w:val="20"/>
          <w:szCs w:val="20"/>
          <w:highlight w:val="none"/>
          <w:lang w:val="en-US" w:eastAsia="zh-CN" w:bidi="ar-SA"/>
        </w:rPr>
        <w:t>合同执行中发生争议的，当事人双方应协商解决，无法协商或协商达不成一致时，双方均有权向甲方住所地人民法院提请诉讼。</w:t>
      </w:r>
    </w:p>
    <w:p w14:paraId="05D60394">
      <w:pPr>
        <w:keepNext w:val="0"/>
        <w:keepLines w:val="0"/>
        <w:pageBreakBefore w:val="0"/>
        <w:wordWrap/>
        <w:overflowPunct/>
        <w:topLinePunct w:val="0"/>
        <w:bidi w:val="0"/>
        <w:snapToGrid/>
        <w:spacing w:line="240" w:lineRule="auto"/>
        <w:outlineLvl w:val="0"/>
        <w:rPr>
          <w:rFonts w:ascii="仿宋" w:hAnsi="仿宋" w:eastAsia="仿宋" w:cs="宋体"/>
          <w:b/>
          <w:sz w:val="20"/>
          <w:szCs w:val="20"/>
          <w:highlight w:val="none"/>
        </w:rPr>
      </w:pPr>
      <w:r>
        <w:rPr>
          <w:rFonts w:hint="eastAsia" w:ascii="仿宋" w:hAnsi="仿宋" w:eastAsia="仿宋" w:cs="宋体"/>
          <w:b/>
          <w:sz w:val="20"/>
          <w:szCs w:val="20"/>
          <w:highlight w:val="none"/>
        </w:rPr>
        <w:t>十一、合同生效</w:t>
      </w:r>
    </w:p>
    <w:p w14:paraId="6DAE7554">
      <w:pPr>
        <w:keepNext w:val="0"/>
        <w:keepLines w:val="0"/>
        <w:pageBreakBefore w:val="0"/>
        <w:wordWrap/>
        <w:overflowPunct/>
        <w:topLinePunct w:val="0"/>
        <w:bidi w:val="0"/>
        <w:snapToGrid/>
        <w:spacing w:line="240" w:lineRule="auto"/>
        <w:ind w:firstLine="400" w:firstLineChars="200"/>
        <w:outlineLvl w:val="0"/>
        <w:rPr>
          <w:rFonts w:ascii="仿宋" w:hAnsi="仿宋" w:eastAsia="仿宋" w:cs="宋体"/>
          <w:bCs/>
          <w:sz w:val="20"/>
          <w:szCs w:val="20"/>
          <w:highlight w:val="none"/>
        </w:rPr>
      </w:pPr>
      <w:r>
        <w:rPr>
          <w:rFonts w:hint="eastAsia" w:ascii="仿宋" w:hAnsi="仿宋" w:eastAsia="仿宋" w:cs="宋体"/>
          <w:bCs/>
          <w:sz w:val="20"/>
          <w:szCs w:val="20"/>
          <w:highlight w:val="none"/>
        </w:rPr>
        <w:t>合同一式八份，甲方五份、乙方三份，均具有同等法律效力。合同经甲方、乙方签字盖章后生效，合同执行完毕后，自动终止（合同的服务承诺则长期有效）。</w:t>
      </w:r>
    </w:p>
    <w:p w14:paraId="71A53053">
      <w:pPr>
        <w:keepNext w:val="0"/>
        <w:keepLines w:val="0"/>
        <w:pageBreakBefore w:val="0"/>
        <w:wordWrap/>
        <w:overflowPunct/>
        <w:topLinePunct w:val="0"/>
        <w:bidi w:val="0"/>
        <w:snapToGrid/>
        <w:spacing w:line="240" w:lineRule="auto"/>
        <w:outlineLvl w:val="0"/>
        <w:rPr>
          <w:rFonts w:ascii="仿宋" w:hAnsi="仿宋" w:eastAsia="仿宋" w:cs="宋体"/>
          <w:b/>
          <w:sz w:val="20"/>
          <w:szCs w:val="20"/>
          <w:highlight w:val="none"/>
        </w:rPr>
      </w:pPr>
      <w:r>
        <w:rPr>
          <w:rFonts w:hint="eastAsia" w:ascii="仿宋" w:hAnsi="仿宋" w:eastAsia="仿宋" w:cs="宋体"/>
          <w:b/>
          <w:sz w:val="20"/>
          <w:szCs w:val="20"/>
          <w:highlight w:val="none"/>
        </w:rPr>
        <w:t>十二、其他事项</w:t>
      </w:r>
    </w:p>
    <w:p w14:paraId="0B73FBF2">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（一）磋商文件、磋商响应文件、澄清表（函）、成交通知书、合同附件均成为合同不可分割的部分，与本合同具有同等法律效力。</w:t>
      </w:r>
    </w:p>
    <w:p w14:paraId="14170EF2">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（二）合同未尽事宜，由甲、乙双方协商签订补充协议，作为合同的补充，与原合同具有同等法律效力，补充协议与原协议不一致的，以补充协议为准。</w:t>
      </w:r>
    </w:p>
    <w:p w14:paraId="6D23C3BC">
      <w:pPr>
        <w:keepNext w:val="0"/>
        <w:keepLines w:val="0"/>
        <w:pageBreakBefore w:val="0"/>
        <w:tabs>
          <w:tab w:val="left" w:pos="480"/>
        </w:tabs>
        <w:wordWrap/>
        <w:overflowPunct/>
        <w:topLinePunct w:val="0"/>
        <w:bidi w:val="0"/>
        <w:snapToGrid/>
        <w:spacing w:line="240" w:lineRule="auto"/>
        <w:ind w:firstLine="400" w:firstLineChars="200"/>
        <w:rPr>
          <w:rFonts w:ascii="仿宋" w:hAnsi="仿宋" w:eastAsia="仿宋" w:cs="宋体"/>
          <w:bCs/>
          <w:sz w:val="20"/>
          <w:szCs w:val="20"/>
          <w:highlight w:val="none"/>
        </w:rPr>
      </w:pPr>
      <w:r>
        <w:rPr>
          <w:rFonts w:hint="eastAsia" w:ascii="仿宋" w:hAnsi="仿宋" w:eastAsia="仿宋" w:cs="宋体"/>
          <w:bCs/>
          <w:sz w:val="20"/>
          <w:szCs w:val="20"/>
          <w:highlight w:val="none"/>
        </w:rPr>
        <w:t>（以下无正文）</w:t>
      </w:r>
    </w:p>
    <w:p w14:paraId="3FB3BCA7">
      <w:pPr>
        <w:keepNext w:val="0"/>
        <w:keepLines w:val="0"/>
        <w:pageBreakBefore w:val="0"/>
        <w:tabs>
          <w:tab w:val="left" w:pos="480"/>
        </w:tabs>
        <w:wordWrap/>
        <w:overflowPunct/>
        <w:topLinePunct w:val="0"/>
        <w:bidi w:val="0"/>
        <w:snapToGrid/>
        <w:spacing w:line="240" w:lineRule="auto"/>
        <w:rPr>
          <w:rFonts w:ascii="仿宋" w:hAnsi="仿宋" w:eastAsia="仿宋" w:cs="宋体"/>
          <w:sz w:val="20"/>
          <w:szCs w:val="20"/>
          <w:highlight w:val="none"/>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70"/>
        <w:gridCol w:w="2625"/>
        <w:gridCol w:w="1560"/>
        <w:gridCol w:w="2767"/>
      </w:tblGrid>
      <w:tr w14:paraId="56648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16E221E2">
            <w:pPr>
              <w:keepNext w:val="0"/>
              <w:keepLines w:val="0"/>
              <w:pageBreakBefore w:val="0"/>
              <w:tabs>
                <w:tab w:val="left" w:pos="480"/>
              </w:tabs>
              <w:wordWrap/>
              <w:overflowPunct/>
              <w:topLinePunct w:val="0"/>
              <w:bidi w:val="0"/>
              <w:snapToGrid/>
              <w:spacing w:line="240" w:lineRule="auto"/>
              <w:jc w:val="both"/>
              <w:rPr>
                <w:rFonts w:hint="eastAsia" w:ascii="仿宋" w:hAnsi="仿宋" w:eastAsia="仿宋" w:cs="宋体"/>
                <w:sz w:val="20"/>
                <w:szCs w:val="20"/>
                <w:highlight w:val="none"/>
              </w:rPr>
            </w:pPr>
            <w:r>
              <w:rPr>
                <w:rFonts w:hint="eastAsia" w:ascii="仿宋" w:hAnsi="仿宋" w:eastAsia="仿宋" w:cs="宋体"/>
                <w:sz w:val="20"/>
                <w:szCs w:val="20"/>
                <w:highlight w:val="none"/>
              </w:rPr>
              <w:t>甲  方（公章）</w:t>
            </w:r>
          </w:p>
          <w:p w14:paraId="3698A3C1">
            <w:pPr>
              <w:keepNext w:val="0"/>
              <w:keepLines w:val="0"/>
              <w:pageBreakBefore w:val="0"/>
              <w:tabs>
                <w:tab w:val="left" w:pos="480"/>
              </w:tabs>
              <w:wordWrap/>
              <w:overflowPunct/>
              <w:topLinePunct w:val="0"/>
              <w:bidi w:val="0"/>
              <w:snapToGrid/>
              <w:spacing w:line="240" w:lineRule="auto"/>
              <w:jc w:val="both"/>
              <w:rPr>
                <w:rFonts w:hint="eastAsia" w:ascii="仿宋" w:hAnsi="仿宋" w:eastAsia="仿宋" w:cs="宋体"/>
                <w:sz w:val="20"/>
                <w:szCs w:val="20"/>
                <w:highlight w:val="none"/>
              </w:rPr>
            </w:pPr>
            <w:r>
              <w:rPr>
                <w:rFonts w:hint="eastAsia" w:ascii="仿宋" w:hAnsi="仿宋" w:eastAsia="仿宋" w:cs="宋体"/>
                <w:sz w:val="20"/>
                <w:szCs w:val="20"/>
                <w:highlight w:val="none"/>
              </w:rPr>
              <w:t>单位名称：</w:t>
            </w:r>
          </w:p>
        </w:tc>
        <w:tc>
          <w:tcPr>
            <w:tcW w:w="2625" w:type="dxa"/>
            <w:vAlign w:val="center"/>
          </w:tcPr>
          <w:p w14:paraId="71F8275A">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244C005A">
            <w:pPr>
              <w:keepNext w:val="0"/>
              <w:keepLines w:val="0"/>
              <w:pageBreakBefore w:val="0"/>
              <w:tabs>
                <w:tab w:val="left" w:pos="480"/>
              </w:tabs>
              <w:wordWrap/>
              <w:overflowPunct/>
              <w:topLinePunct w:val="0"/>
              <w:bidi w:val="0"/>
              <w:snapToGrid/>
              <w:spacing w:line="240" w:lineRule="auto"/>
              <w:jc w:val="both"/>
              <w:rPr>
                <w:rFonts w:hint="eastAsia" w:ascii="仿宋" w:hAnsi="仿宋" w:eastAsia="仿宋" w:cs="宋体"/>
                <w:sz w:val="20"/>
                <w:szCs w:val="20"/>
                <w:highlight w:val="none"/>
              </w:rPr>
            </w:pPr>
            <w:r>
              <w:rPr>
                <w:rFonts w:hint="eastAsia" w:ascii="仿宋" w:hAnsi="仿宋" w:eastAsia="仿宋" w:cs="宋体"/>
                <w:sz w:val="20"/>
                <w:szCs w:val="20"/>
                <w:highlight w:val="none"/>
              </w:rPr>
              <w:t>乙  方（公章）</w:t>
            </w:r>
          </w:p>
          <w:p w14:paraId="268B4748">
            <w:pPr>
              <w:keepNext w:val="0"/>
              <w:keepLines w:val="0"/>
              <w:pageBreakBefore w:val="0"/>
              <w:tabs>
                <w:tab w:val="left" w:pos="480"/>
              </w:tabs>
              <w:wordWrap/>
              <w:overflowPunct/>
              <w:topLinePunct w:val="0"/>
              <w:bidi w:val="0"/>
              <w:snapToGrid/>
              <w:spacing w:line="240" w:lineRule="auto"/>
              <w:jc w:val="both"/>
              <w:rPr>
                <w:rFonts w:hint="eastAsia" w:ascii="仿宋" w:hAnsi="仿宋" w:eastAsia="仿宋" w:cs="宋体"/>
                <w:sz w:val="20"/>
                <w:szCs w:val="20"/>
                <w:highlight w:val="none"/>
              </w:rPr>
            </w:pPr>
            <w:r>
              <w:rPr>
                <w:rFonts w:hint="eastAsia" w:ascii="仿宋" w:hAnsi="仿宋" w:eastAsia="仿宋" w:cs="宋体"/>
                <w:sz w:val="20"/>
                <w:szCs w:val="20"/>
                <w:highlight w:val="none"/>
              </w:rPr>
              <w:t>单位名称：</w:t>
            </w:r>
          </w:p>
        </w:tc>
        <w:tc>
          <w:tcPr>
            <w:tcW w:w="2767" w:type="dxa"/>
            <w:vAlign w:val="center"/>
          </w:tcPr>
          <w:p w14:paraId="49F428A4">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614ED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385DE183">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地  址：</w:t>
            </w:r>
          </w:p>
        </w:tc>
        <w:tc>
          <w:tcPr>
            <w:tcW w:w="2625" w:type="dxa"/>
            <w:vAlign w:val="center"/>
          </w:tcPr>
          <w:p w14:paraId="42D00967">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1376649E">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地  址：</w:t>
            </w:r>
          </w:p>
        </w:tc>
        <w:tc>
          <w:tcPr>
            <w:tcW w:w="2767" w:type="dxa"/>
            <w:vAlign w:val="center"/>
          </w:tcPr>
          <w:p w14:paraId="4E463A5E">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315C2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72B30E69">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法定代表人：</w:t>
            </w:r>
          </w:p>
        </w:tc>
        <w:tc>
          <w:tcPr>
            <w:tcW w:w="2625" w:type="dxa"/>
            <w:vAlign w:val="center"/>
          </w:tcPr>
          <w:p w14:paraId="74CD5EBD">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53282689">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法定代表人：</w:t>
            </w:r>
          </w:p>
        </w:tc>
        <w:tc>
          <w:tcPr>
            <w:tcW w:w="2767" w:type="dxa"/>
            <w:vAlign w:val="center"/>
          </w:tcPr>
          <w:p w14:paraId="6FF39514">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3CB82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628CDC86">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联系电话：</w:t>
            </w:r>
          </w:p>
        </w:tc>
        <w:tc>
          <w:tcPr>
            <w:tcW w:w="2625" w:type="dxa"/>
            <w:vAlign w:val="center"/>
          </w:tcPr>
          <w:p w14:paraId="2F629B8D">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4E126474">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开户银行：</w:t>
            </w:r>
          </w:p>
        </w:tc>
        <w:tc>
          <w:tcPr>
            <w:tcW w:w="2767" w:type="dxa"/>
            <w:vAlign w:val="center"/>
          </w:tcPr>
          <w:p w14:paraId="2F7EDF7D">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38BA5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33D3A040">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2625" w:type="dxa"/>
            <w:vAlign w:val="center"/>
          </w:tcPr>
          <w:p w14:paraId="450C2340">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63A2585E">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帐    号：</w:t>
            </w:r>
          </w:p>
        </w:tc>
        <w:tc>
          <w:tcPr>
            <w:tcW w:w="2767" w:type="dxa"/>
            <w:vAlign w:val="center"/>
          </w:tcPr>
          <w:p w14:paraId="30F59DC6">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43A72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734C654F">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2625" w:type="dxa"/>
            <w:vAlign w:val="center"/>
          </w:tcPr>
          <w:p w14:paraId="006851C7">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c>
          <w:tcPr>
            <w:tcW w:w="1560" w:type="dxa"/>
            <w:vAlign w:val="center"/>
          </w:tcPr>
          <w:p w14:paraId="39EFC567">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联系电话：</w:t>
            </w:r>
          </w:p>
        </w:tc>
        <w:tc>
          <w:tcPr>
            <w:tcW w:w="2767" w:type="dxa"/>
            <w:vAlign w:val="center"/>
          </w:tcPr>
          <w:p w14:paraId="3F464C80">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p>
        </w:tc>
      </w:tr>
      <w:tr w14:paraId="0ACCF0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70" w:type="dxa"/>
            <w:vAlign w:val="center"/>
          </w:tcPr>
          <w:p w14:paraId="2541B0AF">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签订日期：</w:t>
            </w:r>
          </w:p>
        </w:tc>
        <w:tc>
          <w:tcPr>
            <w:tcW w:w="2625" w:type="dxa"/>
            <w:vAlign w:val="center"/>
          </w:tcPr>
          <w:p w14:paraId="09AC1684">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 xml:space="preserve">   </w:t>
            </w:r>
            <w:r>
              <w:rPr>
                <w:rFonts w:hint="eastAsia" w:ascii="仿宋" w:hAnsi="仿宋" w:eastAsia="仿宋" w:cs="宋体"/>
                <w:sz w:val="20"/>
                <w:szCs w:val="20"/>
                <w:highlight w:val="none"/>
                <w:lang w:val="en-US" w:eastAsia="zh-CN"/>
              </w:rPr>
              <w:t xml:space="preserve">  </w:t>
            </w:r>
            <w:r>
              <w:rPr>
                <w:rFonts w:hint="eastAsia" w:ascii="仿宋" w:hAnsi="仿宋" w:eastAsia="仿宋" w:cs="宋体"/>
                <w:sz w:val="20"/>
                <w:szCs w:val="20"/>
                <w:highlight w:val="none"/>
              </w:rPr>
              <w:t xml:space="preserve"> 年  月   日</w:t>
            </w:r>
          </w:p>
        </w:tc>
        <w:tc>
          <w:tcPr>
            <w:tcW w:w="1560" w:type="dxa"/>
            <w:vAlign w:val="center"/>
          </w:tcPr>
          <w:p w14:paraId="357227E0">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签订日期：</w:t>
            </w:r>
          </w:p>
        </w:tc>
        <w:tc>
          <w:tcPr>
            <w:tcW w:w="2767" w:type="dxa"/>
            <w:vAlign w:val="center"/>
          </w:tcPr>
          <w:p w14:paraId="0B4F41C1">
            <w:pPr>
              <w:keepNext w:val="0"/>
              <w:keepLines w:val="0"/>
              <w:pageBreakBefore w:val="0"/>
              <w:tabs>
                <w:tab w:val="left" w:pos="480"/>
              </w:tabs>
              <w:wordWrap/>
              <w:overflowPunct/>
              <w:topLinePunct w:val="0"/>
              <w:bidi w:val="0"/>
              <w:snapToGrid/>
              <w:spacing w:line="240" w:lineRule="auto"/>
              <w:jc w:val="both"/>
              <w:rPr>
                <w:rFonts w:hint="eastAsia" w:ascii="宋体" w:hAnsi="宋体" w:cs="宋体"/>
                <w:sz w:val="20"/>
                <w:szCs w:val="20"/>
                <w:highlight w:val="none"/>
                <w:vertAlign w:val="baseline"/>
              </w:rPr>
            </w:pPr>
            <w:r>
              <w:rPr>
                <w:rFonts w:hint="eastAsia" w:ascii="仿宋" w:hAnsi="仿宋" w:eastAsia="仿宋" w:cs="宋体"/>
                <w:sz w:val="20"/>
                <w:szCs w:val="20"/>
                <w:highlight w:val="none"/>
              </w:rPr>
              <w:t xml:space="preserve">   </w:t>
            </w:r>
            <w:r>
              <w:rPr>
                <w:rFonts w:hint="eastAsia" w:ascii="仿宋" w:hAnsi="仿宋" w:eastAsia="仿宋" w:cs="宋体"/>
                <w:sz w:val="20"/>
                <w:szCs w:val="20"/>
                <w:highlight w:val="none"/>
                <w:lang w:val="en-US" w:eastAsia="zh-CN"/>
              </w:rPr>
              <w:t xml:space="preserve">  </w:t>
            </w:r>
            <w:r>
              <w:rPr>
                <w:rFonts w:hint="eastAsia" w:ascii="仿宋" w:hAnsi="仿宋" w:eastAsia="仿宋" w:cs="宋体"/>
                <w:sz w:val="20"/>
                <w:szCs w:val="20"/>
                <w:highlight w:val="none"/>
              </w:rPr>
              <w:t xml:space="preserve"> 年  月   日</w:t>
            </w:r>
          </w:p>
        </w:tc>
      </w:tr>
    </w:tbl>
    <w:p w14:paraId="1C83E309">
      <w:pPr>
        <w:keepNext w:val="0"/>
        <w:keepLines w:val="0"/>
        <w:pageBreakBefore w:val="0"/>
        <w:tabs>
          <w:tab w:val="left" w:pos="480"/>
        </w:tabs>
        <w:wordWrap/>
        <w:overflowPunct/>
        <w:topLinePunct w:val="0"/>
        <w:bidi w:val="0"/>
        <w:snapToGrid/>
        <w:spacing w:line="240" w:lineRule="auto"/>
        <w:rPr>
          <w:rFonts w:hint="eastAsia" w:ascii="宋体" w:hAnsi="宋体" w:cs="宋体"/>
          <w:sz w:val="20"/>
          <w:szCs w:val="20"/>
          <w:highlight w:val="none"/>
        </w:rPr>
      </w:pPr>
    </w:p>
    <w:p w14:paraId="2E9CFE1B">
      <w:pPr>
        <w:pStyle w:val="10"/>
        <w:keepNext w:val="0"/>
        <w:keepLines w:val="0"/>
        <w:pageBreakBefore w:val="0"/>
        <w:wordWrap/>
        <w:overflowPunct/>
        <w:topLinePunct w:val="0"/>
        <w:bidi w:val="0"/>
        <w:snapToGrid/>
        <w:spacing w:line="240" w:lineRule="auto"/>
        <w:rPr>
          <w:sz w:val="20"/>
          <w:szCs w:val="20"/>
          <w:highlight w:val="none"/>
        </w:rPr>
      </w:pPr>
    </w:p>
    <w:p w14:paraId="3E60FCF5">
      <w:pPr>
        <w:pStyle w:val="10"/>
        <w:keepNext w:val="0"/>
        <w:keepLines w:val="0"/>
        <w:pageBreakBefore w:val="0"/>
        <w:wordWrap/>
        <w:overflowPunct/>
        <w:topLinePunct w:val="0"/>
        <w:bidi w:val="0"/>
        <w:snapToGrid/>
        <w:spacing w:line="240" w:lineRule="auto"/>
        <w:rPr>
          <w:rFonts w:hint="eastAsia" w:ascii="仿宋_GB2312" w:hAnsi="仿宋_GB2312" w:eastAsia="仿宋_GB2312" w:cs="仿宋_GB2312"/>
          <w:sz w:val="20"/>
          <w:szCs w:val="20"/>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1ECF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EEDFA">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EEEDFA">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14EDE"/>
    <w:multiLevelType w:val="singleLevel"/>
    <w:tmpl w:val="92014EDE"/>
    <w:lvl w:ilvl="0" w:tentative="0">
      <w:start w:val="3"/>
      <w:numFmt w:val="chineseCounting"/>
      <w:suff w:val="nothing"/>
      <w:lvlText w:val="（%1）"/>
      <w:lvlJc w:val="left"/>
      <w:rPr>
        <w:rFonts w:hint="eastAsia"/>
      </w:rPr>
    </w:lvl>
  </w:abstractNum>
  <w:abstractNum w:abstractNumId="1">
    <w:nsid w:val="DB5A462C"/>
    <w:multiLevelType w:val="singleLevel"/>
    <w:tmpl w:val="DB5A462C"/>
    <w:lvl w:ilvl="0" w:tentative="0">
      <w:start w:val="1"/>
      <w:numFmt w:val="decimal"/>
      <w:suff w:val="nothing"/>
      <w:lvlText w:val="（%1）"/>
      <w:lvlJc w:val="left"/>
    </w:lvl>
  </w:abstractNum>
  <w:abstractNum w:abstractNumId="2">
    <w:nsid w:val="7DFE56B4"/>
    <w:multiLevelType w:val="multilevel"/>
    <w:tmpl w:val="7DFE56B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5D91727"/>
    <w:rsid w:val="12591626"/>
    <w:rsid w:val="177F50ED"/>
    <w:rsid w:val="2BB54BF0"/>
    <w:rsid w:val="2BE301EC"/>
    <w:rsid w:val="2BE459DF"/>
    <w:rsid w:val="31EF0A96"/>
    <w:rsid w:val="43A45688"/>
    <w:rsid w:val="4DB20E29"/>
    <w:rsid w:val="50477D0B"/>
    <w:rsid w:val="53B52B8D"/>
    <w:rsid w:val="587B223D"/>
    <w:rsid w:val="67581C91"/>
    <w:rsid w:val="68EB21C3"/>
    <w:rsid w:val="68EF2594"/>
    <w:rsid w:val="6E6E7AE8"/>
    <w:rsid w:val="751D3D4A"/>
    <w:rsid w:val="75B058B4"/>
    <w:rsid w:val="77F79321"/>
    <w:rsid w:val="7B186900"/>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annotation text"/>
    <w:basedOn w:val="1"/>
    <w:qFormat/>
    <w:uiPriority w:val="0"/>
    <w:pPr>
      <w:jc w:val="left"/>
    </w:pPr>
  </w:style>
  <w:style w:type="paragraph" w:styleId="4">
    <w:name w:val="Body Text"/>
    <w:basedOn w:val="1"/>
    <w:qFormat/>
    <w:uiPriority w:val="99"/>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styleId="11">
    <w:name w:val="List Paragraph"/>
    <w:basedOn w:val="1"/>
    <w:qFormat/>
    <w:uiPriority w:val="34"/>
    <w:pPr>
      <w:widowControl/>
      <w:spacing w:line="240" w:lineRule="auto"/>
      <w:ind w:left="720"/>
      <w:contextualSpacing/>
      <w:jc w:val="left"/>
    </w:pPr>
    <w:rPr>
      <w:rFonts w:ascii="Calibri" w:hAnsi="Calibri"/>
      <w:kern w:val="0"/>
      <w:sz w:val="24"/>
      <w:lang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5785</Words>
  <Characters>6142</Characters>
  <Lines>0</Lines>
  <Paragraphs>0</Paragraphs>
  <TotalTime>84</TotalTime>
  <ScaleCrop>false</ScaleCrop>
  <LinksUpToDate>false</LinksUpToDate>
  <CharactersWithSpaces>6205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KUKI</cp:lastModifiedBy>
  <cp:lastPrinted>2026-05-06T07:52:00Z</cp:lastPrinted>
  <dcterms:modified xsi:type="dcterms:W3CDTF">2026-05-13T09:13:41Z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eyJoZGlkIjoiZDUwODUwMmNlZmJlZTJiNzEyZDkyM2E3Yjk2MWZkMWQiLCJ1c2VySWQiOiI5MzkzMzU2MzMifQ==</vt:lpwstr>
  </property>
  <property fmtid="{D5CDD505-2E9C-101B-9397-08002B2CF9AE}" pid="4" name="ICV">
    <vt:lpwstr>BA2AF08A5E6545A8B81306DFAD17A6E0_13</vt:lpwstr>
  </property>
</Properties>
</file>