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DD2789">
      <w:pPr>
        <w:pStyle w:val="3"/>
        <w:spacing w:line="360" w:lineRule="auto"/>
        <w:jc w:val="center"/>
        <w:rPr>
          <w:rFonts w:hint="eastAsia" w:ascii="宋体" w:hAnsi="宋体" w:eastAsia="宋体" w:cs="宋体"/>
          <w:b/>
          <w:bCs/>
          <w:sz w:val="28"/>
          <w:szCs w:val="28"/>
        </w:rPr>
      </w:pPr>
      <w:r>
        <w:rPr>
          <w:rFonts w:ascii="宋体" w:hAnsi="宋体" w:eastAsia="宋体" w:cs="宋体"/>
          <w:b/>
          <w:bCs/>
          <w:sz w:val="28"/>
          <w:szCs w:val="28"/>
        </w:rPr>
        <w:t>蓝田县2026年中央水利发展资金山洪灾害防治群测群防项目</w:t>
      </w:r>
    </w:p>
    <w:p w14:paraId="3FE2879D">
      <w:pPr>
        <w:pStyle w:val="3"/>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采购需求书（服务类）</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0"/>
        <w:gridCol w:w="1437"/>
        <w:gridCol w:w="6881"/>
      </w:tblGrid>
      <w:tr w14:paraId="3DCD6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tcPr>
          <w:p w14:paraId="70797A08">
            <w:pPr>
              <w:jc w:val="center"/>
              <w:rPr>
                <w:b/>
                <w:bCs/>
                <w:sz w:val="24"/>
              </w:rPr>
            </w:pPr>
            <w:r>
              <w:rPr>
                <w:rFonts w:hint="eastAsia"/>
                <w:b/>
                <w:bCs/>
                <w:sz w:val="24"/>
              </w:rPr>
              <w:t>序号</w:t>
            </w:r>
          </w:p>
        </w:tc>
        <w:tc>
          <w:tcPr>
            <w:tcW w:w="1437" w:type="dxa"/>
          </w:tcPr>
          <w:p w14:paraId="7F4B899A">
            <w:pPr>
              <w:jc w:val="center"/>
              <w:rPr>
                <w:b/>
                <w:bCs/>
                <w:sz w:val="24"/>
              </w:rPr>
            </w:pPr>
            <w:r>
              <w:rPr>
                <w:rFonts w:hint="eastAsia"/>
                <w:b/>
                <w:bCs/>
                <w:sz w:val="24"/>
              </w:rPr>
              <w:t>关键事项</w:t>
            </w:r>
          </w:p>
        </w:tc>
        <w:tc>
          <w:tcPr>
            <w:tcW w:w="6881" w:type="dxa"/>
          </w:tcPr>
          <w:p w14:paraId="0FEACD2A">
            <w:pPr>
              <w:jc w:val="center"/>
              <w:rPr>
                <w:b/>
                <w:bCs/>
                <w:sz w:val="24"/>
              </w:rPr>
            </w:pPr>
            <w:r>
              <w:rPr>
                <w:rFonts w:hint="eastAsia"/>
                <w:b/>
                <w:bCs/>
                <w:sz w:val="24"/>
              </w:rPr>
              <w:t>说明和要求</w:t>
            </w:r>
          </w:p>
        </w:tc>
      </w:tr>
      <w:tr w14:paraId="7E5D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Align w:val="center"/>
          </w:tcPr>
          <w:p w14:paraId="0CE4CB14">
            <w:pPr>
              <w:jc w:val="center"/>
              <w:rPr>
                <w:szCs w:val="21"/>
              </w:rPr>
            </w:pPr>
            <w:r>
              <w:rPr>
                <w:rFonts w:hint="eastAsia"/>
                <w:szCs w:val="21"/>
              </w:rPr>
              <w:t>1</w:t>
            </w:r>
          </w:p>
        </w:tc>
        <w:tc>
          <w:tcPr>
            <w:tcW w:w="1437" w:type="dxa"/>
            <w:vAlign w:val="center"/>
          </w:tcPr>
          <w:p w14:paraId="404F72CA">
            <w:pPr>
              <w:jc w:val="center"/>
              <w:rPr>
                <w:szCs w:val="21"/>
              </w:rPr>
            </w:pPr>
            <w:r>
              <w:rPr>
                <w:rFonts w:hint="eastAsia"/>
                <w:szCs w:val="21"/>
              </w:rPr>
              <w:t>采购预算</w:t>
            </w:r>
          </w:p>
        </w:tc>
        <w:tc>
          <w:tcPr>
            <w:tcW w:w="6881" w:type="dxa"/>
          </w:tcPr>
          <w:p w14:paraId="42F395E3">
            <w:pPr>
              <w:rPr>
                <w:szCs w:val="21"/>
              </w:rPr>
            </w:pPr>
            <w:r>
              <w:rPr>
                <w:rFonts w:hint="eastAsia"/>
                <w:szCs w:val="21"/>
              </w:rPr>
              <w:t>人民币</w:t>
            </w:r>
            <w:r>
              <w:rPr>
                <w:rFonts w:hint="eastAsia"/>
                <w:szCs w:val="21"/>
                <w:u w:val="single"/>
              </w:rPr>
              <w:t>12.8</w:t>
            </w:r>
            <w:r>
              <w:rPr>
                <w:rFonts w:hint="eastAsia"/>
                <w:szCs w:val="21"/>
              </w:rPr>
              <w:t>万元</w:t>
            </w:r>
          </w:p>
          <w:p w14:paraId="15C9EB87">
            <w:pPr>
              <w:rPr>
                <w:szCs w:val="21"/>
              </w:rPr>
            </w:pPr>
            <w:r>
              <w:rPr>
                <w:rFonts w:hint="eastAsia"/>
                <w:szCs w:val="21"/>
              </w:rPr>
              <w:t>仅指与本次采购标的直接相关的费用，前期勘察费、设计费等已发生的费用，以及监理费、接口费等未来预留费用，不应当包含在本项目采购预算内，甲方须向本级财政部门经费业务处室申请办理经费剥离手续。</w:t>
            </w:r>
          </w:p>
        </w:tc>
      </w:tr>
      <w:tr w14:paraId="4D687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Align w:val="center"/>
          </w:tcPr>
          <w:p w14:paraId="5B7F63FB">
            <w:pPr>
              <w:jc w:val="center"/>
              <w:rPr>
                <w:szCs w:val="21"/>
              </w:rPr>
            </w:pPr>
            <w:r>
              <w:rPr>
                <w:rFonts w:hint="eastAsia"/>
                <w:szCs w:val="21"/>
              </w:rPr>
              <w:t>2</w:t>
            </w:r>
          </w:p>
        </w:tc>
        <w:tc>
          <w:tcPr>
            <w:tcW w:w="1437" w:type="dxa"/>
            <w:vAlign w:val="center"/>
          </w:tcPr>
          <w:p w14:paraId="412B72AB">
            <w:pPr>
              <w:jc w:val="center"/>
              <w:rPr>
                <w:szCs w:val="21"/>
              </w:rPr>
            </w:pPr>
            <w:r>
              <w:rPr>
                <w:rFonts w:hint="eastAsia"/>
                <w:szCs w:val="21"/>
              </w:rPr>
              <w:t>最高限价</w:t>
            </w:r>
          </w:p>
        </w:tc>
        <w:tc>
          <w:tcPr>
            <w:tcW w:w="6881" w:type="dxa"/>
          </w:tcPr>
          <w:p w14:paraId="3ADAE5D5">
            <w:pPr>
              <w:rPr>
                <w:szCs w:val="21"/>
              </w:rPr>
            </w:pPr>
            <w:r>
              <w:rPr>
                <w:rFonts w:hint="eastAsia"/>
                <w:szCs w:val="21"/>
              </w:rPr>
              <w:t>人民币</w:t>
            </w:r>
            <w:r>
              <w:rPr>
                <w:rFonts w:hint="eastAsia"/>
                <w:szCs w:val="21"/>
                <w:u w:val="single"/>
              </w:rPr>
              <w:t>12.8</w:t>
            </w:r>
            <w:r>
              <w:rPr>
                <w:rFonts w:hint="eastAsia"/>
                <w:szCs w:val="21"/>
              </w:rPr>
              <w:t>万元</w:t>
            </w:r>
          </w:p>
          <w:p w14:paraId="7AB002CD">
            <w:pPr>
              <w:rPr>
                <w:szCs w:val="21"/>
                <w:u w:val="single"/>
              </w:rPr>
            </w:pPr>
            <w:r>
              <w:rPr>
                <w:rFonts w:hint="eastAsia"/>
                <w:szCs w:val="21"/>
              </w:rPr>
              <w:t>供应商投标报价高于最高限额价的则其投标文件将按无效投标文件处理。</w:t>
            </w:r>
          </w:p>
        </w:tc>
      </w:tr>
      <w:tr w14:paraId="7D0A3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restart"/>
            <w:vAlign w:val="center"/>
          </w:tcPr>
          <w:p w14:paraId="3CC1B4A0">
            <w:pPr>
              <w:jc w:val="center"/>
              <w:rPr>
                <w:szCs w:val="21"/>
              </w:rPr>
            </w:pPr>
            <w:r>
              <w:rPr>
                <w:rFonts w:hint="eastAsia"/>
                <w:szCs w:val="21"/>
              </w:rPr>
              <w:t>3</w:t>
            </w:r>
          </w:p>
        </w:tc>
        <w:tc>
          <w:tcPr>
            <w:tcW w:w="1437" w:type="dxa"/>
            <w:vMerge w:val="restart"/>
            <w:vAlign w:val="center"/>
          </w:tcPr>
          <w:p w14:paraId="6E3B2C7F">
            <w:pPr>
              <w:jc w:val="center"/>
              <w:rPr>
                <w:szCs w:val="21"/>
              </w:rPr>
            </w:pPr>
            <w:r>
              <w:rPr>
                <w:rFonts w:hint="eastAsia"/>
                <w:szCs w:val="21"/>
              </w:rPr>
              <w:t>项目性质</w:t>
            </w:r>
          </w:p>
        </w:tc>
        <w:tc>
          <w:tcPr>
            <w:tcW w:w="6881" w:type="dxa"/>
          </w:tcPr>
          <w:p w14:paraId="6F270430">
            <w:pPr>
              <w:rPr>
                <w:rFonts w:eastAsia="宋体"/>
                <w:szCs w:val="21"/>
              </w:rPr>
            </w:pPr>
            <w:r>
              <w:rPr>
                <w:rFonts w:ascii="Arial" w:hAnsi="Arial" w:eastAsia="宋体" w:cs="Arial"/>
                <w:szCs w:val="21"/>
              </w:rPr>
              <w:t>√</w:t>
            </w:r>
            <w:r>
              <w:rPr>
                <w:rFonts w:hint="eastAsia" w:ascii="Arial" w:hAnsi="Arial" w:eastAsia="宋体" w:cs="Arial"/>
                <w:szCs w:val="21"/>
              </w:rPr>
              <w:t xml:space="preserve"> </w:t>
            </w:r>
            <w:r>
              <w:rPr>
                <w:rFonts w:hint="eastAsia" w:eastAsia="宋体"/>
                <w:szCs w:val="21"/>
              </w:rPr>
              <w:t>专门面向中小企业采购</w:t>
            </w:r>
          </w:p>
          <w:p w14:paraId="46D88F9C">
            <w:pPr>
              <w:rPr>
                <w:rFonts w:eastAsia="宋体"/>
                <w:szCs w:val="21"/>
              </w:rPr>
            </w:pPr>
            <w:r>
              <w:rPr>
                <w:rFonts w:hint="eastAsia" w:eastAsia="宋体"/>
                <w:szCs w:val="21"/>
              </w:rPr>
              <w:t>仅允许中小企业或小型、微型企业参与投标。</w:t>
            </w:r>
          </w:p>
        </w:tc>
      </w:tr>
      <w:tr w14:paraId="4A560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continue"/>
          </w:tcPr>
          <w:p w14:paraId="0CB9F2A9"/>
        </w:tc>
        <w:tc>
          <w:tcPr>
            <w:tcW w:w="1437" w:type="dxa"/>
            <w:vMerge w:val="continue"/>
          </w:tcPr>
          <w:p w14:paraId="549EE614"/>
        </w:tc>
        <w:tc>
          <w:tcPr>
            <w:tcW w:w="6881" w:type="dxa"/>
          </w:tcPr>
          <w:p w14:paraId="6EED7F4E">
            <w:pPr>
              <w:rPr>
                <w:rFonts w:hint="eastAsia" w:ascii="宋体" w:hAnsi="宋体" w:eastAsia="宋体" w:cs="宋体"/>
                <w:szCs w:val="21"/>
              </w:rPr>
            </w:pPr>
            <w:r>
              <w:rPr>
                <w:rFonts w:hint="eastAsia" w:ascii="宋体" w:hAnsi="宋体" w:eastAsia="宋体" w:cs="宋体"/>
                <w:szCs w:val="21"/>
              </w:rPr>
              <w:t>○</w:t>
            </w:r>
            <w:r>
              <w:rPr>
                <w:rFonts w:hint="eastAsia" w:ascii="Arial" w:hAnsi="Arial" w:eastAsia="宋体" w:cs="Arial"/>
                <w:szCs w:val="21"/>
              </w:rPr>
              <w:t xml:space="preserve"> </w:t>
            </w:r>
            <w:r>
              <w:rPr>
                <w:rFonts w:hint="eastAsia" w:ascii="宋体" w:hAnsi="宋体" w:eastAsia="宋体" w:cs="宋体"/>
                <w:szCs w:val="21"/>
              </w:rPr>
              <w:t>非专门面向中小企业采购</w:t>
            </w:r>
          </w:p>
          <w:p w14:paraId="2839BEB6">
            <w:pPr>
              <w:rPr>
                <w:rFonts w:hint="eastAsia" w:ascii="宋体" w:hAnsi="宋体" w:eastAsia="宋体" w:cs="宋体"/>
                <w:szCs w:val="21"/>
              </w:rPr>
            </w:pPr>
            <w:r>
              <w:rPr>
                <w:rFonts w:hint="eastAsia" w:ascii="宋体" w:hAnsi="宋体" w:eastAsia="宋体" w:cs="宋体"/>
                <w:szCs w:val="21"/>
              </w:rPr>
              <w:t>对符合《政府采购促进中小企业发展管理办法》（财库{2020}46号）规定的小微企业（监狱企业视同小型、微型企业）的报价给予</w:t>
            </w:r>
            <w:r>
              <w:rPr>
                <w:rFonts w:hint="eastAsia" w:ascii="宋体" w:hAnsi="宋体" w:eastAsia="宋体" w:cs="宋体"/>
                <w:szCs w:val="21"/>
                <w:u w:val="single"/>
              </w:rPr>
              <w:t xml:space="preserve"> /  </w:t>
            </w:r>
            <w:r>
              <w:rPr>
                <w:rFonts w:hint="eastAsia" w:ascii="宋体" w:hAnsi="宋体" w:eastAsia="宋体" w:cs="宋体"/>
                <w:szCs w:val="21"/>
              </w:rPr>
              <w:t>%的扣除，用扣除后的价格参加评审。</w:t>
            </w:r>
          </w:p>
        </w:tc>
      </w:tr>
      <w:tr w14:paraId="049FE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Align w:val="center"/>
          </w:tcPr>
          <w:p w14:paraId="61EA687D">
            <w:pPr>
              <w:jc w:val="center"/>
              <w:rPr>
                <w:szCs w:val="21"/>
              </w:rPr>
            </w:pPr>
            <w:r>
              <w:rPr>
                <w:rFonts w:hint="eastAsia"/>
                <w:szCs w:val="21"/>
              </w:rPr>
              <w:t>4</w:t>
            </w:r>
          </w:p>
        </w:tc>
        <w:tc>
          <w:tcPr>
            <w:tcW w:w="1437" w:type="dxa"/>
            <w:vAlign w:val="center"/>
          </w:tcPr>
          <w:p w14:paraId="78B77ED0">
            <w:pPr>
              <w:jc w:val="center"/>
              <w:rPr>
                <w:szCs w:val="21"/>
              </w:rPr>
            </w:pPr>
            <w:r>
              <w:rPr>
                <w:rFonts w:hint="eastAsia"/>
                <w:szCs w:val="21"/>
              </w:rPr>
              <w:t>对供应商的</w:t>
            </w:r>
          </w:p>
          <w:p w14:paraId="3288F7FC">
            <w:pPr>
              <w:jc w:val="center"/>
              <w:rPr>
                <w:szCs w:val="21"/>
              </w:rPr>
            </w:pPr>
            <w:r>
              <w:rPr>
                <w:rFonts w:hint="eastAsia"/>
                <w:szCs w:val="21"/>
              </w:rPr>
              <w:t>资格要求</w:t>
            </w:r>
          </w:p>
        </w:tc>
        <w:tc>
          <w:tcPr>
            <w:tcW w:w="6881" w:type="dxa"/>
          </w:tcPr>
          <w:p w14:paraId="4B9E534A">
            <w:pPr>
              <w:pStyle w:val="10"/>
              <w:widowControl/>
              <w:jc w:val="both"/>
              <w:rPr>
                <w:rFonts w:hint="default"/>
                <w:kern w:val="2"/>
                <w:sz w:val="21"/>
                <w:szCs w:val="21"/>
                <w:lang w:eastAsia="zh-CN"/>
              </w:rPr>
            </w:pPr>
            <w:r>
              <w:rPr>
                <w:kern w:val="2"/>
                <w:sz w:val="21"/>
                <w:szCs w:val="21"/>
                <w:lang w:eastAsia="zh-CN"/>
              </w:rPr>
              <w:t>1、满足《中华人民共和国政府采购法》第二十二条规定；</w:t>
            </w:r>
          </w:p>
          <w:p w14:paraId="13EE286F">
            <w:pPr>
              <w:pStyle w:val="10"/>
              <w:widowControl/>
              <w:jc w:val="both"/>
              <w:rPr>
                <w:rFonts w:hint="default"/>
                <w:kern w:val="2"/>
                <w:sz w:val="21"/>
                <w:szCs w:val="21"/>
                <w:lang w:eastAsia="zh-CN"/>
              </w:rPr>
            </w:pPr>
            <w:r>
              <w:rPr>
                <w:kern w:val="2"/>
                <w:sz w:val="21"/>
                <w:szCs w:val="21"/>
                <w:lang w:eastAsia="zh-CN"/>
              </w:rPr>
              <w:t>2、具有独立承担民事责任能力的法人或其他组织，提供有效存续的营业执照或事业单位法人证书或非企业专业服务机构执业许可证或民办非企业单位登记证书或自然人的身份证明；；</w:t>
            </w:r>
          </w:p>
          <w:p w14:paraId="3291E90A">
            <w:pPr>
              <w:pStyle w:val="10"/>
              <w:widowControl/>
              <w:jc w:val="both"/>
              <w:rPr>
                <w:rFonts w:hint="default"/>
                <w:kern w:val="2"/>
                <w:sz w:val="21"/>
                <w:szCs w:val="21"/>
                <w:lang w:eastAsia="zh-CN"/>
              </w:rPr>
            </w:pPr>
            <w:r>
              <w:rPr>
                <w:kern w:val="2"/>
                <w:sz w:val="21"/>
                <w:szCs w:val="21"/>
                <w:lang w:eastAsia="zh-CN"/>
              </w:rPr>
              <w:t>3、法定代表人直接参加磋商的，须出具法定代表人身份证明，法定代表人授权代表参加磋商的，须出具法定代表人授权书；</w:t>
            </w:r>
          </w:p>
          <w:p w14:paraId="22A5FFBF">
            <w:pPr>
              <w:pStyle w:val="10"/>
              <w:widowControl/>
              <w:jc w:val="both"/>
              <w:rPr>
                <w:rFonts w:hint="default"/>
                <w:kern w:val="2"/>
                <w:sz w:val="21"/>
                <w:szCs w:val="21"/>
                <w:lang w:eastAsia="zh-CN"/>
              </w:rPr>
            </w:pPr>
            <w:r>
              <w:rPr>
                <w:kern w:val="2"/>
                <w:sz w:val="21"/>
                <w:szCs w:val="21"/>
                <w:lang w:eastAsia="zh-CN"/>
              </w:rPr>
              <w:t>4、财务状况报告：提供审计事务所出具的2022年度或2023年度的财务报告（至少包括审计报告、资产负债表、利润表、现金流量表、所有者权益变动表及其附注，成立时间至提交响应文件截止时间不足一年的可提供成立后任意时段的资产负债表）或在开标日期前六个月内其基本开户银行出具的资信证明，或信用担保机构出具的投标担保函，以上三种形式的资料提供任何一种即可（分支机构如无法提供财务审计报告，须出具包含分支机构的财务数据的总公司财务审计报告）；</w:t>
            </w:r>
          </w:p>
          <w:p w14:paraId="5551176E">
            <w:pPr>
              <w:pStyle w:val="10"/>
              <w:widowControl/>
              <w:jc w:val="both"/>
              <w:rPr>
                <w:rFonts w:hint="default"/>
                <w:kern w:val="2"/>
                <w:sz w:val="21"/>
                <w:szCs w:val="21"/>
                <w:lang w:eastAsia="zh-CN"/>
              </w:rPr>
            </w:pPr>
            <w:r>
              <w:rPr>
                <w:kern w:val="2"/>
                <w:sz w:val="21"/>
                <w:szCs w:val="21"/>
                <w:lang w:eastAsia="zh-CN"/>
              </w:rPr>
              <w:t>5、税收缴纳证明：提供截止至磋商时间前一年内任意一个月份纳税证明或完税证明，纳税证明或完税证明上应有代收机构或税务机关的公章。依法免税的供应商应提供相关文件证明；</w:t>
            </w:r>
          </w:p>
          <w:p w14:paraId="22FCB705">
            <w:pPr>
              <w:pStyle w:val="10"/>
              <w:widowControl/>
              <w:jc w:val="both"/>
              <w:rPr>
                <w:rFonts w:hint="default"/>
                <w:kern w:val="2"/>
                <w:sz w:val="21"/>
                <w:szCs w:val="21"/>
                <w:lang w:eastAsia="zh-CN"/>
              </w:rPr>
            </w:pPr>
            <w:r>
              <w:rPr>
                <w:kern w:val="2"/>
                <w:sz w:val="21"/>
                <w:szCs w:val="21"/>
                <w:lang w:eastAsia="zh-CN"/>
              </w:rPr>
              <w:t>6、社会保障资金缴纳证明：提供截止至磋商时间前一年内任意一个月份的社会保障资金缴存单据或社保机构开具的社会保险参保缴费情况证明，单据或证明上应有社保机构或代收机构的公章。依法不需要缴纳社会保障 资金的供应商应提供相关文件证明；</w:t>
            </w:r>
          </w:p>
          <w:p w14:paraId="54060F69">
            <w:pPr>
              <w:pStyle w:val="10"/>
              <w:widowControl/>
              <w:jc w:val="both"/>
              <w:rPr>
                <w:rFonts w:hint="default"/>
                <w:kern w:val="2"/>
                <w:sz w:val="21"/>
                <w:szCs w:val="21"/>
                <w:lang w:eastAsia="zh-CN"/>
              </w:rPr>
            </w:pPr>
            <w:r>
              <w:rPr>
                <w:kern w:val="2"/>
                <w:sz w:val="21"/>
                <w:szCs w:val="21"/>
                <w:lang w:eastAsia="zh-CN"/>
              </w:rPr>
              <w:t>7、未被“中国执行信息公开网”网站（http://zxgk.court.gov.cn/）列入失信被执行人名单，未被“信用中国”网站（www.creditchina.gov.cn）列入重大税收违法失信主体，未被“中国政府采购网”（www.ccgp.gov.cn）列入政府采购严重违法失信行为记录名单被财政部门禁止参加政府采购活动（处罚决定规定的时间和地域范围内）；</w:t>
            </w:r>
          </w:p>
          <w:p w14:paraId="078A0BC2">
            <w:pPr>
              <w:pStyle w:val="10"/>
              <w:widowControl/>
              <w:jc w:val="both"/>
              <w:rPr>
                <w:rFonts w:hint="default"/>
                <w:kern w:val="2"/>
                <w:sz w:val="21"/>
                <w:szCs w:val="21"/>
                <w:lang w:eastAsia="zh-CN"/>
              </w:rPr>
            </w:pPr>
            <w:r>
              <w:rPr>
                <w:kern w:val="2"/>
                <w:sz w:val="21"/>
                <w:szCs w:val="21"/>
                <w:lang w:eastAsia="zh-CN"/>
              </w:rPr>
              <w:t>8、不接受联合体磋商。</w:t>
            </w:r>
          </w:p>
          <w:p w14:paraId="55F1D86F">
            <w:pPr>
              <w:pStyle w:val="10"/>
              <w:widowControl/>
              <w:jc w:val="both"/>
              <w:rPr>
                <w:rFonts w:hint="default"/>
                <w:kern w:val="2"/>
                <w:sz w:val="21"/>
                <w:szCs w:val="21"/>
                <w:lang w:eastAsia="zh-CN"/>
              </w:rPr>
            </w:pPr>
            <w:r>
              <w:rPr>
                <w:kern w:val="2"/>
                <w:sz w:val="21"/>
                <w:szCs w:val="21"/>
                <w:lang w:eastAsia="zh-CN"/>
              </w:rPr>
              <w:t>9、提供具有履行合同所必需的设备和专业技术能力的承诺函；</w:t>
            </w:r>
          </w:p>
          <w:p w14:paraId="3A08F4B0">
            <w:pPr>
              <w:ind w:firstLine="420" w:firstLineChars="200"/>
              <w:rPr>
                <w:szCs w:val="21"/>
                <w:u w:val="single"/>
              </w:rPr>
            </w:pPr>
            <w:r>
              <w:rPr>
                <w:rFonts w:hint="eastAsia"/>
                <w:szCs w:val="21"/>
              </w:rPr>
              <w:t>根据《政府采购促进中小企业发展管理办法》（财库{2020}46号）的规定，不得以企业注册资本、资产总额、营业收入、从业人员、利润、纳税额等规模条件和财务指标作为供应商的资格要求或者评审因素，不得财企业股权结构、经营年限等方面对中小企业实行差别待遇或者歧视待遇。</w:t>
            </w:r>
          </w:p>
        </w:tc>
      </w:tr>
      <w:tr w14:paraId="3C72E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restart"/>
            <w:vAlign w:val="center"/>
          </w:tcPr>
          <w:p w14:paraId="04622917">
            <w:pPr>
              <w:jc w:val="center"/>
              <w:rPr>
                <w:szCs w:val="21"/>
              </w:rPr>
            </w:pPr>
            <w:r>
              <w:rPr>
                <w:rFonts w:hint="eastAsia"/>
                <w:szCs w:val="21"/>
              </w:rPr>
              <w:t>5</w:t>
            </w:r>
          </w:p>
        </w:tc>
        <w:tc>
          <w:tcPr>
            <w:tcW w:w="1437" w:type="dxa"/>
            <w:vMerge w:val="restart"/>
            <w:vAlign w:val="center"/>
          </w:tcPr>
          <w:p w14:paraId="44CF01D7">
            <w:pPr>
              <w:jc w:val="center"/>
              <w:rPr>
                <w:szCs w:val="21"/>
              </w:rPr>
            </w:pPr>
            <w:r>
              <w:rPr>
                <w:rFonts w:hint="eastAsia"/>
                <w:szCs w:val="21"/>
              </w:rPr>
              <w:t>是否接受</w:t>
            </w:r>
          </w:p>
          <w:p w14:paraId="54866E92">
            <w:pPr>
              <w:jc w:val="center"/>
              <w:rPr>
                <w:szCs w:val="21"/>
              </w:rPr>
            </w:pPr>
            <w:r>
              <w:rPr>
                <w:rFonts w:hint="eastAsia"/>
                <w:szCs w:val="21"/>
              </w:rPr>
              <w:t>联合体投标</w:t>
            </w:r>
          </w:p>
        </w:tc>
        <w:tc>
          <w:tcPr>
            <w:tcW w:w="6881" w:type="dxa"/>
          </w:tcPr>
          <w:p w14:paraId="444CAC3C">
            <w:pPr>
              <w:rPr>
                <w:rFonts w:hint="eastAsia" w:asciiTheme="minorEastAsia" w:hAnsiTheme="minorEastAsia" w:cstheme="minorEastAsia"/>
                <w:szCs w:val="21"/>
              </w:rPr>
            </w:pPr>
            <w:r>
              <w:rPr>
                <w:rFonts w:hint="eastAsia" w:ascii="宋体" w:hAnsi="宋体" w:eastAsia="宋体" w:cs="宋体"/>
                <w:szCs w:val="21"/>
              </w:rPr>
              <w:t>○</w:t>
            </w:r>
            <w:r>
              <w:rPr>
                <w:rFonts w:hint="eastAsia" w:asciiTheme="minorEastAsia" w:hAnsiTheme="minorEastAsia" w:cstheme="minorEastAsia"/>
                <w:szCs w:val="21"/>
              </w:rPr>
              <w:t>接受</w:t>
            </w:r>
          </w:p>
          <w:p w14:paraId="4C78416E">
            <w:pPr>
              <w:rPr>
                <w:rFonts w:hint="eastAsia" w:asciiTheme="minorEastAsia" w:hAnsiTheme="minorEastAsia" w:cstheme="minorEastAsia"/>
                <w:szCs w:val="21"/>
              </w:rPr>
            </w:pPr>
            <w:r>
              <w:rPr>
                <w:rFonts w:hint="eastAsia" w:asciiTheme="minorEastAsia" w:hAnsiTheme="minorEastAsia" w:cstheme="minorEastAsia"/>
                <w:szCs w:val="21"/>
              </w:rPr>
              <w:t>对于联合体协议或者分包意向协议约定小微企业的合同份额占到合同总金额30%以上的，对联合体或者大中型企业的报价给予</w:t>
            </w:r>
            <w:r>
              <w:rPr>
                <w:rFonts w:hint="eastAsia" w:asciiTheme="minorEastAsia" w:hAnsiTheme="minorEastAsia" w:cstheme="minorEastAsia"/>
                <w:szCs w:val="21"/>
                <w:u w:val="single"/>
              </w:rPr>
              <w:t xml:space="preserve">    </w:t>
            </w:r>
            <w:r>
              <w:rPr>
                <w:rFonts w:hint="eastAsia" w:asciiTheme="minorEastAsia" w:hAnsiTheme="minorEastAsia" w:cstheme="minorEastAsia"/>
                <w:szCs w:val="21"/>
              </w:rPr>
              <w:t>%（2%-3%）的扣除，用扣除后的报价参加评审。</w:t>
            </w:r>
          </w:p>
        </w:tc>
      </w:tr>
      <w:tr w14:paraId="08E59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continue"/>
          </w:tcPr>
          <w:p w14:paraId="1ED40B6D"/>
        </w:tc>
        <w:tc>
          <w:tcPr>
            <w:tcW w:w="1437" w:type="dxa"/>
            <w:vMerge w:val="continue"/>
          </w:tcPr>
          <w:p w14:paraId="47C71483"/>
        </w:tc>
        <w:tc>
          <w:tcPr>
            <w:tcW w:w="6881" w:type="dxa"/>
          </w:tcPr>
          <w:p w14:paraId="3B6ABD1B">
            <w:pPr>
              <w:rPr>
                <w:rFonts w:eastAsia="宋体"/>
                <w:szCs w:val="21"/>
              </w:rPr>
            </w:pPr>
            <w:r>
              <w:rPr>
                <w:rFonts w:ascii="Arial" w:hAnsi="Arial" w:eastAsia="宋体" w:cs="Arial"/>
                <w:szCs w:val="21"/>
              </w:rPr>
              <w:t>√</w:t>
            </w:r>
            <w:r>
              <w:rPr>
                <w:rFonts w:hint="eastAsia" w:eastAsia="宋体"/>
                <w:szCs w:val="21"/>
              </w:rPr>
              <w:t>不接受</w:t>
            </w:r>
          </w:p>
        </w:tc>
      </w:tr>
      <w:tr w14:paraId="696BD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restart"/>
            <w:vAlign w:val="center"/>
          </w:tcPr>
          <w:p w14:paraId="6A843DA1">
            <w:pPr>
              <w:jc w:val="center"/>
              <w:rPr>
                <w:szCs w:val="21"/>
              </w:rPr>
            </w:pPr>
            <w:r>
              <w:rPr>
                <w:rFonts w:hint="eastAsia"/>
                <w:szCs w:val="21"/>
              </w:rPr>
              <w:t>6</w:t>
            </w:r>
          </w:p>
        </w:tc>
        <w:tc>
          <w:tcPr>
            <w:tcW w:w="1437" w:type="dxa"/>
            <w:vMerge w:val="restart"/>
            <w:vAlign w:val="center"/>
          </w:tcPr>
          <w:p w14:paraId="6E3D3276">
            <w:pPr>
              <w:jc w:val="center"/>
              <w:rPr>
                <w:szCs w:val="21"/>
              </w:rPr>
            </w:pPr>
            <w:r>
              <w:rPr>
                <w:rFonts w:hint="eastAsia"/>
                <w:szCs w:val="21"/>
              </w:rPr>
              <w:t>履约保证金</w:t>
            </w:r>
          </w:p>
        </w:tc>
        <w:tc>
          <w:tcPr>
            <w:tcW w:w="6881" w:type="dxa"/>
          </w:tcPr>
          <w:p w14:paraId="3CC5C510">
            <w:pPr>
              <w:rPr>
                <w:szCs w:val="21"/>
              </w:rPr>
            </w:pPr>
            <w:r>
              <w:rPr>
                <w:rFonts w:hint="eastAsia"/>
                <w:szCs w:val="21"/>
              </w:rPr>
              <w:t>占政府采购合同金额的</w:t>
            </w:r>
            <w:r>
              <w:rPr>
                <w:rFonts w:hint="eastAsia"/>
                <w:szCs w:val="21"/>
                <w:u w:val="single"/>
              </w:rPr>
              <w:t xml:space="preserve">  </w:t>
            </w:r>
            <w:r>
              <w:rPr>
                <w:rFonts w:hint="eastAsia"/>
                <w:szCs w:val="21"/>
              </w:rPr>
              <w:t>%</w:t>
            </w:r>
          </w:p>
          <w:p w14:paraId="0A25DBBF">
            <w:pPr>
              <w:rPr>
                <w:szCs w:val="21"/>
              </w:rPr>
            </w:pPr>
            <w:r>
              <w:rPr>
                <w:rFonts w:hint="eastAsia"/>
                <w:szCs w:val="21"/>
              </w:rPr>
              <w:t>履约保证金的数额不得超过政府采购合同金额的10%：对于单价合同，其数额不得超过采购预算的10%</w:t>
            </w:r>
          </w:p>
        </w:tc>
      </w:tr>
      <w:tr w14:paraId="51FDC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0" w:type="dxa"/>
            <w:vMerge w:val="continue"/>
          </w:tcPr>
          <w:p w14:paraId="68DEE2D0"/>
        </w:tc>
        <w:tc>
          <w:tcPr>
            <w:tcW w:w="1437" w:type="dxa"/>
            <w:vMerge w:val="continue"/>
          </w:tcPr>
          <w:p w14:paraId="49B024DF"/>
        </w:tc>
        <w:tc>
          <w:tcPr>
            <w:tcW w:w="6881" w:type="dxa"/>
          </w:tcPr>
          <w:p w14:paraId="05835AA7">
            <w:r>
              <w:rPr>
                <w:rFonts w:hint="eastAsia"/>
              </w:rPr>
              <w:t>○由采购单位自行收退</w:t>
            </w:r>
          </w:p>
          <w:p w14:paraId="1B3971C4">
            <w:r>
              <w:rPr>
                <w:rFonts w:hint="eastAsia"/>
              </w:rPr>
              <w:t>○由代理机构负责收退</w:t>
            </w:r>
          </w:p>
          <w:p w14:paraId="05CE2F6B">
            <w:pPr>
              <w:rPr>
                <w:rFonts w:eastAsia="宋体"/>
              </w:rPr>
            </w:pPr>
            <w:r>
              <w:rPr>
                <w:rFonts w:ascii="Arial" w:hAnsi="Arial" w:eastAsia="宋体" w:cs="Arial"/>
                <w:szCs w:val="21"/>
              </w:rPr>
              <w:t>√</w:t>
            </w:r>
            <w:r>
              <w:rPr>
                <w:rFonts w:hint="eastAsia" w:ascii="Arial" w:hAnsi="Arial" w:eastAsia="宋体" w:cs="Arial"/>
                <w:szCs w:val="21"/>
              </w:rPr>
              <w:t xml:space="preserve"> 无</w:t>
            </w:r>
          </w:p>
        </w:tc>
      </w:tr>
      <w:tr w14:paraId="4B200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0A3BF89">
            <w:pPr>
              <w:jc w:val="center"/>
              <w:rPr>
                <w:szCs w:val="21"/>
              </w:rPr>
            </w:pPr>
            <w:r>
              <w:rPr>
                <w:rFonts w:hint="eastAsia"/>
                <w:szCs w:val="21"/>
              </w:rPr>
              <w:t>7</w:t>
            </w:r>
          </w:p>
        </w:tc>
        <w:tc>
          <w:tcPr>
            <w:tcW w:w="1437" w:type="dxa"/>
            <w:vAlign w:val="center"/>
          </w:tcPr>
          <w:p w14:paraId="74F79494">
            <w:pPr>
              <w:jc w:val="center"/>
              <w:rPr>
                <w:szCs w:val="21"/>
              </w:rPr>
            </w:pPr>
            <w:r>
              <w:rPr>
                <w:rFonts w:hint="eastAsia"/>
                <w:szCs w:val="21"/>
              </w:rPr>
              <w:t>集中答疑</w:t>
            </w:r>
          </w:p>
        </w:tc>
        <w:tc>
          <w:tcPr>
            <w:tcW w:w="6881" w:type="dxa"/>
          </w:tcPr>
          <w:p w14:paraId="590BD93E">
            <w:pPr>
              <w:rPr>
                <w:rFonts w:eastAsia="宋体"/>
                <w:szCs w:val="21"/>
                <w:u w:val="single"/>
              </w:rPr>
            </w:pPr>
            <w:r>
              <w:rPr>
                <w:rFonts w:hint="eastAsia" w:ascii="宋体" w:hAnsi="宋体" w:eastAsia="宋体" w:cs="宋体"/>
                <w:szCs w:val="21"/>
              </w:rPr>
              <w:t>○</w:t>
            </w:r>
            <w:r>
              <w:rPr>
                <w:rFonts w:hint="eastAsia" w:eastAsia="宋体"/>
                <w:szCs w:val="21"/>
              </w:rPr>
              <w:t>组织，答疑地点为：</w:t>
            </w:r>
            <w:r>
              <w:rPr>
                <w:rFonts w:hint="eastAsia" w:eastAsia="宋体"/>
                <w:szCs w:val="21"/>
                <w:u w:val="single"/>
              </w:rPr>
              <w:t xml:space="preserve">                     </w:t>
            </w:r>
          </w:p>
          <w:p w14:paraId="3699F385">
            <w:pPr>
              <w:rPr>
                <w:rFonts w:eastAsia="宋体"/>
                <w:szCs w:val="21"/>
              </w:rPr>
            </w:pPr>
            <w:r>
              <w:rPr>
                <w:rFonts w:ascii="Arial" w:hAnsi="Arial" w:eastAsia="宋体" w:cs="Arial"/>
                <w:szCs w:val="21"/>
              </w:rPr>
              <w:t>√</w:t>
            </w:r>
            <w:r>
              <w:rPr>
                <w:rFonts w:hint="eastAsia" w:eastAsia="宋体"/>
                <w:szCs w:val="21"/>
              </w:rPr>
              <w:t>不组织</w:t>
            </w:r>
          </w:p>
        </w:tc>
      </w:tr>
      <w:tr w14:paraId="374E0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25C1BC6C">
            <w:pPr>
              <w:jc w:val="center"/>
              <w:rPr>
                <w:szCs w:val="21"/>
              </w:rPr>
            </w:pPr>
            <w:r>
              <w:rPr>
                <w:rFonts w:hint="eastAsia"/>
                <w:szCs w:val="21"/>
              </w:rPr>
              <w:t>8</w:t>
            </w:r>
          </w:p>
        </w:tc>
        <w:tc>
          <w:tcPr>
            <w:tcW w:w="1437" w:type="dxa"/>
            <w:vAlign w:val="center"/>
          </w:tcPr>
          <w:p w14:paraId="1466529B">
            <w:pPr>
              <w:jc w:val="center"/>
              <w:rPr>
                <w:szCs w:val="21"/>
              </w:rPr>
            </w:pPr>
            <w:r>
              <w:rPr>
                <w:rFonts w:hint="eastAsia"/>
                <w:szCs w:val="21"/>
              </w:rPr>
              <w:t>价格分比重</w:t>
            </w:r>
          </w:p>
        </w:tc>
        <w:tc>
          <w:tcPr>
            <w:tcW w:w="6881" w:type="dxa"/>
          </w:tcPr>
          <w:p w14:paraId="1374D94D">
            <w:pPr>
              <w:spacing w:line="360" w:lineRule="auto"/>
              <w:rPr>
                <w:szCs w:val="21"/>
              </w:rPr>
            </w:pPr>
            <w:r>
              <w:rPr>
                <w:rFonts w:hint="eastAsia"/>
                <w:szCs w:val="21"/>
              </w:rPr>
              <w:t>占总分值的</w:t>
            </w:r>
            <w:r>
              <w:rPr>
                <w:rFonts w:hint="eastAsia"/>
                <w:szCs w:val="21"/>
                <w:u w:val="single"/>
              </w:rPr>
              <w:t xml:space="preserve"> 20 </w:t>
            </w:r>
            <w:r>
              <w:rPr>
                <w:rFonts w:hint="eastAsia"/>
                <w:szCs w:val="21"/>
              </w:rPr>
              <w:t>%</w:t>
            </w:r>
          </w:p>
          <w:p w14:paraId="0D3EA509">
            <w:pPr>
              <w:rPr>
                <w:szCs w:val="21"/>
              </w:rPr>
            </w:pPr>
            <w:r>
              <w:rPr>
                <w:rFonts w:hint="eastAsia"/>
                <w:szCs w:val="21"/>
              </w:rPr>
              <w:t>[招标]根据《政府采购货物和服务招标投标管理办法》（财政部87号令）的规定，综合评分法服务项目的价格分值占总分值的比重不得低于10%。执行国家统一定价标准和采用固定价格采购的项目，其价格不列为评审因素。[磋商]根据《政府采购竞争性磋商采购方式管理暂行办法》（财库{2014}214号）的规定，服务项目的价格分值占总分值的比重（即权值）为10%—30%。［其他釆购方式］无须设置。</w:t>
            </w:r>
          </w:p>
        </w:tc>
      </w:tr>
      <w:tr w14:paraId="695D1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8230201">
            <w:pPr>
              <w:jc w:val="center"/>
              <w:rPr>
                <w:szCs w:val="21"/>
              </w:rPr>
            </w:pPr>
            <w:r>
              <w:rPr>
                <w:rFonts w:hint="eastAsia"/>
                <w:szCs w:val="21"/>
              </w:rPr>
              <w:t>9</w:t>
            </w:r>
          </w:p>
        </w:tc>
        <w:tc>
          <w:tcPr>
            <w:tcW w:w="1437" w:type="dxa"/>
            <w:vAlign w:val="center"/>
          </w:tcPr>
          <w:p w14:paraId="0210BA82">
            <w:pPr>
              <w:jc w:val="center"/>
              <w:rPr>
                <w:szCs w:val="21"/>
              </w:rPr>
            </w:pPr>
            <w:r>
              <w:rPr>
                <w:rFonts w:hint="eastAsia"/>
                <w:szCs w:val="21"/>
              </w:rPr>
              <w:t>合同类型</w:t>
            </w:r>
          </w:p>
        </w:tc>
        <w:tc>
          <w:tcPr>
            <w:tcW w:w="6881" w:type="dxa"/>
          </w:tcPr>
          <w:p w14:paraId="56CFAE0B">
            <w:pPr>
              <w:rPr>
                <w:rFonts w:eastAsia="宋体"/>
                <w:szCs w:val="21"/>
              </w:rPr>
            </w:pPr>
            <w:r>
              <w:rPr>
                <w:rFonts w:ascii="Arial" w:hAnsi="Arial" w:eastAsia="宋体" w:cs="Arial"/>
                <w:szCs w:val="21"/>
              </w:rPr>
              <w:t>√</w:t>
            </w:r>
            <w:r>
              <w:rPr>
                <w:rFonts w:hint="eastAsia" w:eastAsia="宋体"/>
                <w:szCs w:val="21"/>
              </w:rPr>
              <w:t>固定总价</w:t>
            </w:r>
          </w:p>
          <w:p w14:paraId="7854CB44">
            <w:pPr>
              <w:rPr>
                <w:rFonts w:eastAsia="宋体"/>
                <w:szCs w:val="21"/>
              </w:rPr>
            </w:pPr>
            <w:r>
              <w:rPr>
                <w:rFonts w:hint="eastAsia" w:ascii="宋体" w:hAnsi="宋体" w:eastAsia="宋体" w:cs="宋体"/>
                <w:szCs w:val="21"/>
              </w:rPr>
              <w:t>○</w:t>
            </w:r>
            <w:r>
              <w:rPr>
                <w:rFonts w:hint="eastAsia" w:eastAsia="宋体"/>
                <w:szCs w:val="21"/>
              </w:rPr>
              <w:t>固定单价（适用于采购数量不定的情形）</w:t>
            </w:r>
          </w:p>
          <w:p w14:paraId="6806D66D">
            <w:pPr>
              <w:rPr>
                <w:rFonts w:eastAsia="宋体"/>
                <w:szCs w:val="21"/>
              </w:rPr>
            </w:pPr>
            <w:r>
              <w:rPr>
                <w:rFonts w:hint="eastAsia" w:ascii="宋体" w:hAnsi="宋体" w:eastAsia="宋体" w:cs="宋体"/>
                <w:szCs w:val="21"/>
              </w:rPr>
              <w:t>○</w:t>
            </w:r>
            <w:r>
              <w:rPr>
                <w:rFonts w:hint="eastAsia" w:eastAsia="宋体"/>
                <w:szCs w:val="21"/>
              </w:rPr>
              <w:t>其他：</w:t>
            </w:r>
            <w:r>
              <w:rPr>
                <w:rFonts w:hint="eastAsia" w:eastAsia="宋体"/>
                <w:szCs w:val="21"/>
                <w:u w:val="single"/>
              </w:rPr>
              <w:t xml:space="preserve">                    </w:t>
            </w:r>
          </w:p>
        </w:tc>
      </w:tr>
      <w:tr w14:paraId="2429D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32FB6F14">
            <w:pPr>
              <w:jc w:val="center"/>
              <w:rPr>
                <w:szCs w:val="21"/>
              </w:rPr>
            </w:pPr>
            <w:r>
              <w:rPr>
                <w:rFonts w:hint="eastAsia"/>
                <w:szCs w:val="21"/>
              </w:rPr>
              <w:t>10</w:t>
            </w:r>
          </w:p>
        </w:tc>
        <w:tc>
          <w:tcPr>
            <w:tcW w:w="1437" w:type="dxa"/>
            <w:vAlign w:val="center"/>
          </w:tcPr>
          <w:p w14:paraId="72E11014">
            <w:pPr>
              <w:jc w:val="center"/>
              <w:rPr>
                <w:szCs w:val="21"/>
              </w:rPr>
            </w:pPr>
            <w:r>
              <w:rPr>
                <w:rFonts w:hint="eastAsia"/>
                <w:szCs w:val="21"/>
              </w:rPr>
              <w:t>争议解决</w:t>
            </w:r>
          </w:p>
          <w:p w14:paraId="3F32C9D9">
            <w:pPr>
              <w:jc w:val="center"/>
              <w:rPr>
                <w:szCs w:val="21"/>
              </w:rPr>
            </w:pPr>
            <w:r>
              <w:rPr>
                <w:rFonts w:hint="eastAsia"/>
                <w:szCs w:val="21"/>
              </w:rPr>
              <w:t>途径</w:t>
            </w:r>
          </w:p>
        </w:tc>
        <w:tc>
          <w:tcPr>
            <w:tcW w:w="6881" w:type="dxa"/>
          </w:tcPr>
          <w:p w14:paraId="1A7669F8">
            <w:pPr>
              <w:rPr>
                <w:rFonts w:eastAsia="宋体"/>
                <w:szCs w:val="21"/>
              </w:rPr>
            </w:pPr>
            <w:r>
              <w:rPr>
                <w:rFonts w:ascii="Arial" w:hAnsi="Arial" w:eastAsia="宋体" w:cs="Arial"/>
                <w:szCs w:val="21"/>
              </w:rPr>
              <w:t>√</w:t>
            </w:r>
            <w:r>
              <w:rPr>
                <w:rFonts w:hint="eastAsia" w:eastAsia="宋体"/>
                <w:szCs w:val="21"/>
              </w:rPr>
              <w:t>向有管辖权的人民法院提起诉讼</w:t>
            </w:r>
          </w:p>
          <w:p w14:paraId="4BCC044B">
            <w:pPr>
              <w:rPr>
                <w:rFonts w:eastAsia="宋体"/>
                <w:szCs w:val="21"/>
              </w:rPr>
            </w:pPr>
            <w:r>
              <w:rPr>
                <w:rFonts w:hint="eastAsia" w:ascii="宋体" w:hAnsi="宋体" w:eastAsia="宋体" w:cs="宋体"/>
                <w:szCs w:val="21"/>
              </w:rPr>
              <w:t>○</w:t>
            </w:r>
            <w:r>
              <w:rPr>
                <w:rFonts w:hint="eastAsia" w:eastAsia="宋体"/>
                <w:szCs w:val="21"/>
              </w:rPr>
              <w:t>向西安仲裁委员会提请仲裁</w:t>
            </w:r>
          </w:p>
          <w:p w14:paraId="6CCD89BC">
            <w:pPr>
              <w:rPr>
                <w:rFonts w:eastAsia="宋体"/>
                <w:szCs w:val="21"/>
              </w:rPr>
            </w:pPr>
            <w:r>
              <w:rPr>
                <w:rFonts w:hint="eastAsia" w:ascii="宋体" w:hAnsi="宋体" w:eastAsia="宋体" w:cs="宋体"/>
                <w:szCs w:val="21"/>
              </w:rPr>
              <w:t>○</w:t>
            </w:r>
            <w:r>
              <w:rPr>
                <w:rFonts w:hint="eastAsia" w:eastAsia="宋体"/>
                <w:szCs w:val="21"/>
              </w:rPr>
              <w:t>由供应商作出选择</w:t>
            </w:r>
          </w:p>
        </w:tc>
      </w:tr>
      <w:tr w14:paraId="737D4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755C8D1D">
            <w:pPr>
              <w:jc w:val="center"/>
              <w:rPr>
                <w:szCs w:val="21"/>
              </w:rPr>
            </w:pPr>
            <w:r>
              <w:rPr>
                <w:rFonts w:hint="eastAsia"/>
                <w:szCs w:val="21"/>
              </w:rPr>
              <w:t>11</w:t>
            </w:r>
          </w:p>
        </w:tc>
        <w:tc>
          <w:tcPr>
            <w:tcW w:w="1437" w:type="dxa"/>
            <w:vAlign w:val="center"/>
          </w:tcPr>
          <w:p w14:paraId="7A9E7F60">
            <w:pPr>
              <w:jc w:val="center"/>
              <w:rPr>
                <w:szCs w:val="21"/>
              </w:rPr>
            </w:pPr>
            <w:r>
              <w:rPr>
                <w:rFonts w:hint="eastAsia"/>
                <w:szCs w:val="21"/>
              </w:rPr>
              <w:t>联系方式</w:t>
            </w:r>
          </w:p>
        </w:tc>
        <w:tc>
          <w:tcPr>
            <w:tcW w:w="6881" w:type="dxa"/>
          </w:tcPr>
          <w:p w14:paraId="2D89912B">
            <w:pPr>
              <w:rPr>
                <w:szCs w:val="21"/>
                <w:u w:val="single"/>
              </w:rPr>
            </w:pPr>
            <w:r>
              <w:rPr>
                <w:rFonts w:hint="eastAsia"/>
                <w:szCs w:val="21"/>
              </w:rPr>
              <w:t>项目对接人：</w:t>
            </w:r>
            <w:r>
              <w:rPr>
                <w:rFonts w:hint="eastAsia"/>
                <w:szCs w:val="21"/>
                <w:u w:val="single"/>
              </w:rPr>
              <w:t xml:space="preserve">  杨工      </w:t>
            </w:r>
          </w:p>
          <w:p w14:paraId="1192EBE0">
            <w:pPr>
              <w:rPr>
                <w:szCs w:val="21"/>
                <w:u w:val="single"/>
              </w:rPr>
            </w:pPr>
            <w:r>
              <w:rPr>
                <w:rFonts w:hint="eastAsia"/>
                <w:szCs w:val="21"/>
              </w:rPr>
              <w:t>联系电话：</w:t>
            </w:r>
            <w:r>
              <w:rPr>
                <w:rFonts w:hint="eastAsia"/>
                <w:szCs w:val="21"/>
                <w:u w:val="single"/>
              </w:rPr>
              <w:t xml:space="preserve"> 82721323  </w:t>
            </w:r>
          </w:p>
          <w:p w14:paraId="4C6FAE44">
            <w:pPr>
              <w:rPr>
                <w:szCs w:val="21"/>
                <w:u w:val="single"/>
              </w:rPr>
            </w:pPr>
            <w:r>
              <w:rPr>
                <w:rFonts w:hint="eastAsia"/>
                <w:szCs w:val="21"/>
              </w:rPr>
              <w:t>电子邮箱：</w:t>
            </w:r>
            <w:r>
              <w:rPr>
                <w:rFonts w:hint="eastAsia"/>
                <w:szCs w:val="21"/>
                <w:u w:val="single"/>
              </w:rPr>
              <w:t xml:space="preserve">      /       </w:t>
            </w:r>
          </w:p>
        </w:tc>
      </w:tr>
    </w:tbl>
    <w:p w14:paraId="5796E0BB">
      <w:pPr>
        <w:jc w:val="center"/>
        <w:rPr>
          <w:rFonts w:hint="eastAsia" w:ascii="仿宋" w:hAnsi="仿宋" w:eastAsia="仿宋" w:cs="仿宋"/>
          <w:b/>
          <w:bCs/>
          <w:sz w:val="28"/>
          <w:szCs w:val="28"/>
        </w:rPr>
      </w:pPr>
      <w:r>
        <w:rPr>
          <w:rFonts w:hint="eastAsia" w:ascii="仿宋" w:hAnsi="仿宋" w:eastAsia="仿宋" w:cs="仿宋"/>
          <w:b/>
          <w:bCs/>
          <w:sz w:val="28"/>
          <w:szCs w:val="28"/>
        </w:rPr>
        <w:t>需求框架（服务类）</w:t>
      </w:r>
    </w:p>
    <w:p w14:paraId="5238537A">
      <w:pPr>
        <w:numPr>
          <w:ilvl w:val="0"/>
          <w:numId w:val="1"/>
        </w:numPr>
        <w:rPr>
          <w:rFonts w:hint="eastAsia" w:ascii="仿宋" w:hAnsi="仿宋" w:eastAsia="仿宋" w:cs="仿宋"/>
          <w:sz w:val="28"/>
          <w:szCs w:val="28"/>
        </w:rPr>
      </w:pPr>
      <w:r>
        <w:rPr>
          <w:rFonts w:hint="eastAsia" w:ascii="仿宋" w:hAnsi="仿宋" w:eastAsia="仿宋" w:cs="仿宋"/>
          <w:b/>
          <w:bCs/>
          <w:sz w:val="28"/>
          <w:szCs w:val="28"/>
        </w:rPr>
        <w:t>项目概况</w:t>
      </w:r>
      <w:r>
        <w:rPr>
          <w:rFonts w:hint="eastAsia" w:ascii="仿宋" w:hAnsi="仿宋" w:eastAsia="仿宋" w:cs="仿宋"/>
          <w:sz w:val="28"/>
          <w:szCs w:val="28"/>
        </w:rPr>
        <w:t xml:space="preserve"> </w:t>
      </w:r>
    </w:p>
    <w:p w14:paraId="55E75E9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项目名称为：</w:t>
      </w:r>
      <w:r>
        <w:rPr>
          <w:rFonts w:ascii="仿宋" w:hAnsi="仿宋" w:eastAsia="仿宋" w:cs="仿宋"/>
          <w:sz w:val="28"/>
          <w:szCs w:val="28"/>
        </w:rPr>
        <w:t>蓝田县2026年中央水利发展资金山洪灾害防治群测群防项目</w:t>
      </w:r>
    </w:p>
    <w:p w14:paraId="2824969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项目地点为：蓝田县</w:t>
      </w:r>
    </w:p>
    <w:p w14:paraId="1EB18FC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使用单位：蓝田县水务局</w:t>
      </w:r>
    </w:p>
    <w:p w14:paraId="49E723B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项目内容：1、宣传栏  2、补充末端预警设施 3、编制山洪灾害预案 </w:t>
      </w:r>
    </w:p>
    <w:p w14:paraId="43518B3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采购方式：竞争性磋商</w:t>
      </w:r>
    </w:p>
    <w:p w14:paraId="2A56296D">
      <w:pPr>
        <w:ind w:firstLine="560" w:firstLineChars="200"/>
        <w:rPr>
          <w:rFonts w:ascii="仿宋" w:hAnsi="仿宋" w:eastAsia="仿宋" w:cs="仿宋"/>
          <w:sz w:val="28"/>
          <w:szCs w:val="28"/>
        </w:rPr>
      </w:pPr>
      <w:r>
        <w:rPr>
          <w:rFonts w:hint="eastAsia" w:ascii="仿宋" w:hAnsi="仿宋" w:eastAsia="仿宋" w:cs="仿宋"/>
          <w:sz w:val="28"/>
          <w:szCs w:val="28"/>
        </w:rPr>
        <w:t>服务期限及付款方式：自合同签订之日起 1年，付</w:t>
      </w:r>
      <w:bookmarkStart w:id="0" w:name="_GoBack"/>
      <w:bookmarkEnd w:id="0"/>
      <w:r>
        <w:rPr>
          <w:rFonts w:hint="eastAsia" w:ascii="仿宋" w:hAnsi="仿宋" w:eastAsia="仿宋" w:cs="仿宋"/>
          <w:sz w:val="28"/>
          <w:szCs w:val="28"/>
        </w:rPr>
        <w:t>款方式按双方合同约定，采购人与成交供应商直接结算，发票直开采购人。</w:t>
      </w:r>
    </w:p>
    <w:p w14:paraId="1A2F9B53">
      <w:pPr>
        <w:ind w:firstLine="560" w:firstLineChars="200"/>
        <w:rPr>
          <w:rFonts w:hint="eastAsia" w:ascii="仿宋" w:hAnsi="仿宋" w:eastAsia="仿宋" w:cs="仿宋"/>
          <w:sz w:val="28"/>
          <w:szCs w:val="28"/>
        </w:rPr>
      </w:pPr>
      <w:r>
        <w:rPr>
          <w:rFonts w:hint="eastAsia" w:ascii="仿宋" w:hAnsi="仿宋" w:eastAsia="仿宋" w:cs="仿宋"/>
          <w:sz w:val="28"/>
          <w:szCs w:val="28"/>
        </w:rPr>
        <w:t>货物及服务占比：货物类占43%，服务类占57%。</w:t>
      </w:r>
    </w:p>
    <w:p w14:paraId="468004C7">
      <w:pPr>
        <w:numPr>
          <w:ilvl w:val="0"/>
          <w:numId w:val="1"/>
        </w:numPr>
        <w:rPr>
          <w:rFonts w:hint="eastAsia" w:ascii="仿宋" w:hAnsi="仿宋" w:eastAsia="仿宋" w:cs="仿宋"/>
          <w:b/>
          <w:bCs/>
          <w:sz w:val="28"/>
          <w:szCs w:val="28"/>
        </w:rPr>
      </w:pPr>
      <w:r>
        <w:rPr>
          <w:rFonts w:hint="eastAsia" w:ascii="仿宋" w:hAnsi="仿宋" w:eastAsia="仿宋" w:cs="仿宋"/>
          <w:b/>
          <w:bCs/>
          <w:sz w:val="28"/>
          <w:szCs w:val="28"/>
        </w:rPr>
        <w:t>服务内容（包括工作区域、工作内容等）</w:t>
      </w:r>
    </w:p>
    <w:p w14:paraId="3844196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1、宣传栏 </w:t>
      </w:r>
    </w:p>
    <w:p w14:paraId="278ED5A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加强山洪灾害安全警示，确保威胁区安全，保障人身安全，在山洪灾害威胁区设立警示标志牌。 </w:t>
      </w:r>
    </w:p>
    <w:p w14:paraId="2DA7A76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安全警示标志牌尺寸为 0.8*1.2。 </w:t>
      </w:r>
    </w:p>
    <w:p w14:paraId="13CE3A0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转移路线图尺寸为 0.4*0.6（包括左转 2 个，右转 2 个，安置点示意图 1 个）。 </w:t>
      </w:r>
    </w:p>
    <w:p w14:paraId="6994813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安全警示标志的内容既要突出重点，又要简明易懂（比如：山洪灾害威胁区、转移安置点、转移路线向左、转移路线向右等），特殊地段警示内容可结合实际情况自定。警示标志牌、转移路线图的材质以镀锌钢板、铝合金等能防老化。 </w:t>
      </w:r>
    </w:p>
    <w:p w14:paraId="012F26E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字迹以蓝底白字或红色醒目为主。 </w:t>
      </w:r>
    </w:p>
    <w:p w14:paraId="0528EB8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2、补充末端预警设施 </w:t>
      </w:r>
    </w:p>
    <w:p w14:paraId="0DDF8EA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补充铜锣口哨 41 套、手摇报警器 41 个，强光手电 45个，技术要求如下： </w:t>
      </w:r>
    </w:p>
    <w:p w14:paraId="546FF27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铜锣：防汛预警铜锣，直径大于等于 32CM口哨：不锈钢材质救生口哨 </w:t>
      </w:r>
    </w:p>
    <w:p w14:paraId="65B4DED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手摇报警器：便携式救灾报警器。 </w:t>
      </w:r>
    </w:p>
    <w:p w14:paraId="66D58A9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3、山洪灾害威胁区预案编制 </w:t>
      </w:r>
    </w:p>
    <w:p w14:paraId="29337ED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编制镇村级山洪灾害防御预案</w:t>
      </w:r>
    </w:p>
    <w:p w14:paraId="37956408">
      <w:pPr>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p>
    <w:p w14:paraId="792B58A6">
      <w:pPr>
        <w:numPr>
          <w:ilvl w:val="0"/>
          <w:numId w:val="1"/>
        </w:numPr>
        <w:rPr>
          <w:rFonts w:hint="eastAsia" w:ascii="仿宋" w:hAnsi="仿宋" w:eastAsia="仿宋" w:cs="仿宋"/>
          <w:b/>
          <w:bCs/>
          <w:sz w:val="28"/>
          <w:szCs w:val="28"/>
        </w:rPr>
      </w:pPr>
      <w:r>
        <w:rPr>
          <w:rFonts w:hint="eastAsia" w:ascii="仿宋" w:hAnsi="仿宋" w:eastAsia="仿宋" w:cs="仿宋"/>
          <w:b/>
          <w:bCs/>
          <w:sz w:val="28"/>
          <w:szCs w:val="28"/>
        </w:rPr>
        <w:t>技术要求（如有，一般适合于技术服务项目）</w:t>
      </w:r>
    </w:p>
    <w:p w14:paraId="0EF4DF0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符合国家及行业质量合格标准。</w:t>
      </w:r>
    </w:p>
    <w:p w14:paraId="631CD9CC">
      <w:pPr>
        <w:numPr>
          <w:ilvl w:val="0"/>
          <w:numId w:val="1"/>
        </w:numPr>
        <w:rPr>
          <w:rFonts w:hint="eastAsia" w:ascii="仿宋" w:hAnsi="仿宋" w:eastAsia="仿宋" w:cs="仿宋"/>
          <w:b/>
          <w:bCs/>
          <w:sz w:val="28"/>
          <w:szCs w:val="28"/>
        </w:rPr>
      </w:pPr>
      <w:r>
        <w:rPr>
          <w:rFonts w:hint="eastAsia" w:ascii="仿宋" w:hAnsi="仿宋" w:eastAsia="仿宋" w:cs="仿宋"/>
          <w:b/>
          <w:bCs/>
          <w:sz w:val="28"/>
          <w:szCs w:val="28"/>
        </w:rPr>
        <w:t>服务要求（如对人员配置、专业设备、服务标准等）</w:t>
      </w:r>
    </w:p>
    <w:p w14:paraId="70BD1B8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编制镇村级山洪灾害防御预案并通过市级审查，并下发至各相关山洪灾害危险区镇村。</w:t>
      </w:r>
    </w:p>
    <w:p w14:paraId="21D73057">
      <w:pPr>
        <w:numPr>
          <w:ilvl w:val="0"/>
          <w:numId w:val="1"/>
        </w:numPr>
        <w:rPr>
          <w:rFonts w:hint="eastAsia" w:ascii="仿宋" w:hAnsi="仿宋" w:eastAsia="仿宋" w:cs="仿宋"/>
          <w:b/>
          <w:bCs/>
          <w:sz w:val="28"/>
          <w:szCs w:val="28"/>
        </w:rPr>
      </w:pPr>
      <w:r>
        <w:rPr>
          <w:rFonts w:hint="eastAsia" w:ascii="仿宋" w:hAnsi="仿宋" w:eastAsia="仿宋" w:cs="仿宋"/>
          <w:b/>
          <w:bCs/>
          <w:sz w:val="28"/>
          <w:szCs w:val="28"/>
        </w:rPr>
        <w:t>商务要求（如服务期限、款项结算等）</w:t>
      </w:r>
    </w:p>
    <w:p w14:paraId="576648F4">
      <w:pPr>
        <w:ind w:firstLine="560" w:firstLineChars="200"/>
        <w:rPr>
          <w:rFonts w:hint="eastAsia" w:ascii="仿宋" w:hAnsi="仿宋" w:eastAsia="仿宋" w:cs="仿宋"/>
          <w:sz w:val="28"/>
          <w:szCs w:val="28"/>
        </w:rPr>
      </w:pPr>
      <w:r>
        <w:rPr>
          <w:rFonts w:hint="eastAsia" w:ascii="仿宋" w:hAnsi="仿宋" w:eastAsia="仿宋" w:cs="仿宋"/>
          <w:sz w:val="28"/>
          <w:szCs w:val="28"/>
        </w:rPr>
        <w:t>（一）服务期限</w:t>
      </w:r>
    </w:p>
    <w:p w14:paraId="0A09A032">
      <w:pPr>
        <w:pStyle w:val="5"/>
        <w:ind w:firstLine="560" w:firstLineChars="200"/>
      </w:pPr>
      <w:r>
        <w:rPr>
          <w:rFonts w:hint="eastAsia" w:ascii="仿宋" w:hAnsi="仿宋" w:eastAsia="仿宋" w:cs="仿宋"/>
          <w:sz w:val="28"/>
          <w:szCs w:val="28"/>
        </w:rPr>
        <w:t>自合同签订之日起30天</w:t>
      </w:r>
    </w:p>
    <w:p w14:paraId="2E5352B1">
      <w:pPr>
        <w:ind w:firstLine="560" w:firstLineChars="200"/>
        <w:rPr>
          <w:rFonts w:hint="eastAsia" w:ascii="仿宋" w:hAnsi="仿宋" w:eastAsia="仿宋" w:cs="仿宋"/>
          <w:sz w:val="28"/>
          <w:szCs w:val="28"/>
        </w:rPr>
      </w:pPr>
      <w:r>
        <w:rPr>
          <w:rFonts w:hint="eastAsia" w:ascii="仿宋" w:hAnsi="仿宋" w:eastAsia="仿宋" w:cs="仿宋"/>
          <w:sz w:val="28"/>
          <w:szCs w:val="28"/>
        </w:rPr>
        <w:t>（二）款项结算</w:t>
      </w:r>
    </w:p>
    <w:p w14:paraId="4D981070">
      <w:pPr>
        <w:ind w:firstLine="560" w:firstLineChars="200"/>
        <w:rPr>
          <w:rFonts w:hint="eastAsia" w:ascii="仿宋" w:hAnsi="仿宋" w:eastAsia="仿宋" w:cs="仿宋"/>
          <w:sz w:val="28"/>
          <w:szCs w:val="28"/>
          <w:u w:val="single"/>
        </w:rPr>
      </w:pPr>
      <w:r>
        <w:rPr>
          <w:rFonts w:hint="eastAsia" w:ascii="仿宋" w:hAnsi="仿宋" w:eastAsia="仿宋" w:cs="仿宋"/>
          <w:sz w:val="28"/>
          <w:szCs w:val="28"/>
        </w:rPr>
        <w:t xml:space="preserve">款项结算：付款方式按双方合同约定，采购人与成交供应商直接结算，发票直开采购人。                       </w:t>
      </w:r>
    </w:p>
    <w:p w14:paraId="5DBB851B">
      <w:pPr>
        <w:numPr>
          <w:ilvl w:val="0"/>
          <w:numId w:val="1"/>
        </w:numPr>
        <w:rPr>
          <w:rFonts w:hint="eastAsia" w:ascii="仿宋" w:hAnsi="仿宋" w:eastAsia="仿宋" w:cs="仿宋"/>
          <w:b/>
          <w:bCs/>
          <w:sz w:val="28"/>
          <w:szCs w:val="28"/>
        </w:rPr>
      </w:pPr>
      <w:r>
        <w:rPr>
          <w:rFonts w:hint="eastAsia" w:ascii="仿宋" w:hAnsi="仿宋" w:eastAsia="仿宋" w:cs="仿宋"/>
          <w:b/>
          <w:bCs/>
          <w:sz w:val="28"/>
          <w:szCs w:val="28"/>
        </w:rPr>
        <w:t>其他</w:t>
      </w:r>
    </w:p>
    <w:p w14:paraId="7DEE56A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（一）违约责任</w:t>
      </w:r>
    </w:p>
    <w:p w14:paraId="3B7EB8C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1、按《中华人民共和国民法典》中的相关条款执行。</w:t>
      </w:r>
    </w:p>
    <w:p w14:paraId="0782A29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2、乙方履约延误</w:t>
      </w:r>
    </w:p>
    <w:p w14:paraId="39A4A34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2-1、如乙方事先未征得甲方同意并得到甲方的谅解而单方面延迟交货，将按违约终止合同。</w:t>
      </w:r>
    </w:p>
    <w:p w14:paraId="7C195AA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-2、在履行合同过程中，如果乙方遇到可能妨碍按时交货和提供服务的情况，应及时以书面形式将拖延的事实，可能拖延的期限和理由通知甲方。甲方在收到乙方通知后，应尽快对情况进行评价，并确定是否通过修改合同，酌情延长交货时间或对乙方加收误期赔偿金。每延误一周的赔偿费按迟交货物交货价或未提供服务的服务费用的百分之零点五（0.5%）计收，直至交货或提供服务为止。误期赔偿费的最高限额为合同价格的百分之五（5%）。一旦达到误期赔偿费的最高限额，甲方可终止合同。</w:t>
      </w:r>
    </w:p>
    <w:p w14:paraId="73B85DE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3、违约终止合同：未按合同要求提供货物或质量不能满足技术要求，甲方有权终止合同，对乙方违约行为进行追究，同时按政府采购法的有关规定进行相应的处罚。</w:t>
      </w:r>
    </w:p>
    <w:p w14:paraId="02F897EF">
      <w:pPr>
        <w:pStyle w:val="4"/>
        <w:rPr>
          <w:rFonts w:hint="eastAsia"/>
          <w:sz w:val="28"/>
          <w:szCs w:val="28"/>
        </w:rPr>
      </w:pPr>
    </w:p>
    <w:p w14:paraId="15E953EA">
      <w:pPr>
        <w:spacing w:line="360" w:lineRule="auto"/>
        <w:rPr>
          <w:sz w:val="28"/>
          <w:szCs w:val="28"/>
        </w:rPr>
      </w:pPr>
    </w:p>
    <w:p w14:paraId="2755A3D8">
      <w:pPr>
        <w:spacing w:line="360" w:lineRule="auto"/>
        <w:rPr>
          <w:sz w:val="28"/>
          <w:szCs w:val="28"/>
        </w:rPr>
      </w:pPr>
    </w:p>
    <w:sectPr>
      <w:pgSz w:w="11906" w:h="16838"/>
      <w:pgMar w:top="1134" w:right="1417"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7D08B8"/>
    <w:multiLevelType w:val="singleLevel"/>
    <w:tmpl w:val="AD7D08B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3M2Q3NTIxZGEwMzEyNjIzM2VlMmRjMTUzYzE0ZDcifQ=="/>
  </w:docVars>
  <w:rsids>
    <w:rsidRoot w:val="00172A27"/>
    <w:rsid w:val="000166E2"/>
    <w:rsid w:val="00172A27"/>
    <w:rsid w:val="001E4B0D"/>
    <w:rsid w:val="00201278"/>
    <w:rsid w:val="00226FB5"/>
    <w:rsid w:val="003A0914"/>
    <w:rsid w:val="003D2709"/>
    <w:rsid w:val="00507AD6"/>
    <w:rsid w:val="00560581"/>
    <w:rsid w:val="00565C35"/>
    <w:rsid w:val="0088329B"/>
    <w:rsid w:val="009C1CFB"/>
    <w:rsid w:val="009F46C1"/>
    <w:rsid w:val="00AD5B94"/>
    <w:rsid w:val="00B2508A"/>
    <w:rsid w:val="00B7294E"/>
    <w:rsid w:val="00D977BD"/>
    <w:rsid w:val="00DF5997"/>
    <w:rsid w:val="00E8390A"/>
    <w:rsid w:val="00EB4277"/>
    <w:rsid w:val="00EE2ED5"/>
    <w:rsid w:val="00FF4EFC"/>
    <w:rsid w:val="012F26CB"/>
    <w:rsid w:val="012F2F53"/>
    <w:rsid w:val="01BB169D"/>
    <w:rsid w:val="04977CFB"/>
    <w:rsid w:val="05543AB6"/>
    <w:rsid w:val="05F000AA"/>
    <w:rsid w:val="0AB16186"/>
    <w:rsid w:val="0AE25C88"/>
    <w:rsid w:val="0BA924CC"/>
    <w:rsid w:val="0F36448E"/>
    <w:rsid w:val="0F7B75F2"/>
    <w:rsid w:val="10566B3C"/>
    <w:rsid w:val="10B40097"/>
    <w:rsid w:val="116A5D86"/>
    <w:rsid w:val="127A1044"/>
    <w:rsid w:val="1436639D"/>
    <w:rsid w:val="15AA497B"/>
    <w:rsid w:val="15F46946"/>
    <w:rsid w:val="16434E64"/>
    <w:rsid w:val="1661350A"/>
    <w:rsid w:val="176F1CF2"/>
    <w:rsid w:val="17CC2A06"/>
    <w:rsid w:val="1C8454B4"/>
    <w:rsid w:val="1CFF739B"/>
    <w:rsid w:val="1DFC6511"/>
    <w:rsid w:val="1F8966B6"/>
    <w:rsid w:val="20847EA9"/>
    <w:rsid w:val="218066B0"/>
    <w:rsid w:val="22B32241"/>
    <w:rsid w:val="22C20ADB"/>
    <w:rsid w:val="23580F2E"/>
    <w:rsid w:val="23A404BB"/>
    <w:rsid w:val="24852176"/>
    <w:rsid w:val="249F61C3"/>
    <w:rsid w:val="25BC21A1"/>
    <w:rsid w:val="2628717D"/>
    <w:rsid w:val="27A72EE0"/>
    <w:rsid w:val="28871634"/>
    <w:rsid w:val="28904F27"/>
    <w:rsid w:val="28D63020"/>
    <w:rsid w:val="28E575F4"/>
    <w:rsid w:val="2ACB46DB"/>
    <w:rsid w:val="2AF8509F"/>
    <w:rsid w:val="2D7D7753"/>
    <w:rsid w:val="2D915768"/>
    <w:rsid w:val="31563526"/>
    <w:rsid w:val="329655CE"/>
    <w:rsid w:val="32C41C27"/>
    <w:rsid w:val="32C44BDA"/>
    <w:rsid w:val="3564546C"/>
    <w:rsid w:val="366A7435"/>
    <w:rsid w:val="36CC46F5"/>
    <w:rsid w:val="375A12C0"/>
    <w:rsid w:val="38112D58"/>
    <w:rsid w:val="39EF366A"/>
    <w:rsid w:val="3B2B691E"/>
    <w:rsid w:val="3B385E3F"/>
    <w:rsid w:val="3B9D197E"/>
    <w:rsid w:val="3C430575"/>
    <w:rsid w:val="3CF022CD"/>
    <w:rsid w:val="3DDE3450"/>
    <w:rsid w:val="3E50066D"/>
    <w:rsid w:val="3E782F40"/>
    <w:rsid w:val="3ED468D0"/>
    <w:rsid w:val="3FF67080"/>
    <w:rsid w:val="407C400A"/>
    <w:rsid w:val="41815E93"/>
    <w:rsid w:val="4320516C"/>
    <w:rsid w:val="43F25101"/>
    <w:rsid w:val="451A689D"/>
    <w:rsid w:val="45CD3037"/>
    <w:rsid w:val="461F1684"/>
    <w:rsid w:val="468078EE"/>
    <w:rsid w:val="46AB11F1"/>
    <w:rsid w:val="49D722FD"/>
    <w:rsid w:val="4B6202EC"/>
    <w:rsid w:val="4C23620E"/>
    <w:rsid w:val="4E0B5A44"/>
    <w:rsid w:val="51522462"/>
    <w:rsid w:val="52475F29"/>
    <w:rsid w:val="526827E1"/>
    <w:rsid w:val="52AC3B6E"/>
    <w:rsid w:val="53581C37"/>
    <w:rsid w:val="535D687F"/>
    <w:rsid w:val="56C97BC2"/>
    <w:rsid w:val="57E2141A"/>
    <w:rsid w:val="583F79EB"/>
    <w:rsid w:val="58AE6A61"/>
    <w:rsid w:val="5A6A5FA7"/>
    <w:rsid w:val="5B3F5FAE"/>
    <w:rsid w:val="602D281F"/>
    <w:rsid w:val="60622776"/>
    <w:rsid w:val="617B1633"/>
    <w:rsid w:val="64E60D85"/>
    <w:rsid w:val="65047D44"/>
    <w:rsid w:val="65221975"/>
    <w:rsid w:val="655A4D8E"/>
    <w:rsid w:val="65E32857"/>
    <w:rsid w:val="67BD7203"/>
    <w:rsid w:val="67CC0633"/>
    <w:rsid w:val="696A009D"/>
    <w:rsid w:val="6C2A1D68"/>
    <w:rsid w:val="6F43501C"/>
    <w:rsid w:val="70F67629"/>
    <w:rsid w:val="71B6603C"/>
    <w:rsid w:val="71E11C22"/>
    <w:rsid w:val="727465F2"/>
    <w:rsid w:val="72EB6F15"/>
    <w:rsid w:val="73F27BAF"/>
    <w:rsid w:val="742D1BD6"/>
    <w:rsid w:val="773724A9"/>
    <w:rsid w:val="79905EE0"/>
    <w:rsid w:val="79C45D45"/>
    <w:rsid w:val="7A304B50"/>
    <w:rsid w:val="7AFF3963"/>
    <w:rsid w:val="7C160829"/>
    <w:rsid w:val="7C9E2682"/>
    <w:rsid w:val="7D8772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caption"/>
    <w:basedOn w:val="1"/>
    <w:next w:val="1"/>
    <w:semiHidden/>
    <w:unhideWhenUsed/>
    <w:qFormat/>
    <w:uiPriority w:val="0"/>
    <w:rPr>
      <w:rFonts w:ascii="Arial" w:hAnsi="Arial" w:eastAsia="黑体"/>
      <w:sz w:val="20"/>
    </w:rPr>
  </w:style>
  <w:style w:type="paragraph" w:styleId="4">
    <w:name w:val="Body Text"/>
    <w:basedOn w:val="1"/>
    <w:next w:val="1"/>
    <w:unhideWhenUsed/>
    <w:qFormat/>
    <w:uiPriority w:val="0"/>
    <w:pPr>
      <w:spacing w:after="120"/>
    </w:pPr>
    <w:rPr>
      <w:rFonts w:ascii="宋体" w:hAnsi="宋体" w:eastAsia="仿宋_GB2312" w:cs="宋体"/>
      <w:sz w:val="24"/>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null3"/>
    <w:hidden/>
    <w:qFormat/>
    <w:uiPriority w:val="0"/>
    <w:rPr>
      <w:rFonts w:hint="eastAsia" w:asciiTheme="minorHAnsi" w:hAnsiTheme="minorHAnsi" w:eastAsiaTheme="minorEastAsia" w:cstheme="minorBidi"/>
      <w:lang w:val="en-US" w:eastAsia="zh-Hans" w:bidi="ar-SA"/>
    </w:rPr>
  </w:style>
  <w:style w:type="paragraph" w:customStyle="1" w:styleId="11">
    <w:name w:val="Other|1"/>
    <w:basedOn w:val="1"/>
    <w:qFormat/>
    <w:uiPriority w:val="0"/>
    <w:pPr>
      <w:spacing w:line="437" w:lineRule="auto"/>
      <w:ind w:firstLine="400"/>
    </w:pPr>
    <w:rPr>
      <w:rFonts w:ascii="宋体" w:hAnsi="宋体" w:eastAsia="宋体" w:cs="宋体"/>
      <w:sz w:val="28"/>
      <w:szCs w:val="28"/>
      <w:lang w:val="zh-TW" w:eastAsia="zh-TW" w:bidi="zh-T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2716</Words>
  <Characters>2873</Characters>
  <Lines>378</Lines>
  <Paragraphs>397</Paragraphs>
  <TotalTime>0</TotalTime>
  <ScaleCrop>false</ScaleCrop>
  <LinksUpToDate>false</LinksUpToDate>
  <CharactersWithSpaces>3046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你猜</cp:lastModifiedBy>
  <cp:lastPrinted>2022-08-31T08:54:00Z</cp:lastPrinted>
  <dcterms:modified xsi:type="dcterms:W3CDTF">2026-08-12T08:14:23Z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5A31E90057954C7F861701028BDB07B7_13</vt:lpwstr>
  </property>
  <property fmtid="{D5CDD505-2E9C-101B-9397-08002B2CF9AE}" pid="4" name="KSOTemplateDocerSaveRecord">
    <vt:lpwstr>eyJoZGlkIjoiODA0ZTU2NGU2ZDcyYmIzZWRmOWYzNTVhM2YwZTgzOGQiLCJ1c2VySWQiOiI0MjkzMTI3NTgifQ==</vt:lpwstr>
  </property>
</Properties>
</file>