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06F30">
      <w:pPr>
        <w:pStyle w:val="2"/>
        <w:widowControl w:val="0"/>
        <w:spacing w:line="360" w:lineRule="auto"/>
        <w:jc w:val="both"/>
        <w:rPr>
          <w:rFonts w:hint="eastAsia" w:ascii="宋体" w:hAnsi="宋体" w:eastAsia="宋体" w:cs="宋体"/>
          <w:b/>
          <w:bCs/>
          <w:color w:val="000000" w:themeColor="text1"/>
          <w:lang w:eastAsia="zh-CN"/>
          <w14:textFill>
            <w14:solidFill>
              <w14:schemeClr w14:val="tx1"/>
            </w14:solidFill>
          </w14:textFill>
        </w:rPr>
      </w:pPr>
    </w:p>
    <w:p w14:paraId="707BDB1E">
      <w:pPr>
        <w:pStyle w:val="2"/>
        <w:widowControl w:val="0"/>
        <w:spacing w:line="360" w:lineRule="auto"/>
        <w:jc w:val="center"/>
        <w:rPr>
          <w:rFonts w:hint="default" w:ascii="宋体" w:hAnsi="宋体" w:eastAsia="宋体" w:cs="宋体"/>
          <w:b/>
          <w:bCs/>
          <w:color w:val="000000" w:themeColor="text1"/>
          <w:sz w:val="36"/>
          <w:szCs w:val="36"/>
          <w:lang w:val="en-US" w:eastAsia="zh-CN"/>
          <w14:textFill>
            <w14:solidFill>
              <w14:schemeClr w14:val="tx1"/>
            </w14:solidFill>
          </w14:textFill>
        </w:rPr>
      </w:pPr>
      <w:r>
        <w:rPr>
          <w:rFonts w:hint="eastAsia" w:ascii="宋体" w:hAnsi="宋体" w:eastAsia="宋体" w:cs="宋体"/>
          <w:b/>
          <w:bCs/>
          <w:color w:val="000000" w:themeColor="text1"/>
          <w:sz w:val="36"/>
          <w:szCs w:val="36"/>
          <w:lang w:val="en-US" w:eastAsia="zh-CN"/>
          <w14:textFill>
            <w14:solidFill>
              <w14:schemeClr w14:val="tx1"/>
            </w14:solidFill>
          </w14:textFill>
        </w:rPr>
        <w:t>采购需求</w:t>
      </w:r>
    </w:p>
    <w:p w14:paraId="05807A09">
      <w:pPr>
        <w:pStyle w:val="2"/>
        <w:widowControl w:val="0"/>
        <w:spacing w:line="360" w:lineRule="auto"/>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一、项目概况</w:t>
      </w:r>
    </w:p>
    <w:p w14:paraId="502E817F">
      <w:pPr>
        <w:widowControl w:val="0"/>
        <w:spacing w:line="360" w:lineRule="auto"/>
        <w:ind w:firstLine="420" w:firstLineChars="200"/>
        <w:jc w:val="both"/>
        <w:rPr>
          <w:rFonts w:hint="eastAsia" w:ascii="宋体" w:hAnsi="宋体" w:eastAsia="宋体" w:cs="宋体"/>
          <w:color w:val="auto"/>
          <w:lang w:eastAsia="zh-CN"/>
        </w:rPr>
      </w:pPr>
      <w:r>
        <w:rPr>
          <w:rFonts w:hint="eastAsia" w:ascii="宋体" w:hAnsi="宋体" w:cs="宋体"/>
          <w:color w:val="auto"/>
          <w:lang w:val="en-US" w:eastAsia="zh-CN"/>
        </w:rPr>
        <w:t>本项目为</w:t>
      </w:r>
      <w:r>
        <w:rPr>
          <w:rFonts w:hint="eastAsia" w:ascii="宋体" w:hAnsi="宋体" w:eastAsia="宋体" w:cs="宋体"/>
          <w:color w:val="auto"/>
          <w:lang w:eastAsia="zh-CN"/>
        </w:rPr>
        <w:t>西安市长安区人民法院诉讼服务中心辅助服务外包项目，</w:t>
      </w:r>
      <w:r>
        <w:rPr>
          <w:rFonts w:hint="eastAsia" w:ascii="宋体" w:hAnsi="宋体" w:cs="宋体"/>
          <w:color w:val="auto"/>
          <w:lang w:eastAsia="zh-CN"/>
        </w:rPr>
        <w:t>诉讼辅助服务主要包含：引导分流、网上立案材料辅助审核、立案信息录入及案件流转、案件信息查询、电话接听、上诉案件接收和登记及移送、信访接待登记、诉服信息平台管理、要素式起诉状辅助等</w:t>
      </w:r>
      <w:r>
        <w:rPr>
          <w:rFonts w:hint="eastAsia" w:ascii="宋体" w:hAnsi="宋体" w:eastAsia="宋体" w:cs="宋体"/>
          <w:color w:val="auto"/>
          <w:lang w:eastAsia="zh-CN"/>
        </w:rPr>
        <w:t>。</w:t>
      </w:r>
    </w:p>
    <w:p w14:paraId="5D3991ED">
      <w:pPr>
        <w:widowControl w:val="0"/>
        <w:spacing w:line="360" w:lineRule="auto"/>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二、服务内容（岗位需求及工作量）</w:t>
      </w:r>
    </w:p>
    <w:p w14:paraId="649EB552">
      <w:pPr>
        <w:pStyle w:val="2"/>
        <w:widowControl w:val="0"/>
        <w:spacing w:line="360" w:lineRule="auto"/>
        <w:ind w:firstLine="422"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1.引导分流岗 </w:t>
      </w:r>
    </w:p>
    <w:p w14:paraId="10CE245C">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该岗位主要负责对当事人的材料进行初步审查，并根据材料标准要求指引当事人进行材料补充，如当事人需办理具体窗口业务，根据业务需求为当事人排号，将当事人分流至诉讼大厅休息，等待各接待窗口叫号。同时引导并协助当事人使用现场自助设备，使当事人能够通过自助设备办理所需业务。</w:t>
      </w:r>
    </w:p>
    <w:p w14:paraId="120C215B">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负责接收分流到诉讼服务组的诉前调解案件，根据诉前调解服务组的分案原则把所收案件分配至各个调解员，同时将调解成功和调解失败的案件进行整理，移送给立案庭。</w:t>
      </w:r>
    </w:p>
    <w:p w14:paraId="075CEF7F">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日均接待180余人次，月均接待4000余人次，大厅设备的维护与运行每日4次，每月90余次。</w:t>
      </w:r>
    </w:p>
    <w:p w14:paraId="69D8EE25">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2.网上立案材料审核辅助</w:t>
      </w:r>
    </w:p>
    <w:p w14:paraId="340D6D02">
      <w:pPr>
        <w:pStyle w:val="2"/>
        <w:widowControl w:val="0"/>
        <w:spacing w:line="360" w:lineRule="auto"/>
        <w:ind w:firstLine="420" w:firstLineChars="200"/>
        <w:jc w:val="both"/>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结合网上立案的业务流程，设置网上立案材料审核辅助岗位。由网上立案审查组的法官或法官助理完成网上立案信息的审查工作后，由辅助人员负责接收网上材料、现场网上立案和非现场网上立案材料的审查校对工作。</w:t>
      </w:r>
    </w:p>
    <w:p w14:paraId="15D586B8">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引导当事人现场进行满意度评价。</w:t>
      </w:r>
    </w:p>
    <w:p w14:paraId="71F50E72">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网上日审核案件及材料流转各200余件，月审核及材料流转4400余件；引导当事人满意度评价日20余件，月440余件。</w:t>
      </w:r>
    </w:p>
    <w:p w14:paraId="4CF10C7A">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3.立案信息录入及案件流转接收</w:t>
      </w:r>
    </w:p>
    <w:p w14:paraId="456FA530">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根据立案业务情况，在案件流转中心设置立案信息录入岗人员，负责完成院本部民商事类、执行案件信息录入工作，实现当日立案当日完成信息录入，并于24小时内移送至审判业务庭室开展后续工作。</w:t>
      </w:r>
    </w:p>
    <w:p w14:paraId="636E164B">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经立案审查窗口的法官或法官助理完成案件审查，确认符合立案登记条件的，由立案信息录入岗在案件管理系统完成案件信息的录入和立案流转表单制作，并与当事人确认立案相关信息，引导当事人完成相关文书的填写和确认工作。</w:t>
      </w:r>
    </w:p>
    <w:p w14:paraId="6458954F">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案件信息录入每日200余件，每月4500余件；繁简分流每日120余件，每月2600余件。</w:t>
      </w:r>
    </w:p>
    <w:p w14:paraId="403333A3">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4.案件信息查询 </w:t>
      </w:r>
    </w:p>
    <w:p w14:paraId="04BD249F">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接收当事人提出的案件查询申请，登记并核实当事人及查询案件的相关信息，协助当事人办理案件查询事宜。</w:t>
      </w:r>
    </w:p>
    <w:p w14:paraId="772F3E89">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案件查询接待每日70余人次，每月接待1500余人次；保全审查立案日均15余件，月均310余件；引导当事人满意度评价每日5人次，月110余人次。</w:t>
      </w:r>
    </w:p>
    <w:p w14:paraId="561CC97C">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5.电话接听 </w:t>
      </w:r>
    </w:p>
    <w:p w14:paraId="3B39F601">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为了更好地减轻法官团队负担，解决当事人咨询问题快速响应问题，设置电话接听岗，当事人可通过拨打服务热线，咨询诉讼审判及执行相关业务流程、查找案件相关业务流程信息，并可以预约法官。服务热线在确认当事人的需求后，根据需求进行当场回复或者转办相关法官团队，法官团队可以根据情况，选择自行回复或者将答复转交服务热线进行回复。</w:t>
      </w:r>
    </w:p>
    <w:p w14:paraId="6B1AAA39">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每日接听电话案件咨询查询200余次，每月4500余次。</w:t>
      </w:r>
    </w:p>
    <w:p w14:paraId="3BB9911B">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6.上诉案件接收、登记及移送 </w:t>
      </w:r>
    </w:p>
    <w:p w14:paraId="40CB3241">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审查上诉材料是否符合接收条件，接收符合接收条件的上诉材料，并出具收取单；拒收不符合接收条件的上诉材料，并说明原因，同时将上诉状移送法官团队。上诉状扫描至系统进行登记。</w:t>
      </w:r>
    </w:p>
    <w:p w14:paraId="77AD9B6E">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每周审核接收上诉案件材料130余件，每月400余件；移送案件接收每周20余件，每月100余件；每周三协助去中院送取上诉卷近200宗案卷；刑事立案每周25余件，每月100余件。</w:t>
      </w:r>
    </w:p>
    <w:p w14:paraId="79575FFE">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7.信访接待登记 </w:t>
      </w:r>
    </w:p>
    <w:p w14:paraId="382CB6FF">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为了更好地减轻法官团队信访工作负担，在信访中心设定信访辅助岗，每日接收上级法院移送、院内领导转交的信访材料，并进行整理登记，根据材料所涉信息，完成信访系统信息录入、备案工作。</w:t>
      </w:r>
    </w:p>
    <w:p w14:paraId="4A623195">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按照信访材料内容性质，将材料进行分流，对于举报类材料内容，将其整理、对非纸质内容进行打印后，移交纪检监察室，对于申请再审类内容，将其整理、对非纸质内容进行打印后，审核是否符合再审规定。若符合，整理相关材料移送至中院立案庭；若不符合，则将信访材料退回当事人并告知其原因，同时，对所有信访事件处理结果进行跟踪，并做好记录反馈。</w:t>
      </w:r>
    </w:p>
    <w:p w14:paraId="6D1957CD">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信访接待登记、录入及流转每日20余件，每月400余件；接待信访群众每日15余人次，每月330余人次；起草信访相关文件及数据统计每周5次，每月30余次。</w:t>
      </w:r>
    </w:p>
    <w:p w14:paraId="39A900AB">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8.诉服信息平台管理</w:t>
      </w:r>
    </w:p>
    <w:p w14:paraId="30D96CCD">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在服务期内，对最高人民法院和省法院开发的与诉讼服务质效平台考核相关的系统进行管理、督促、联络、维护，保证上级法院质效考核系统能够及时抽取长安区法院的诉讼服务数据，实时监控质效评估分数及排名情况，提取并分析指标数据，提供可行性方案。</w:t>
      </w:r>
    </w:p>
    <w:p w14:paraId="69135684">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每日收转处理相关材料6件，每月180余件；每日分流调解案件60余件，每月1300余件；总对总案件调解每日10余件，每月230余件。</w:t>
      </w:r>
    </w:p>
    <w:p w14:paraId="39C96CD7">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9.要素式起诉状辅助</w:t>
      </w:r>
    </w:p>
    <w:p w14:paraId="340A345B">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按照最高法院的要求，当事人在立案时需提交要素式起诉状</w:t>
      </w:r>
      <w:r>
        <w:rPr>
          <w:rFonts w:hint="eastAsia" w:ascii="宋体" w:hAnsi="宋体" w:eastAsia="宋体" w:cs="宋体"/>
          <w:color w:val="000000" w:themeColor="text1"/>
          <w:highlight w:val="none"/>
          <w:lang w:eastAsia="zh-CN"/>
          <w14:textFill>
            <w14:solidFill>
              <w14:schemeClr w14:val="tx1"/>
            </w14:solidFill>
          </w14:textFill>
        </w:rPr>
        <w:t>，对67类案由的案件要求必</w:t>
      </w:r>
      <w:r>
        <w:rPr>
          <w:rFonts w:hint="eastAsia" w:ascii="宋体" w:hAnsi="宋体" w:eastAsia="宋体" w:cs="宋体"/>
          <w:color w:val="000000" w:themeColor="text1"/>
          <w:lang w:eastAsia="zh-CN"/>
          <w14:textFill>
            <w14:solidFill>
              <w14:schemeClr w14:val="tx1"/>
            </w14:solidFill>
          </w14:textFill>
        </w:rPr>
        <w:t>须提供。立案庭提供两台设备，需专人辅助当事人要素式起诉状的制作及打印。引导当事人制作、打印要素式起诉状每日60余人次，每月1300余次。</w:t>
      </w:r>
    </w:p>
    <w:p w14:paraId="2119BF72">
      <w:pPr>
        <w:pStyle w:val="6"/>
        <w:widowControl w:val="0"/>
        <w:spacing w:line="360" w:lineRule="auto"/>
        <w:jc w:val="both"/>
        <w:rPr>
          <w:rFonts w:hint="default" w:ascii="宋体" w:hAnsi="宋体" w:cs="宋体"/>
          <w:b/>
          <w:bCs/>
          <w:sz w:val="21"/>
          <w:szCs w:val="21"/>
        </w:rPr>
      </w:pPr>
      <w:r>
        <w:rPr>
          <w:rFonts w:ascii="宋体" w:hAnsi="宋体" w:cs="宋体"/>
          <w:b/>
          <w:bCs/>
          <w:color w:val="000000"/>
          <w:sz w:val="21"/>
          <w:szCs w:val="21"/>
        </w:rPr>
        <w:t>三、人员要求及条件</w:t>
      </w:r>
    </w:p>
    <w:p w14:paraId="70ED0E0C">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1.学历要求：大专以上学历，本科人员占比不低于30%；</w:t>
      </w:r>
    </w:p>
    <w:p w14:paraId="73604383">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2.专业要求：法律专业不低于40%；</w:t>
      </w:r>
    </w:p>
    <w:p w14:paraId="3E73636A">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3.性别要求：男女比例3:7；</w:t>
      </w:r>
    </w:p>
    <w:p w14:paraId="41CA96DF">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4.年龄要求：35岁以下；</w:t>
      </w:r>
    </w:p>
    <w:p w14:paraId="63850943">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5.坚持四项基本原则，有良好的政治素质，遵纪守法、作风正派、品行端正，无违法犯罪记录，热爱法院工作；</w:t>
      </w:r>
    </w:p>
    <w:p w14:paraId="3A7F1F5B">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6.具有正常履行职责的身体条件和工作能力，工作责任感强，吃苦耐劳、工作细致，可以承受工作压力，具有良好的沟通能力和团队合作精神；</w:t>
      </w:r>
    </w:p>
    <w:p w14:paraId="7612EDFF">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7.有相关业务服务内容工作经验；</w:t>
      </w:r>
    </w:p>
    <w:p w14:paraId="58E10336">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8.富于创新精神和团队精神，勇于接受挑战；具有很强的政策法规意识和工作保密意识；</w:t>
      </w:r>
    </w:p>
    <w:p w14:paraId="74F9A967">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9.较强的文字表达和公文处理能力，熟练操作计算机，熟悉常用办公软件（如word、excel），快速进行文字输入及整理工作；</w:t>
      </w:r>
    </w:p>
    <w:p w14:paraId="4096A2D3">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10.遵守采购人日常管理制度和工作规范。</w:t>
      </w:r>
    </w:p>
    <w:p w14:paraId="78F16F56">
      <w:pPr>
        <w:pStyle w:val="6"/>
        <w:widowControl w:val="0"/>
        <w:spacing w:line="360" w:lineRule="auto"/>
        <w:jc w:val="both"/>
        <w:rPr>
          <w:rFonts w:hint="default" w:ascii="宋体" w:hAnsi="宋体" w:cs="宋体"/>
          <w:b/>
          <w:bCs/>
          <w:color w:val="000000"/>
          <w:sz w:val="21"/>
          <w:szCs w:val="21"/>
        </w:rPr>
      </w:pPr>
      <w:r>
        <w:rPr>
          <w:rFonts w:ascii="宋体" w:hAnsi="宋体" w:cs="宋体"/>
          <w:b/>
          <w:bCs/>
          <w:color w:val="000000"/>
          <w:sz w:val="21"/>
          <w:szCs w:val="21"/>
        </w:rPr>
        <w:t>四、商务要求</w:t>
      </w:r>
    </w:p>
    <w:p w14:paraId="31517E56">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自合同签订之日起5个工作日内，按照项目约定配齐人员。</w:t>
      </w:r>
    </w:p>
    <w:p w14:paraId="7332B976">
      <w:pPr>
        <w:pStyle w:val="6"/>
        <w:widowControl w:val="0"/>
        <w:spacing w:line="360" w:lineRule="auto"/>
        <w:jc w:val="both"/>
        <w:rPr>
          <w:rFonts w:hint="default" w:ascii="宋体" w:hAnsi="宋体" w:cs="宋体"/>
          <w:b/>
          <w:bCs/>
          <w:color w:val="000000"/>
          <w:sz w:val="21"/>
          <w:szCs w:val="21"/>
        </w:rPr>
      </w:pPr>
      <w:r>
        <w:rPr>
          <w:rFonts w:ascii="宋体" w:hAnsi="宋体" w:cs="宋体"/>
          <w:b/>
          <w:bCs/>
          <w:color w:val="000000"/>
          <w:sz w:val="21"/>
          <w:szCs w:val="21"/>
        </w:rPr>
        <w:t>五、服务、产品（如有）执行的标准、规范：</w:t>
      </w:r>
    </w:p>
    <w:p w14:paraId="12F7B01C">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（1） 国家标准、规范/；</w:t>
      </w:r>
    </w:p>
    <w:p w14:paraId="7D691C71">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（2） 行业标准、规范/；</w:t>
      </w:r>
      <w:bookmarkStart w:id="0" w:name="_GoBack"/>
      <w:bookmarkEnd w:id="0"/>
    </w:p>
    <w:p w14:paraId="5B423F65">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（3） 地方标准、规范/；</w:t>
      </w:r>
    </w:p>
    <w:p w14:paraId="486520CB">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（4） 团体标准、规范/；</w:t>
      </w:r>
    </w:p>
    <w:p w14:paraId="457131AB">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（5） 企业标准、规范/。</w:t>
      </w:r>
    </w:p>
    <w:p w14:paraId="4CB71D9A">
      <w:pPr>
        <w:pStyle w:val="6"/>
        <w:widowControl w:val="0"/>
        <w:spacing w:line="360" w:lineRule="auto"/>
        <w:jc w:val="both"/>
        <w:rPr>
          <w:rFonts w:hint="default" w:ascii="宋体" w:hAnsi="宋体" w:cs="宋体"/>
          <w:b/>
          <w:bCs/>
          <w:color w:val="000000"/>
          <w:sz w:val="21"/>
          <w:szCs w:val="21"/>
        </w:rPr>
      </w:pPr>
      <w:r>
        <w:rPr>
          <w:rFonts w:ascii="宋体" w:hAnsi="宋体" w:cs="宋体"/>
          <w:b/>
          <w:bCs/>
          <w:color w:val="000000"/>
          <w:sz w:val="21"/>
          <w:szCs w:val="21"/>
        </w:rPr>
        <w:t>六、本章第</w:t>
      </w:r>
      <w:r>
        <w:rPr>
          <w:rFonts w:hint="eastAsia" w:ascii="宋体" w:hAnsi="宋体" w:cs="宋体"/>
          <w:b/>
          <w:bCs/>
          <w:color w:val="000000"/>
          <w:sz w:val="21"/>
          <w:szCs w:val="21"/>
          <w:lang w:val="en-US" w:eastAsia="zh-CN"/>
        </w:rPr>
        <w:t>五</w:t>
      </w:r>
      <w:r>
        <w:rPr>
          <w:rFonts w:ascii="宋体" w:hAnsi="宋体" w:cs="宋体"/>
          <w:b/>
          <w:bCs/>
          <w:color w:val="000000"/>
          <w:sz w:val="21"/>
          <w:szCs w:val="21"/>
        </w:rPr>
        <w:t>条款未明确服务（产品）执行标准、规范的，按下列方法进行选择：</w:t>
      </w:r>
    </w:p>
    <w:p w14:paraId="0FDBFDC6">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 顺序执行： 国家标准→行业标准→地方标准→ 团体标准→企业 标 准（有国家标准按国家标准执行，没有国家标准按行业标准， 以此类推）；</w:t>
      </w:r>
    </w:p>
    <w:p w14:paraId="6023F3C6">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 最高标准执行：国家标准，行业标准，地方标准，团体标准，企业标准（</w:t>
      </w:r>
      <w:r>
        <w:rPr>
          <w:rFonts w:hint="eastAsia" w:ascii="宋体" w:hAnsi="宋体" w:cs="宋体"/>
          <w:color w:val="000000"/>
          <w:sz w:val="21"/>
          <w:szCs w:val="21"/>
          <w:lang w:eastAsia="zh-CN"/>
        </w:rPr>
        <w:t>哪个</w:t>
      </w:r>
      <w:r>
        <w:rPr>
          <w:rFonts w:ascii="宋体" w:hAnsi="宋体" w:cs="宋体"/>
          <w:color w:val="000000"/>
          <w:sz w:val="21"/>
          <w:szCs w:val="21"/>
        </w:rPr>
        <w:t>标准高执行</w:t>
      </w:r>
      <w:r>
        <w:rPr>
          <w:rFonts w:hint="eastAsia" w:ascii="宋体" w:hAnsi="宋体" w:cs="宋体"/>
          <w:color w:val="000000"/>
          <w:sz w:val="21"/>
          <w:szCs w:val="21"/>
          <w:lang w:eastAsia="zh-CN"/>
        </w:rPr>
        <w:t>哪</w:t>
      </w:r>
      <w:r>
        <w:rPr>
          <w:rFonts w:ascii="宋体" w:hAnsi="宋体" w:cs="宋体"/>
          <w:color w:val="000000"/>
          <w:sz w:val="21"/>
          <w:szCs w:val="21"/>
        </w:rPr>
        <w:t>个标准）</w:t>
      </w:r>
    </w:p>
    <w:p w14:paraId="54EEAA4F">
      <w:pPr>
        <w:ind w:firstLine="420" w:firstLineChars="200"/>
      </w:pPr>
      <w:r>
        <w:rPr>
          <w:rFonts w:ascii="宋体" w:hAnsi="宋体" w:cs="宋体"/>
          <w:color w:val="000000"/>
          <w:sz w:val="21"/>
          <w:szCs w:val="21"/>
        </w:rPr>
        <w:t>☑ 必须执行：国家（行业）强制性标准。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200CFF"/>
    <w:rsid w:val="1E212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2472</Words>
  <Characters>2578</Characters>
  <Lines>0</Lines>
  <Paragraphs>0</Paragraphs>
  <TotalTime>0</TotalTime>
  <ScaleCrop>false</ScaleCrop>
  <LinksUpToDate>false</LinksUpToDate>
  <CharactersWithSpaces>2596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2026-05-19T10:06:00Z</dcterms:created>
  <dc:creator>Administrator</dc:creator>
  <cp:lastModifiedBy>Lenovo</cp:lastModifiedBy>
  <dcterms:modified xsi:type="dcterms:W3CDTF">2026-06-02T01:11:18Z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eyJoZGlkIjoiZjFhMjllM2U1MDBhZGU3NjVlNmFlNWU2YjFmZTUwZDQiLCJ1c2VySWQiOiI0NDgyMTE1NDUifQ==</vt:lpwstr>
  </property>
  <property fmtid="{D5CDD505-2E9C-101B-9397-08002B2CF9AE}" pid="4" name="ICV">
    <vt:lpwstr>7C652A6D9CC04827B77311D001FE0F75_12</vt:lpwstr>
  </property>
</Properties>
</file>