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版本号：ZJMZB-CS2026-00520260727002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2026年度省级财政衔接推进乡村振兴补助资金（欠发达国有林场巩固提升任务）自然教育基地提升改造项目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ZJMZB-CS2026-005</w:t>
      </w:r>
      <w:r>
        <w:br/>
      </w:r>
      <w:r>
        <w:br/>
      </w:r>
      <w:r>
        <w:br/>
      </w:r>
    </w:p>
    <w:p>
      <w:pPr>
        <w:pStyle w:val="null3"/>
        <w:jc w:val="center"/>
        <w:outlineLvl w:val="2"/>
      </w:pPr>
      <w:r>
        <w:rPr>
          <w:rFonts w:ascii="仿宋_GB2312" w:hAnsi="仿宋_GB2312" w:cs="仿宋_GB2312" w:eastAsia="仿宋_GB2312"/>
          <w:sz w:val="28"/>
          <w:b/>
        </w:rPr>
        <w:t>周至县国有厚畛子生态实验林场</w:t>
      </w:r>
    </w:p>
    <w:p>
      <w:pPr>
        <w:pStyle w:val="null3"/>
        <w:jc w:val="center"/>
        <w:outlineLvl w:val="2"/>
      </w:pPr>
      <w:r>
        <w:rPr>
          <w:rFonts w:ascii="仿宋_GB2312" w:hAnsi="仿宋_GB2312" w:cs="仿宋_GB2312" w:eastAsia="仿宋_GB2312"/>
          <w:sz w:val="28"/>
          <w:b/>
        </w:rPr>
        <w:t>志进明(陕西)项目管理有限公司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志进明(陕西)项目管理有限公司</w:t>
      </w:r>
      <w:r>
        <w:rPr>
          <w:rFonts w:ascii="仿宋_GB2312" w:hAnsi="仿宋_GB2312" w:cs="仿宋_GB2312" w:eastAsia="仿宋_GB2312"/>
        </w:rPr>
        <w:t>（以下简称“代理机构”）受</w:t>
      </w:r>
      <w:r>
        <w:rPr>
          <w:rFonts w:ascii="仿宋_GB2312" w:hAnsi="仿宋_GB2312" w:cs="仿宋_GB2312" w:eastAsia="仿宋_GB2312"/>
        </w:rPr>
        <w:t>周至县国有厚畛子生态实验林场</w:t>
      </w:r>
      <w:r>
        <w:rPr>
          <w:rFonts w:ascii="仿宋_GB2312" w:hAnsi="仿宋_GB2312" w:cs="仿宋_GB2312" w:eastAsia="仿宋_GB2312"/>
        </w:rPr>
        <w:t>委托，拟对</w:t>
      </w:r>
      <w:r>
        <w:rPr>
          <w:rFonts w:ascii="仿宋_GB2312" w:hAnsi="仿宋_GB2312" w:cs="仿宋_GB2312" w:eastAsia="仿宋_GB2312"/>
        </w:rPr>
        <w:t>2026年度省级财政衔接推进乡村振兴补助资金（欠发达国有林场巩固提升任务）自然教育基地提升改造项目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ZJMZB-CS2026-005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2026年度省级财政衔接推进乡村振兴补助资金（欠发达国有林场巩固提升任务）自然教育基地提升改造项目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2026年度省级财政衔接推进乡村振兴补助资金（欠发达国有林场巩固提升任务）自然教育基地提升改造项目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采购包1（2026年度省级财政衔接推进乡村振兴补助资金（欠发达国有林场巩固提升任务）自然教育基地提升改造项目）：属于专门面向中小企业采购。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1、营业执照等证明⽂件：提供合格有效的法⼈或者其他组织的营业执照等证明⽂件，⾃然⼈的⾝份证明；</w:t>
      </w:r>
    </w:p>
    <w:p>
      <w:pPr>
        <w:pStyle w:val="null3"/>
      </w:pPr>
      <w:r>
        <w:rPr>
          <w:rFonts w:ascii="仿宋_GB2312" w:hAnsi="仿宋_GB2312" w:cs="仿宋_GB2312" w:eastAsia="仿宋_GB2312"/>
        </w:rPr>
        <w:t>2、法定代表⼈授权书：提供法定代表⼈授权书（附法定代表⼈、被授权⼈⾝份证复印件）及被授权⼈⾝份证复印件 （法定代表⼈直接参加投标，须提供法定代表⼈⾝份证明及⾝份证复印件）；</w:t>
      </w:r>
    </w:p>
    <w:p>
      <w:pPr>
        <w:pStyle w:val="null3"/>
      </w:pPr>
      <w:r>
        <w:rPr>
          <w:rFonts w:ascii="仿宋_GB2312" w:hAnsi="仿宋_GB2312" w:cs="仿宋_GB2312" w:eastAsia="仿宋_GB2312"/>
        </w:rPr>
        <w:t>3、财务审计报告：提供递交投标⽂件截⽌之⽇前两年内任意⼀个年度经审计的财务报告（包括“四表 ⼀注”，即资产负债表、利润表、现⾦流量表、所有者权益变动表及其附注，符合 《中⼩企业划型标准规定》的⼩型企业按照《⼩企业会计准则》执⾏。成⽴时间⾄ 提交投标⽂件截⽌时间不⾜⼀年的可提供成⽴后任意时段的资产负债表），审计报 告须具有注册会计师⾏业统⼀监管平台（http://acc.mof.gov.cn）赋予的验证码 ；或提供其开标前三个⽉内基本开⼾银⾏出具的资信证明；</w:t>
      </w:r>
    </w:p>
    <w:p>
      <w:pPr>
        <w:pStyle w:val="null3"/>
      </w:pPr>
      <w:r>
        <w:rPr>
          <w:rFonts w:ascii="仿宋_GB2312" w:hAnsi="仿宋_GB2312" w:cs="仿宋_GB2312" w:eastAsia="仿宋_GB2312"/>
        </w:rPr>
        <w:t>4、税收缴纳证明：提供投标截⽌⽇前近⼀年内⾄少⼀个⽉的纳税证明或完税证明，依法免税的单位应提供相关证明材料；</w:t>
      </w:r>
    </w:p>
    <w:p>
      <w:pPr>
        <w:pStyle w:val="null3"/>
      </w:pPr>
      <w:r>
        <w:rPr>
          <w:rFonts w:ascii="仿宋_GB2312" w:hAnsi="仿宋_GB2312" w:cs="仿宋_GB2312" w:eastAsia="仿宋_GB2312"/>
        </w:rPr>
        <w:t>5、社会保障资⾦缴纳证明：提供投标截⽌⽇前近⼀年内⾄少⼀个⽉的社会保障资⾦缴存单据或社保机构开具的社会保险参保缴费情况证明，依法不需要缴纳社会保障资⾦的单位应提供相关证明材料；</w:t>
      </w:r>
    </w:p>
    <w:p>
      <w:pPr>
        <w:pStyle w:val="null3"/>
      </w:pPr>
      <w:r>
        <w:rPr>
          <w:rFonts w:ascii="仿宋_GB2312" w:hAnsi="仿宋_GB2312" w:cs="仿宋_GB2312" w:eastAsia="仿宋_GB2312"/>
        </w:rPr>
        <w:t>6、查询相关主体信⽤记录：提供《供应商信⽤记录书⾯声明函》供应商未被列⼊“信⽤中国”⽹站记录的“失信 被执⾏⼈”或“重⼤税收违法案件当事⼈”名单；不处于“中国政府采购⽹”记录的“政 府采购严重违法失信⾏为信息记录名单”中的禁⽌参加政府采购活动期间；</w:t>
      </w:r>
    </w:p>
    <w:p>
      <w:pPr>
        <w:pStyle w:val="null3"/>
      </w:pPr>
      <w:r>
        <w:rPr>
          <w:rFonts w:ascii="仿宋_GB2312" w:hAnsi="仿宋_GB2312" w:cs="仿宋_GB2312" w:eastAsia="仿宋_GB2312"/>
        </w:rPr>
        <w:t>7、资质证明：供应商具有建设⾏政主管部⻔颁发的建筑⼯程施⼯总承包三级及以上资质，且具有有效的安全⽣产许可证；</w:t>
      </w:r>
    </w:p>
    <w:p>
      <w:pPr>
        <w:pStyle w:val="null3"/>
      </w:pPr>
      <w:r>
        <w:rPr>
          <w:rFonts w:ascii="仿宋_GB2312" w:hAnsi="仿宋_GB2312" w:cs="仿宋_GB2312" w:eastAsia="仿宋_GB2312"/>
        </w:rPr>
        <w:t>8、项⽬经理：拟派项⽬经理须具有建筑⼯程专业⼆级及以上注册建造师资质并具有安全⽣产考核合格证，在本单位注册且⽆在建⼯程（提供⽆在建承诺书）；</w:t>
      </w:r>
    </w:p>
    <w:p>
      <w:pPr>
        <w:pStyle w:val="null3"/>
      </w:pPr>
      <w:r>
        <w:rPr>
          <w:rFonts w:ascii="仿宋_GB2312" w:hAnsi="仿宋_GB2312" w:cs="仿宋_GB2312" w:eastAsia="仿宋_GB2312"/>
        </w:rPr>
        <w:t>9、说明及承诺书：提供具有履⾏本合同所必需的设备和专业技术能⼒的说明及承诺书；</w:t>
      </w:r>
    </w:p>
    <w:p>
      <w:pPr>
        <w:pStyle w:val="null3"/>
      </w:pPr>
      <w:r>
        <w:rPr>
          <w:rFonts w:ascii="仿宋_GB2312" w:hAnsi="仿宋_GB2312" w:cs="仿宋_GB2312" w:eastAsia="仿宋_GB2312"/>
        </w:rPr>
        <w:t>10、书⾯声明：参加政府采购活动前3年内，在经营活动中没有重⼤违法记录的书⾯声明；</w:t>
      </w:r>
    </w:p>
    <w:p>
      <w:pPr>
        <w:pStyle w:val="null3"/>
      </w:pPr>
      <w:r>
        <w:rPr>
          <w:rFonts w:ascii="仿宋_GB2312" w:hAnsi="仿宋_GB2312" w:cs="仿宋_GB2312" w:eastAsia="仿宋_GB2312"/>
        </w:rPr>
        <w:t>11、控股管理关系：提供直接控股和管理关系清单。若与其他供应商存在单位负责⼈为同⼀⼈或者存在直接控股、管理关系的，则投标⽆效；</w:t>
      </w:r>
    </w:p>
    <w:p>
      <w:pPr>
        <w:pStyle w:val="null3"/>
      </w:pPr>
      <w:r>
        <w:rPr>
          <w:rFonts w:ascii="仿宋_GB2312" w:hAnsi="仿宋_GB2312" w:cs="仿宋_GB2312" w:eastAsia="仿宋_GB2312"/>
        </w:rPr>
        <w:t>12、中小企业声明函：需提供中小企业声明函；</w:t>
      </w:r>
    </w:p>
    <w:p>
      <w:pPr>
        <w:pStyle w:val="null3"/>
      </w:pPr>
      <w:r>
        <w:rPr>
          <w:rFonts w:ascii="仿宋_GB2312" w:hAnsi="仿宋_GB2312" w:cs="仿宋_GB2312" w:eastAsia="仿宋_GB2312"/>
        </w:rPr>
        <w:t>13、不接受联合体投标：本项⽬不接受联合体投标（提供承诺书）；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周至县国有厚畛子生态实验林场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周至县国有厚畛子生态实验林场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13572457456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志进明(陕西)项目管理有限公司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陕西省西安市莲湖区陕西省西安市莲湖区高新路西部国际广场B座2903室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18092142076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采购包1：825,421.83元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周至县国有厚畛子生态实验林场</w:t>
      </w:r>
      <w:r>
        <w:rPr>
          <w:rFonts w:ascii="仿宋_GB2312" w:hAnsi="仿宋_GB2312" w:cs="仿宋_GB2312" w:eastAsia="仿宋_GB2312"/>
        </w:rPr>
        <w:t>和</w:t>
      </w:r>
      <w:r>
        <w:rPr>
          <w:rFonts w:ascii="仿宋_GB2312" w:hAnsi="仿宋_GB2312" w:cs="仿宋_GB2312" w:eastAsia="仿宋_GB2312"/>
        </w:rPr>
        <w:t>志进明(陕西)项目管理有限公司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周至县国有厚畛子生态实验林场</w:t>
      </w:r>
      <w:r>
        <w:rPr>
          <w:rFonts w:ascii="仿宋_GB2312" w:hAnsi="仿宋_GB2312" w:cs="仿宋_GB2312" w:eastAsia="仿宋_GB2312"/>
        </w:rPr>
        <w:t>负责解释。除上述磋商文件内容，其他内容由</w:t>
      </w:r>
      <w:r>
        <w:rPr>
          <w:rFonts w:ascii="仿宋_GB2312" w:hAnsi="仿宋_GB2312" w:cs="仿宋_GB2312" w:eastAsia="仿宋_GB2312"/>
        </w:rPr>
        <w:t>志进明(陕西)项目管理有限公司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周至县国有厚畛子生态实验林场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志进明(陕西)项目管理有限公司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志进明(陕西)项目管理有限公司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志进明(陕西)项目管理有限公司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志进明(陕西)项目管理有限公司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联系人：夏魁</w:t>
      </w:r>
    </w:p>
    <w:p>
      <w:pPr>
        <w:pStyle w:val="null3"/>
      </w:pPr>
      <w:r>
        <w:rPr>
          <w:rFonts w:ascii="仿宋_GB2312" w:hAnsi="仿宋_GB2312" w:cs="仿宋_GB2312" w:eastAsia="仿宋_GB2312"/>
        </w:rPr>
        <w:t>联系电话：18092142076</w:t>
      </w:r>
    </w:p>
    <w:p>
      <w:pPr>
        <w:pStyle w:val="null3"/>
      </w:pPr>
      <w:r>
        <w:rPr>
          <w:rFonts w:ascii="仿宋_GB2312" w:hAnsi="仿宋_GB2312" w:cs="仿宋_GB2312" w:eastAsia="仿宋_GB2312"/>
        </w:rPr>
        <w:t>地址：陕西省西安市莲湖区高新路西部国际广场B座2903室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825,421.83</w:t>
      </w:r>
    </w:p>
    <w:p>
      <w:pPr>
        <w:pStyle w:val="null3"/>
      </w:pPr>
      <w:r>
        <w:rPr>
          <w:rFonts w:ascii="仿宋_GB2312" w:hAnsi="仿宋_GB2312" w:cs="仿宋_GB2312" w:eastAsia="仿宋_GB2312"/>
        </w:rPr>
        <w:t>采购包最高限价（元）: 825,421.83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2026年度省级财政衔接推进乡村振兴补助资金（欠发达国有林场巩固提升任务）自然教育基地提升改造项目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825,421.83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标的名称：2026年度省级财政衔接推进乡村振兴补助资金（欠发达国有林场巩固提升任务）自然教育基地提升改造项目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、质量标准：符合国家现⾏有关施⼯质量验收规范</w:t>
            </w:r>
            <w:r>
              <w:rPr>
                <w:rFonts w:ascii="仿宋_GB2312" w:hAnsi="仿宋_GB2312" w:cs="仿宋_GB2312" w:eastAsia="仿宋_GB2312"/>
                <w:sz w:val="21"/>
                <w:color w:val="000000"/>
              </w:rPr>
              <w:t>“</w:t>
            </w:r>
            <w:r>
              <w:rPr>
                <w:rFonts w:ascii="仿宋_GB2312" w:hAnsi="仿宋_GB2312" w:cs="仿宋_GB2312" w:eastAsia="仿宋_GB2312"/>
                <w:sz w:val="21"/>
                <w:color w:val="000000"/>
              </w:rPr>
              <w:t>合格</w:t>
            </w:r>
            <w:r>
              <w:rPr>
                <w:rFonts w:ascii="仿宋_GB2312" w:hAnsi="仿宋_GB2312" w:cs="仿宋_GB2312" w:eastAsia="仿宋_GB2312"/>
                <w:sz w:val="21"/>
                <w:color w:val="000000"/>
              </w:rPr>
              <w:t>”</w:t>
            </w:r>
            <w:r>
              <w:rPr>
                <w:rFonts w:ascii="仿宋_GB2312" w:hAnsi="仿宋_GB2312" w:cs="仿宋_GB2312" w:eastAsia="仿宋_GB2312"/>
                <w:sz w:val="21"/>
                <w:color w:val="000000"/>
              </w:rPr>
              <w:t>要求标准</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、⼯期：⾃合同签订之⽇起</w:t>
            </w:r>
            <w:r>
              <w:rPr>
                <w:rFonts w:ascii="仿宋_GB2312" w:hAnsi="仿宋_GB2312" w:cs="仿宋_GB2312" w:eastAsia="仿宋_GB2312"/>
                <w:sz w:val="21"/>
                <w:color w:val="000000"/>
              </w:rPr>
              <w:t>60</w:t>
            </w:r>
            <w:r>
              <w:rPr>
                <w:rFonts w:ascii="仿宋_GB2312" w:hAnsi="仿宋_GB2312" w:cs="仿宋_GB2312" w:eastAsia="仿宋_GB2312"/>
                <w:sz w:val="21"/>
                <w:color w:val="000000"/>
              </w:rPr>
              <w:t>个⽇历天</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、详⻅电⼦招标书和⼯程量清单</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、⼴联达版本号：</w:t>
            </w:r>
            <w:r>
              <w:rPr>
                <w:rFonts w:ascii="仿宋_GB2312" w:hAnsi="仿宋_GB2312" w:cs="仿宋_GB2312" w:eastAsia="仿宋_GB2312"/>
                <w:sz w:val="21"/>
                <w:color w:val="000000"/>
              </w:rPr>
              <w:t>7.5000.23.2</w:t>
            </w:r>
          </w:p>
          <w:p>
            <w:pPr>
              <w:pStyle w:val="null3"/>
            </w:pPr>
            <w:r>
              <w:rPr>
                <w:rFonts w:ascii="仿宋_GB2312" w:hAnsi="仿宋_GB2312" w:cs="仿宋_GB2312" w:eastAsia="仿宋_GB2312"/>
              </w:rPr>
              <w:t>产品技术参数</w:t>
            </w:r>
          </w:p>
          <w:tbl>
            <w:tblPr>
              <w:tblInd w:type="dxa" w:w="135"/>
              <w:tblBorders>
                <w:top w:val="none" w:color="000000" w:sz="4"/>
                <w:left w:val="none" w:color="000000" w:sz="4"/>
                <w:bottom w:val="none" w:color="000000" w:sz="4"/>
                <w:right w:val="none" w:color="000000" w:sz="4"/>
                <w:insideH w:val="none"/>
                <w:insideV w:val="none"/>
              </w:tblBorders>
            </w:tblPr>
            <w:tblGrid>
              <w:gridCol w:w="154"/>
              <w:gridCol w:w="441"/>
              <w:gridCol w:w="1498"/>
              <w:gridCol w:w="158"/>
              <w:gridCol w:w="186"/>
            </w:tblGrid>
            <w:tr>
              <w:tc>
                <w:tcPr>
                  <w:tcW w:type="dxa" w:w="154"/>
                  <w:tcBorders>
                    <w:top w:val="single" w:color="000000" w:sz="8"/>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b/>
                    </w:rPr>
                    <w:t>序号</w:t>
                  </w:r>
                </w:p>
              </w:tc>
              <w:tc>
                <w:tcPr>
                  <w:tcW w:type="dxa" w:w="441"/>
                  <w:tcBorders>
                    <w:top w:val="single" w:color="000000" w:sz="8"/>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b/>
                    </w:rPr>
                    <w:t>物品名称</w:t>
                  </w:r>
                </w:p>
              </w:tc>
              <w:tc>
                <w:tcPr>
                  <w:tcW w:type="dxa" w:w="1498"/>
                  <w:tcBorders>
                    <w:top w:val="single" w:color="000000" w:sz="8"/>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b/>
                    </w:rPr>
                    <w:t>参数说明</w:t>
                  </w:r>
                </w:p>
              </w:tc>
              <w:tc>
                <w:tcPr>
                  <w:tcW w:type="dxa" w:w="158"/>
                  <w:tcBorders>
                    <w:top w:val="single" w:color="000000" w:sz="8"/>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b/>
                    </w:rPr>
                    <w:t>单位</w:t>
                  </w:r>
                </w:p>
              </w:tc>
              <w:tc>
                <w:tcPr>
                  <w:tcW w:type="dxa" w:w="186"/>
                  <w:tcBorders>
                    <w:top w:val="single" w:color="000000" w:sz="8"/>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b/>
                    </w:rPr>
                    <w:t>数量</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1</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植物标本夹</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植物标本压制夹，纸质</w:t>
                  </w:r>
                  <w:r>
                    <w:rPr>
                      <w:rFonts w:ascii="仿宋_GB2312" w:hAnsi="仿宋_GB2312" w:cs="仿宋_GB2312" w:eastAsia="仿宋_GB2312"/>
                      <w:sz w:val="15"/>
                    </w:rPr>
                    <w:t>+ 塑料结构，用于干花、树叶压花、标本书签 DIY，外形尺寸≥12</w:t>
                  </w:r>
                  <w:r>
                    <w:rPr>
                      <w:rFonts w:ascii="仿宋_GB2312" w:hAnsi="仿宋_GB2312" w:cs="仿宋_GB2312" w:eastAsia="仿宋_GB2312"/>
                      <w:sz w:val="15"/>
                    </w:rPr>
                    <w:t>×</w:t>
                  </w:r>
                  <w:r>
                    <w:rPr>
                      <w:rFonts w:ascii="仿宋_GB2312" w:hAnsi="仿宋_GB2312" w:cs="仿宋_GB2312" w:eastAsia="仿宋_GB2312"/>
                      <w:sz w:val="15"/>
                    </w:rPr>
                    <w:t>6</w:t>
                  </w:r>
                  <w:r>
                    <w:rPr>
                      <w:rFonts w:ascii="仿宋_GB2312" w:hAnsi="仿宋_GB2312" w:cs="仿宋_GB2312" w:eastAsia="仿宋_GB2312"/>
                      <w:sz w:val="15"/>
                    </w:rPr>
                    <w:t>cm</w:t>
                  </w:r>
                  <w:r>
                    <w:rPr>
                      <w:rFonts w:ascii="仿宋_GB2312" w:hAnsi="仿宋_GB2312" w:cs="仿宋_GB2312" w:eastAsia="仿宋_GB2312"/>
                      <w:sz w:val="15"/>
                    </w:rPr>
                    <w:t>，具备标本夹持、干燥压平功能。</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个</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300</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2</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观察笼</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细网纱</w:t>
                  </w:r>
                  <w:r>
                    <w:rPr>
                      <w:rFonts w:ascii="仿宋_GB2312" w:hAnsi="仿宋_GB2312" w:cs="仿宋_GB2312" w:eastAsia="仿宋_GB2312"/>
                      <w:sz w:val="15"/>
                    </w:rPr>
                    <w:t xml:space="preserve"> + PVC 支架，可折叠收纳；尺寸约</w:t>
                  </w:r>
                  <w:r>
                    <w:rPr>
                      <w:rFonts w:ascii="仿宋_GB2312" w:hAnsi="仿宋_GB2312" w:cs="仿宋_GB2312" w:eastAsia="仿宋_GB2312"/>
                      <w:sz w:val="15"/>
                    </w:rPr>
                    <w:t>≥</w:t>
                  </w:r>
                  <w:r>
                    <w:rPr>
                      <w:rFonts w:ascii="仿宋_GB2312" w:hAnsi="仿宋_GB2312" w:cs="仿宋_GB2312" w:eastAsia="仿宋_GB2312"/>
                      <w:sz w:val="15"/>
                    </w:rPr>
                    <w:t xml:space="preserve"> 30×30×40cm，透光透气带拉链开口，适用于昆虫、蝴蝶、植物幼苗户外观察</w:t>
                  </w:r>
                  <w:r>
                    <w:rPr>
                      <w:rFonts w:ascii="仿宋_GB2312" w:hAnsi="仿宋_GB2312" w:cs="仿宋_GB2312" w:eastAsia="仿宋_GB2312"/>
                      <w:sz w:val="15"/>
                    </w:rPr>
                    <w:t>。</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个</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100</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3</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望远镜</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便携双筒望远镜，放大倍率</w:t>
                  </w:r>
                  <w:r>
                    <w:rPr>
                      <w:rFonts w:ascii="仿宋_GB2312" w:hAnsi="仿宋_GB2312" w:cs="仿宋_GB2312" w:eastAsia="仿宋_GB2312"/>
                      <w:sz w:val="15"/>
                    </w:rPr>
                    <w:t>≥10 倍，物镜口径≥25mm；光学镜片多层镀膜，具备微光观测能力；防滑握持设计，配备收纳袋、挂绳；整机重量≤</w:t>
                  </w:r>
                  <w:r>
                    <w:rPr>
                      <w:rFonts w:ascii="仿宋_GB2312" w:hAnsi="仿宋_GB2312" w:cs="仿宋_GB2312" w:eastAsia="仿宋_GB2312"/>
                      <w:sz w:val="15"/>
                    </w:rPr>
                    <w:t>180g</w:t>
                  </w:r>
                  <w:r>
                    <w:rPr>
                      <w:rFonts w:ascii="仿宋_GB2312" w:hAnsi="仿宋_GB2312" w:cs="仿宋_GB2312" w:eastAsia="仿宋_GB2312"/>
                      <w:sz w:val="15"/>
                    </w:rPr>
                    <w:t>。</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个</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50</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4</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手持水质监测笔</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便携式水质检测笔，可同时检测</w:t>
                  </w:r>
                  <w:r>
                    <w:rPr>
                      <w:rFonts w:ascii="仿宋_GB2312" w:hAnsi="仿宋_GB2312" w:cs="仿宋_GB2312" w:eastAsia="仿宋_GB2312"/>
                      <w:sz w:val="15"/>
                    </w:rPr>
                    <w:t>TDS 总溶解固体与水体温度；配备金属探测探头，带背光液晶显示屏；TDS 测量量程覆盖 0–9990ppm，测量精度≤±2%；纽扣电池供电。</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个</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50</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5</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大熊猫文创产品</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熊猫主题纪念</w:t>
                  </w:r>
                  <w:r>
                    <w:rPr>
                      <w:rFonts w:ascii="仿宋_GB2312" w:hAnsi="仿宋_GB2312" w:cs="仿宋_GB2312" w:eastAsia="仿宋_GB2312"/>
                      <w:sz w:val="15"/>
                    </w:rPr>
                    <w:t>玩偶，约</w:t>
                  </w:r>
                  <w:r>
                    <w:rPr>
                      <w:rFonts w:ascii="仿宋_GB2312" w:hAnsi="仿宋_GB2312" w:cs="仿宋_GB2312" w:eastAsia="仿宋_GB2312"/>
                      <w:sz w:val="15"/>
                    </w:rPr>
                    <w:t>23厘米高坐姿；为熊猫制作衣服，颜色为深绿色；印制林场自然教育LOGO。</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个</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300</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6</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自然教育活动帆布包</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竖版</w:t>
                  </w:r>
                  <w:r>
                    <w:rPr>
                      <w:rFonts w:ascii="仿宋_GB2312" w:hAnsi="仿宋_GB2312" w:cs="仿宋_GB2312" w:eastAsia="仿宋_GB2312"/>
                      <w:sz w:val="15"/>
                    </w:rPr>
                    <w:t>帆布包</w:t>
                  </w:r>
                  <w:r>
                    <w:rPr>
                      <w:rFonts w:ascii="仿宋_GB2312" w:hAnsi="仿宋_GB2312" w:cs="仿宋_GB2312" w:eastAsia="仿宋_GB2312"/>
                      <w:sz w:val="15"/>
                    </w:rPr>
                    <w:t xml:space="preserve"> 35×40cm</w:t>
                  </w:r>
                  <w:r>
                    <w:rPr>
                      <w:rFonts w:ascii="仿宋_GB2312" w:hAnsi="仿宋_GB2312" w:cs="仿宋_GB2312" w:eastAsia="仿宋_GB2312"/>
                      <w:sz w:val="15"/>
                    </w:rPr>
                    <w:t>，</w:t>
                  </w:r>
                  <w:r>
                    <w:rPr>
                      <w:rFonts w:ascii="仿宋_GB2312" w:hAnsi="仿宋_GB2312" w:cs="仿宋_GB2312" w:eastAsia="仿宋_GB2312"/>
                      <w:sz w:val="15"/>
                    </w:rPr>
                    <w:t>帆布材质，</w:t>
                  </w:r>
                  <w:r>
                    <w:rPr>
                      <w:rFonts w:ascii="仿宋_GB2312" w:hAnsi="仿宋_GB2312" w:cs="仿宋_GB2312" w:eastAsia="仿宋_GB2312"/>
                      <w:sz w:val="15"/>
                    </w:rPr>
                    <w:t>米色，按甲方要求印制文字及图案自然教育</w:t>
                  </w:r>
                  <w:r>
                    <w:rPr>
                      <w:rFonts w:ascii="仿宋_GB2312" w:hAnsi="仿宋_GB2312" w:cs="仿宋_GB2312" w:eastAsia="仿宋_GB2312"/>
                      <w:sz w:val="15"/>
                    </w:rPr>
                    <w:t>LOGO</w:t>
                  </w:r>
                  <w:r>
                    <w:rPr>
                      <w:rFonts w:ascii="仿宋_GB2312" w:hAnsi="仿宋_GB2312" w:cs="仿宋_GB2312" w:eastAsia="仿宋_GB2312"/>
                      <w:sz w:val="15"/>
                    </w:rPr>
                    <w:t>g</w:t>
                  </w:r>
                  <w:r>
                    <w:rPr>
                      <w:rFonts w:ascii="仿宋_GB2312" w:hAnsi="仿宋_GB2312" w:cs="仿宋_GB2312" w:eastAsia="仿宋_GB2312"/>
                      <w:sz w:val="15"/>
                    </w:rPr>
                    <w:t>。</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个</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150</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7</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制作树叶画帆布袋</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竖版，印制熊猫脚印，</w:t>
                  </w:r>
                  <w:r>
                    <w:rPr>
                      <w:rFonts w:ascii="仿宋_GB2312" w:hAnsi="仿宋_GB2312" w:cs="仿宋_GB2312" w:eastAsia="仿宋_GB2312"/>
                      <w:sz w:val="15"/>
                    </w:rPr>
                    <w:t>LOGO 15cm</w:t>
                  </w:r>
                  <w:r>
                    <w:rPr>
                      <w:rFonts w:ascii="仿宋_GB2312" w:hAnsi="仿宋_GB2312" w:cs="仿宋_GB2312" w:eastAsia="仿宋_GB2312"/>
                      <w:sz w:val="15"/>
                    </w:rPr>
                    <w:t>×</w:t>
                  </w:r>
                  <w:r>
                    <w:rPr>
                      <w:rFonts w:ascii="仿宋_GB2312" w:hAnsi="仿宋_GB2312" w:cs="仿宋_GB2312" w:eastAsia="仿宋_GB2312"/>
                      <w:sz w:val="15"/>
                    </w:rPr>
                    <w:t>20cm，</w:t>
                  </w:r>
                  <w:r>
                    <w:rPr>
                      <w:rFonts w:ascii="仿宋_GB2312" w:hAnsi="仿宋_GB2312" w:cs="仿宋_GB2312" w:eastAsia="仿宋_GB2312"/>
                      <w:sz w:val="15"/>
                    </w:rPr>
                    <w:t>帆布材质，适合树叶拓印、手绘创作等自然教育</w:t>
                  </w:r>
                  <w:r>
                    <w:rPr>
                      <w:rFonts w:ascii="仿宋_GB2312" w:hAnsi="仿宋_GB2312" w:cs="仿宋_GB2312" w:eastAsia="仿宋_GB2312"/>
                      <w:sz w:val="15"/>
                    </w:rPr>
                    <w:t xml:space="preserve"> DIY 活动</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个</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300</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8</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熊猫装扮服装</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成人款毛绒熊猫人偶服</w:t>
                  </w:r>
                  <w:r>
                    <w:rPr>
                      <w:rFonts w:ascii="仿宋_GB2312" w:hAnsi="仿宋_GB2312" w:cs="仿宋_GB2312" w:eastAsia="仿宋_GB2312"/>
                      <w:sz w:val="15"/>
                    </w:rPr>
                    <w:t>，</w:t>
                  </w:r>
                  <w:r>
                    <w:rPr>
                      <w:rFonts w:ascii="仿宋_GB2312" w:hAnsi="仿宋_GB2312" w:cs="仿宋_GB2312" w:eastAsia="仿宋_GB2312"/>
                      <w:sz w:val="15"/>
                    </w:rPr>
                    <w:t>EVA 发泡内撑 + 长毛绒面料，头身分体设计；带透气网眼视窗，适配身高 160-180cm</w:t>
                  </w:r>
                  <w:r>
                    <w:rPr>
                      <w:rFonts w:ascii="仿宋_GB2312" w:hAnsi="仿宋_GB2312" w:cs="仿宋_GB2312" w:eastAsia="仿宋_GB2312"/>
                      <w:sz w:val="15"/>
                    </w:rPr>
                    <w:t>。</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件</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8</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9</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自然教育马甲服装</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桃皮绒复合面料，</w:t>
                  </w:r>
                  <w:r>
                    <w:rPr>
                      <w:rFonts w:ascii="仿宋_GB2312" w:hAnsi="仿宋_GB2312" w:cs="仿宋_GB2312" w:eastAsia="仿宋_GB2312"/>
                      <w:sz w:val="15"/>
                    </w:rPr>
                    <w:t>M-XXL 多尺码可选；前后可印刷活动标识，多口袋设计，透气耐磨，适配工作人员与学员穿着</w:t>
                  </w:r>
                  <w:r>
                    <w:rPr>
                      <w:rFonts w:ascii="仿宋_GB2312" w:hAnsi="仿宋_GB2312" w:cs="仿宋_GB2312" w:eastAsia="仿宋_GB2312"/>
                      <w:sz w:val="15"/>
                    </w:rPr>
                    <w:t>。</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个</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200</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10</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登山手杖</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三节伸缩铝合金登山杖，三节伸缩，长度</w:t>
                  </w:r>
                  <w:r>
                    <w:rPr>
                      <w:rFonts w:ascii="仿宋_GB2312" w:hAnsi="仿宋_GB2312" w:cs="仿宋_GB2312" w:eastAsia="仿宋_GB2312"/>
                      <w:sz w:val="15"/>
                    </w:rPr>
                    <w:t xml:space="preserve"> 65-135cm 可调；橡胶防滑握把，钨钢杖尖带减震系统，配杖尖套与泥托，单重≤ 280g</w:t>
                  </w:r>
                  <w:r>
                    <w:rPr>
                      <w:rFonts w:ascii="仿宋_GB2312" w:hAnsi="仿宋_GB2312" w:cs="仿宋_GB2312" w:eastAsia="仿宋_GB2312"/>
                      <w:sz w:val="15"/>
                    </w:rPr>
                    <w:t>。</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个</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100</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11</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折叠防潮垫</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双面铝膜珍珠棉防潮垫</w:t>
                  </w:r>
                  <w:r>
                    <w:rPr>
                      <w:rFonts w:ascii="仿宋_GB2312" w:hAnsi="仿宋_GB2312" w:cs="仿宋_GB2312" w:eastAsia="仿宋_GB2312"/>
                      <w:sz w:val="15"/>
                    </w:rPr>
                    <w:t>，</w:t>
                  </w:r>
                  <w:r>
                    <w:rPr>
                      <w:rFonts w:ascii="仿宋_GB2312" w:hAnsi="仿宋_GB2312" w:cs="仿宋_GB2312" w:eastAsia="仿宋_GB2312"/>
                      <w:sz w:val="15"/>
                    </w:rPr>
                    <w:t>双面铝膜</w:t>
                  </w:r>
                  <w:r>
                    <w:rPr>
                      <w:rFonts w:ascii="仿宋_GB2312" w:hAnsi="仿宋_GB2312" w:cs="仿宋_GB2312" w:eastAsia="仿宋_GB2312"/>
                      <w:sz w:val="15"/>
                    </w:rPr>
                    <w:t xml:space="preserve"> + 3mm 厚珍珠棉；展开尺寸</w:t>
                  </w:r>
                  <w:r>
                    <w:rPr>
                      <w:rFonts w:ascii="仿宋_GB2312" w:hAnsi="仿宋_GB2312" w:cs="仿宋_GB2312" w:eastAsia="仿宋_GB2312"/>
                      <w:sz w:val="15"/>
                    </w:rPr>
                    <w:t>≥</w:t>
                  </w:r>
                  <w:r>
                    <w:rPr>
                      <w:rFonts w:ascii="仿宋_GB2312" w:hAnsi="仿宋_GB2312" w:cs="仿宋_GB2312" w:eastAsia="仿宋_GB2312"/>
                      <w:sz w:val="15"/>
                    </w:rPr>
                    <w:t>150×200cm，可折叠收纳，防水防潮、隔热保温，单重≤ 200g</w:t>
                  </w:r>
                  <w:r>
                    <w:rPr>
                      <w:rFonts w:ascii="仿宋_GB2312" w:hAnsi="仿宋_GB2312" w:cs="仿宋_GB2312" w:eastAsia="仿宋_GB2312"/>
                      <w:sz w:val="15"/>
                    </w:rPr>
                    <w:t>。</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个</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50</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12</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科普版块更新</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1.设计、制作、安装森林与我们的生活、聪明的植物、种子流浪记、自然昆虫科普、森林四库等自然教育板块，材质包含亚克力立体字、宣绒布高清画面、龙骨架、射灯及支架、昆虫标本采集及亚克力标本墙互动翻转球定制、沙包、收纳筐、玻璃球定制及人工等。</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50</w:t>
                  </w:r>
                </w:p>
              </w:tc>
            </w:tr>
            <w:tr>
              <w:tc>
                <w:tcPr>
                  <w:tcW w:type="dxa" w:w="154"/>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13</w:t>
                  </w:r>
                </w:p>
              </w:tc>
              <w:tc>
                <w:tcPr>
                  <w:tcW w:type="dxa" w:w="441"/>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树木标本更新</w:t>
                  </w:r>
                </w:p>
              </w:tc>
              <w:tc>
                <w:tcPr>
                  <w:tcW w:type="dxa" w:w="149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left"/>
                  </w:pPr>
                  <w:r>
                    <w:rPr>
                      <w:rFonts w:ascii="仿宋_GB2312" w:hAnsi="仿宋_GB2312" w:cs="仿宋_GB2312" w:eastAsia="仿宋_GB2312"/>
                      <w:sz w:val="15"/>
                    </w:rPr>
                    <w:t>1.林区实地采集、制作（直径8-10厘米×高20厘米）+（直径8-10厘米×高5厘米）树木标本组合，共40组，含标本小标牌制作安装。</w:t>
                  </w:r>
                </w:p>
              </w:tc>
              <w:tc>
                <w:tcPr>
                  <w:tcW w:type="dxa" w:w="158"/>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组</w:t>
                  </w:r>
                </w:p>
              </w:tc>
              <w:tc>
                <w:tcPr>
                  <w:tcW w:type="dxa" w:w="186"/>
                  <w:tcBorders>
                    <w:top w:val="none" w:color="000000" w:sz="4"/>
                    <w:left w:val="single" w:color="000000" w:sz="8"/>
                    <w:bottom w:val="single" w:color="000000" w:sz="8"/>
                    <w:right w:val="single" w:color="000000" w:sz="8"/>
                  </w:tcBorders>
                  <w:tcMar>
                    <w:top w:type="dxa" w:w="120"/>
                    <w:left w:type="dxa" w:w="120"/>
                    <w:bottom w:type="dxa" w:w="120"/>
                    <w:right w:type="dxa" w:w="120"/>
                  </w:tcMar>
                  <w:vAlign w:val="top"/>
                </w:tcPr>
                <w:p>
                  <w:pPr>
                    <w:pStyle w:val="null3"/>
                    <w:jc w:val="center"/>
                  </w:pPr>
                  <w:r>
                    <w:rPr>
                      <w:rFonts w:ascii="仿宋_GB2312" w:hAnsi="仿宋_GB2312" w:cs="仿宋_GB2312" w:eastAsia="仿宋_GB2312"/>
                      <w:sz w:val="15"/>
                    </w:rPr>
                    <w:t>40</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符合国家现⾏有关施⼯质量验收规范“合格”要求标准。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总体施⼯组织实施⽅案、项⽬管理机构配置⽅案、⼯程质量保障⽅案、施⼯⼯期保障⽅案、安全⽣产与⽂明施⼯⽅案、环境保护与⽔⼟保持⽅案、施工承诺及业绩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提供递交投标⽂件截⽌之⽇前两年内任意⼀个年度经审计的财务报告（包括“四表 ⼀注”，即资产负债表、利润表、现⾦流量表、所有者权益变动表及其附注，符合 《中⼩企业划型标准规定》的⼩型企业按照《⼩企业会计准则》执⾏。成⽴时间⾄ 提交投标⽂件截⽌时间不⾜⼀年的可提供成⽴后任意时段的资产负债表），审计报 告须具有注册会计师⾏业统⼀监管平台（http://acc.mof.gov.cn）赋予的验证码 ；或提供其开标前三个⽉内基本开⼾银⾏出具的资信证明；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营业执照等证明⽂件</w:t>
            </w:r>
          </w:p>
        </w:tc>
        <w:tc>
          <w:tcPr>
            <w:tcW w:type="dxa" w:w="3322"/>
          </w:tcPr>
          <w:p>
            <w:pPr>
              <w:pStyle w:val="null3"/>
            </w:pPr>
            <w:r>
              <w:rPr>
                <w:rFonts w:ascii="仿宋_GB2312" w:hAnsi="仿宋_GB2312" w:cs="仿宋_GB2312" w:eastAsia="仿宋_GB2312"/>
              </w:rPr>
              <w:t>提供合格有效的法⼈或者其他组织的营业执照等证明⽂件，⾃然⼈的⾝份证明；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提供法定代表⼈授权书（附法定代表⼈、被授权⼈⾝份证复印件）及被授权⼈⾝份证复印件 （法定代表⼈直接参加投标，须提供法定代表⼈⾝份证明及⾝份证复印件）；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提供递交投标⽂件截⽌之⽇前两年内任意⼀个年度经审计的财务报告（包括“四表 ⼀注”，即资产负债表、利润表、现⾦流量表、所有者权益变动表及其附注，符合 《中⼩企业划型标准规定》的⼩型企业按照《⼩企业会计准则》执⾏。成⽴时间⾄ 提交投标⽂件截⽌时间不⾜⼀年的可提供成⽴后任意时段的资产负债表），审计报 告须具有注册会计师⾏业统⼀监管平台（http://acc.mof.gov.cn）赋予的验证码 ；或提供其开标前三个⽉内基本开⼾银⾏出具的资信证明；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提供投标截⽌⽇前近⼀年内⾄少⼀个⽉的纳税证明或完税证明，依法免税的单位应提供相关证明材料；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提供投标截⽌⽇前近⼀年内⾄少⼀个⽉的社会保障资⾦缴存单据或社保机构开具的社会保险参保缴费情况证明，依法不需要缴纳社会保障资⾦的单位应提供相关证明材料；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查询相关主体信⽤记录</w:t>
            </w:r>
          </w:p>
        </w:tc>
        <w:tc>
          <w:tcPr>
            <w:tcW w:type="dxa" w:w="3322"/>
          </w:tcPr>
          <w:p>
            <w:pPr>
              <w:pStyle w:val="null3"/>
            </w:pPr>
            <w:r>
              <w:rPr>
                <w:rFonts w:ascii="仿宋_GB2312" w:hAnsi="仿宋_GB2312" w:cs="仿宋_GB2312" w:eastAsia="仿宋_GB2312"/>
              </w:rPr>
              <w:t>提供《供应商信⽤记录书⾯声明函》供应商未被列⼊“信⽤中国”⽹站记录的“失信 被执⾏⼈”或“重⼤税收违法案件当事⼈”名单；不处于“中国政府采购⽹”记录的“政 府采购严重违法失信⾏为信息记录名单”中的禁⽌参加政府采购活动期间；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资质证明</w:t>
            </w:r>
          </w:p>
        </w:tc>
        <w:tc>
          <w:tcPr>
            <w:tcW w:type="dxa" w:w="3322"/>
          </w:tcPr>
          <w:p>
            <w:pPr>
              <w:pStyle w:val="null3"/>
            </w:pPr>
            <w:r>
              <w:rPr>
                <w:rFonts w:ascii="仿宋_GB2312" w:hAnsi="仿宋_GB2312" w:cs="仿宋_GB2312" w:eastAsia="仿宋_GB2312"/>
              </w:rPr>
              <w:t>供应商具有建设⾏政主管部⻔颁发的建筑⼯程施⼯总承包三级及以上资质，且具有有效的安全⽣产许可证；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项⽬经理</w:t>
            </w:r>
          </w:p>
        </w:tc>
        <w:tc>
          <w:tcPr>
            <w:tcW w:type="dxa" w:w="3322"/>
          </w:tcPr>
          <w:p>
            <w:pPr>
              <w:pStyle w:val="null3"/>
            </w:pPr>
            <w:r>
              <w:rPr>
                <w:rFonts w:ascii="仿宋_GB2312" w:hAnsi="仿宋_GB2312" w:cs="仿宋_GB2312" w:eastAsia="仿宋_GB2312"/>
              </w:rPr>
              <w:t>拟派项⽬经理须具有建筑⼯程专业⼆级及以上注册建造师资质并具有安全⽣产考核合格证，在本单位注册且⽆在建⼯程（提供⽆在建承诺书）；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提供具有履⾏本合同所必需的设备和专业技术能⼒的说明及承诺书；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书⾯声明</w:t>
            </w:r>
          </w:p>
        </w:tc>
        <w:tc>
          <w:tcPr>
            <w:tcW w:type="dxa" w:w="3322"/>
          </w:tcPr>
          <w:p>
            <w:pPr>
              <w:pStyle w:val="null3"/>
            </w:pPr>
            <w:r>
              <w:rPr>
                <w:rFonts w:ascii="仿宋_GB2312" w:hAnsi="仿宋_GB2312" w:cs="仿宋_GB2312" w:eastAsia="仿宋_GB2312"/>
              </w:rPr>
              <w:t>参加政府采购活动前3年内，在经营活动中没有重⼤违法记录的书⾯声明；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提供直接控股和管理关系清单。若与其他供应商存在单位负责⼈为同⼀⼈或者存在直接控股、管理关系的，则投标⽆效；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需提供中小企业声明函；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按照磋商文件格式要求进行签署盖章。</w:t>
            </w:r>
          </w:p>
        </w:tc>
        <w:tc>
          <w:tcPr>
            <w:tcW w:type="dxa" w:w="1661"/>
          </w:tcPr>
          <w:p>
            <w:pPr>
              <w:pStyle w:val="null3"/>
            </w:pPr>
            <w:r>
              <w:rPr>
                <w:rFonts w:ascii="仿宋_GB2312" w:hAnsi="仿宋_GB2312" w:cs="仿宋_GB2312" w:eastAsia="仿宋_GB2312"/>
              </w:rPr>
              <w:t>已标价工程量清单 中小企业声明函 货物参数响应表.xlsx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已标价工程量清单 中小企业声明函 货物参数响应表.xlsx 技术服务合同条款及其他商务要求应答表 强制优先采购产品承诺函 响应文件封面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 且报价不超过最高限价。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总体施工组织实施方案</w:t>
            </w:r>
          </w:p>
        </w:tc>
        <w:tc>
          <w:tcPr>
            <w:tcW w:type="dxa" w:w="2492"/>
          </w:tcPr>
          <w:p>
            <w:pPr>
              <w:pStyle w:val="null3"/>
            </w:pPr>
            <w:r>
              <w:rPr>
                <w:rFonts w:ascii="仿宋_GB2312" w:hAnsi="仿宋_GB2312" w:cs="仿宋_GB2312" w:eastAsia="仿宋_GB2312"/>
              </w:rPr>
              <w:t>一、评审内容：供应商结合本项目实际，提供总体施工组织实施方案，至少包含： ①项目整体概况与施工总体部署； ②供货方案（包含但不限于投标产品技术参数清楚，明确有相应⻬全的技术资料、货配送方案 、运输保管方案 、产品调换方案）； ③施工方案（包含但不限于⼯程重难点及解决措施、⼯程施⼯⽅法、施⼯质量通病防治措施） ④施工总平面布置与资源配置计划。 二、分项评审标准： 1.完整性：方案内容完整、覆盖项目全部建设内容，要素齐全； 2.可实施性：方案施工工艺合理、流程清晰，便于现场落地实施； 3.针对性：完全匹配本项目的实际需求与建设目标，贴合项目场地、工艺特点。 三、赋分标准（满分24分）： ①项目整体概况与施工总体部署：每满足一个分项评审标准得2分，满分6分； ②供货方案（包含但不限于投标产品技术参数清楚，明确有相应⻬全的技术资料、货配送方案 、运输保管方案 、产品调换方案）：每满足一个分项评审标准得2分，满分6分； ③施工方案（包含但不限于⼯程重难点及解决措施、⼯程施⼯⽅法、施⼯质量通病防治措施）：每满足一个分项评审标准得2分，满分6分； ④施工总平面布置与资源配置计划：每满足一个分项评审标准得2分，满分6分； 未提供相关证明材料不得分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货物参数响应表.xlsx</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项目管理机构配置方案</w:t>
            </w:r>
          </w:p>
        </w:tc>
        <w:tc>
          <w:tcPr>
            <w:tcW w:type="dxa" w:w="2492"/>
          </w:tcPr>
          <w:p>
            <w:pPr>
              <w:pStyle w:val="null3"/>
            </w:pPr>
            <w:r>
              <w:rPr>
                <w:rFonts w:ascii="仿宋_GB2312" w:hAnsi="仿宋_GB2312" w:cs="仿宋_GB2312" w:eastAsia="仿宋_GB2312"/>
              </w:rPr>
              <w:t>⼀、评审内容 供应商针对本项⽬编制科学的项⽬管理机构，内容包含： ①管理机构的配备计划及管理⼈员证书 ②组织机构的岗位职责。 ⼆、评审标准 1、完整性：⽅案必须全⾯，对评审内容中的各项要求有详细描述； 2、可实施性：切合本项⽬实际情况，提出步骤清晰、合理的⽅案； 3、针对性：⽅案能够紧扣项⽬实际情况，内容科学合理。 三、赋分标准（满分6分） ①管理机构的配备计划：每完全满⾜⼀个评审标准得1分，满分3分； ②组织机构的岗位职责：每完全满⾜⼀个评审标准得1分，满分3分。 未提供相关证明材料不得分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工程质量保障方案</w:t>
            </w:r>
          </w:p>
        </w:tc>
        <w:tc>
          <w:tcPr>
            <w:tcW w:type="dxa" w:w="2492"/>
          </w:tcPr>
          <w:p>
            <w:pPr>
              <w:pStyle w:val="null3"/>
            </w:pPr>
            <w:r>
              <w:rPr>
                <w:rFonts w:ascii="仿宋_GB2312" w:hAnsi="仿宋_GB2312" w:cs="仿宋_GB2312" w:eastAsia="仿宋_GB2312"/>
              </w:rPr>
              <w:t>⼀、评审内容 供应商针对本项⽬编制完善的质量保证措施，内容包含： ①项目质量目标与质量管控体系； ②确保质量的技术组织措施； ③工程质量管控措施； ④质量验收流程与质量问题整改机制。 ⼆、分项评审标准： 1、完整性：⽅案必须全⾯，对评审内容中的各项要求有详细描述； 2、可实施性：切合本项⽬实际情况，提出步骤清晰、合理的⽅案； 3、针对性：⽅案能够紧扣项⽬实际情况，内容科学合理。 三、赋分标准（满分6分）： ①项目质量目标与质量管控体系：每完全满⾜⼀个评审标准得0.5分，满分1.5分； ②确保质量的技术组织措施：每完全满⾜⼀个评审标准得0.5分，满分1.5分； ③工程质量管控措施：每完全满⾜⼀个评审标准得0.5分，满分1.5分； ④质量验收流程与质量问题整改机制：每完全满⾜⼀个评审标准得0.5分，满分1.5分。 未提供相关证明材料不得分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施工工期保障方案</w:t>
            </w:r>
          </w:p>
        </w:tc>
        <w:tc>
          <w:tcPr>
            <w:tcW w:type="dxa" w:w="2492"/>
          </w:tcPr>
          <w:p>
            <w:pPr>
              <w:pStyle w:val="null3"/>
            </w:pPr>
            <w:r>
              <w:rPr>
                <w:rFonts w:ascii="仿宋_GB2312" w:hAnsi="仿宋_GB2312" w:cs="仿宋_GB2312" w:eastAsia="仿宋_GB2312"/>
              </w:rPr>
              <w:t>一、评审内容：供应商结合本项目实际，提供施工工期保障方案，至少包含： ①项目总工期计划与关键节点控制计划； ②各单项工程进度计划与工序衔接安排； ③工期保障资源配置计划； ④工期延误风险应对与赶工措施。 二、分项评审标准： 1.完整性：方案覆盖项目全周期进度管控，要素齐全； 2.合理性：工期计划符合项目建设要求，工序安排科学、衔接顺畅； 3.可保障性：保障措施具体、风险应对有效，可确保项目按期完工。 三、赋分标准（满分6分）： ①项目总工期计划与关键节点控制计划：每满足一个分项评审标准得0.5分，满分1.5分； ②各单项工程进度计划与工序衔接安排：每满足一个分项评审标准得0.5分，满分1.5分； ③工期保障资源配置计划：每满足一个分项评审标准得0.5分，满分1.5分； ④工期延误风险应对与赶工措施：每满足一个分项评审标准得0.5分，满分1.5分； 未提供相关证明材料不得分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安全生产与文明施工方案</w:t>
            </w:r>
          </w:p>
        </w:tc>
        <w:tc>
          <w:tcPr>
            <w:tcW w:type="dxa" w:w="2492"/>
          </w:tcPr>
          <w:p>
            <w:pPr>
              <w:pStyle w:val="null3"/>
            </w:pPr>
            <w:r>
              <w:rPr>
                <w:rFonts w:ascii="仿宋_GB2312" w:hAnsi="仿宋_GB2312" w:cs="仿宋_GB2312" w:eastAsia="仿宋_GB2312"/>
              </w:rPr>
              <w:t>一、评审内容：供应商结合本项目实际，提供安全生产与文明施工方案，至少包含： ①安全生产管理体系与安全生产责任制； ②工程施工安全管控措施； ③施工现场文明施工管理措施； ④安全生产应急救援预案与演练计划。 二、分项评审标准： 1.完整性：方案覆盖项目全施工环节的安全与文明施工管控，要素齐全； 2.合规性：符合国家、行业及地方安全生产、文明施工相关规范要求； 3.可落地性：管控措施具体、责任明确，可有效执行。 三、赋分标准（满分6分）： ①安全生产管理体系与安全生产责任制：每满足一个分项评审标准得0.5分，满分1.5分； ②程施工安全管控措施：每满足一个分项评审标准得0.5分，满分1.5分； ③施工现场文明施工管理措施：每满足一个分项评审标准得0.5分，满分1.5分； ④安全生产应急救援预案与演练计划：每满足一个分项评审标准得0.5分，满分1.5分； 未提供相关证明材料不得分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环境保护与水土保持方案</w:t>
            </w:r>
          </w:p>
        </w:tc>
        <w:tc>
          <w:tcPr>
            <w:tcW w:type="dxa" w:w="2492"/>
          </w:tcPr>
          <w:p>
            <w:pPr>
              <w:pStyle w:val="null3"/>
            </w:pPr>
            <w:r>
              <w:rPr>
                <w:rFonts w:ascii="仿宋_GB2312" w:hAnsi="仿宋_GB2312" w:cs="仿宋_GB2312" w:eastAsia="仿宋_GB2312"/>
              </w:rPr>
              <w:t>一、评审内容：供应商结合本项目实际，提供环境保护与水土保持方案，至少包含： ①项目施工期环境保护管控措施； ②项目施工期水土保持措施； ③施工废弃物处置与扬尘管控措施； 二、分项评审标准： 1.完整性：方案覆盖项目施工全周期的环保与水保管控，要素齐全； 2.合规性：符合国家、行业及地方环境保护、水土保持相关规范要求； 3.针对性：贴合本项目农业设施、建筑工程的施工特点，措施有效。 三、赋分标准（满分9分）： ①项目施工期环境保护管控措施：每满足一个分项评审标准得1分，满分3分； ②项目施工期水土保持措施：每满足一个分项评审标准得1分，满分3分； ③施工废弃物处置与扬尘管控措施：每满足一个分项评审标准得1分，满分3分； 未提供相关证明材料不得分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施⼯承诺</w:t>
            </w:r>
          </w:p>
        </w:tc>
        <w:tc>
          <w:tcPr>
            <w:tcW w:type="dxa" w:w="2492"/>
          </w:tcPr>
          <w:p>
            <w:pPr>
              <w:pStyle w:val="null3"/>
            </w:pPr>
            <w:r>
              <w:rPr>
                <w:rFonts w:ascii="仿宋_GB2312" w:hAnsi="仿宋_GB2312" w:cs="仿宋_GB2312" w:eastAsia="仿宋_GB2312"/>
              </w:rPr>
              <w:t>针对本项⽬作出合理有效的⼯程施⼯承诺（主要体现不得拖⽋施⼯⼈员⼯资、给施⼯⼈员缴纳保险、降低⼯程造价等），每提供1条得2分，满分4分；不提供不得分。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供应商提供2023年1月起至今的类似业绩证明材料，时间以合同签订日期为准，（文件中附合同复印件),每提供一项上述业绩的得3分,最高得9分。不提供或缺项不得分。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 即满⾜招标⽂件要求且报价最低的投标⼈的价格为评审基准价，其价格分为满分。其他投标⼈的价格分统⼀按照下列公式计算： 投标报价得分=(评审基准价∕同步报价)×价格分值计算分数时四舍五⼊取⼩数点后两位。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详见附件：货物参数响应表.xlsx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