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版本号：YCXM-202603320260622001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灞桥区东城第二小学教学楼设备等搬迁及回迁服务采购项目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YCXM-2026033</w:t>
      </w:r>
      <w:r>
        <w:br/>
      </w:r>
      <w:r>
        <w:br/>
      </w:r>
      <w:r>
        <w:br/>
      </w:r>
    </w:p>
    <w:p>
      <w:pPr>
        <w:pStyle w:val="null3"/>
        <w:jc w:val="center"/>
        <w:outlineLvl w:val="2"/>
      </w:pPr>
      <w:r>
        <w:rPr>
          <w:rFonts w:ascii="仿宋_GB2312" w:hAnsi="仿宋_GB2312" w:cs="仿宋_GB2312" w:eastAsia="仿宋_GB2312"/>
          <w:sz w:val="28"/>
          <w:b/>
        </w:rPr>
        <w:t>西安市灞桥区东城第二小学</w:t>
      </w:r>
    </w:p>
    <w:p>
      <w:pPr>
        <w:pStyle w:val="null3"/>
        <w:jc w:val="center"/>
        <w:outlineLvl w:val="2"/>
      </w:pPr>
      <w:r>
        <w:rPr>
          <w:rFonts w:ascii="仿宋_GB2312" w:hAnsi="仿宋_GB2312" w:cs="仿宋_GB2312" w:eastAsia="仿宋_GB2312"/>
          <w:sz w:val="28"/>
          <w:b/>
        </w:rPr>
        <w:t>陕西玥诚工程项目管理有限公司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陕西玥诚工程项目管理有限公司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西安市灞桥区东城第二小学</w:t>
      </w:r>
      <w:r>
        <w:rPr>
          <w:rFonts w:ascii="仿宋_GB2312" w:hAnsi="仿宋_GB2312" w:cs="仿宋_GB2312" w:eastAsia="仿宋_GB2312"/>
        </w:rPr>
        <w:t>委托，拟对</w:t>
      </w:r>
      <w:r>
        <w:rPr>
          <w:rFonts w:ascii="仿宋_GB2312" w:hAnsi="仿宋_GB2312" w:cs="仿宋_GB2312" w:eastAsia="仿宋_GB2312"/>
        </w:rPr>
        <w:t>灞桥区东城第二小学教学楼设备等搬迁及回迁服务采购项目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YCXM-2026033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灞桥区东城第二小学教学楼设备等搬迁及回迁服务采购项目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采购内容:教学楼内设施、教学设备、教具等财产的搬迁、保存、复位；主要功能或目标:按要求、时间完成搬迁、保存及复位任务；需满足的要求:保证设施设备在安全和质量的前提下完成搬迁、保存、复位。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采购包1（灞桥区东城第二小学教学楼设备等搬迁及回迁服务采购项目）：属于专门面向中小企业采购。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w:t>
      </w:r>
    </w:p>
    <w:p>
      <w:pPr>
        <w:pStyle w:val="null3"/>
      </w:pPr>
      <w:r>
        <w:rPr>
          <w:rFonts w:ascii="仿宋_GB2312" w:hAnsi="仿宋_GB2312" w:cs="仿宋_GB2312" w:eastAsia="仿宋_GB2312"/>
        </w:rPr>
        <w:t>2、身份证明：法定代表人授权书（附法定代表人、被授权人身份证复印件），法定代表人直接参加投标，须提供法定代表人身份证明；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3、财务审计报告：供应商需提供2024年度或2025年度经审计的供应商财务审计报告或者开标前三个月内的银行资信证明或财政部门认可的政府采购专业担保机构出具的投标担保函；注：提供财务报告的,必须为上传至注册会计师行业统一监管平台(http://acc.mof.gov.cn)并具有全国统一的二维码的财务报告；</w:t>
      </w:r>
    </w:p>
    <w:p>
      <w:pPr>
        <w:pStyle w:val="null3"/>
      </w:pPr>
      <w:r>
        <w:rPr>
          <w:rFonts w:ascii="仿宋_GB2312" w:hAnsi="仿宋_GB2312" w:cs="仿宋_GB2312" w:eastAsia="仿宋_GB2312"/>
        </w:rPr>
        <w:t>4、纳税证明：提供供应商自2025年12月以来已缴纳任意一个月完税凭证或税务机关开具的完税证明（任意税种）；依法享受免税政策的供应商，提供由税务 机关出具的无欠税证明；</w:t>
      </w:r>
    </w:p>
    <w:p>
      <w:pPr>
        <w:pStyle w:val="null3"/>
      </w:pPr>
      <w:r>
        <w:rPr>
          <w:rFonts w:ascii="仿宋_GB2312" w:hAnsi="仿宋_GB2312" w:cs="仿宋_GB2312" w:eastAsia="仿宋_GB2312"/>
        </w:rPr>
        <w:t>5、社会保障资金缴纳证明：提供供应商自2025年12月以来已缴存的任意一个月的社会保障资金缴存单据或社保机构开具的社会保险参保缴费情况证明；依法不需要缴纳社会保障资金的供应商应提供相关文件证明；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6、书面声明：参加本次招标前3年内，在政府采购经营活动中没有重大违法记录的书面声明；</w:t>
      </w:r>
    </w:p>
    <w:p>
      <w:pPr>
        <w:pStyle w:val="null3"/>
      </w:pPr>
      <w:r>
        <w:rPr>
          <w:rFonts w:ascii="仿宋_GB2312" w:hAnsi="仿宋_GB2312" w:cs="仿宋_GB2312" w:eastAsia="仿宋_GB2312"/>
        </w:rPr>
        <w:t>7、信用截图：通过“信用中国”网站（www.creditchina.gov.cn）和中国政府采购网（www.ccgp.gov.cn）查询申请人信用记录，被列入失信被执行人、重大税收违法案件当事人名单、政府采购严重违法失信行为记录名单的单位将被拒绝参与本项目；开标评审将登陆“信用中国”网站（www.creditchina.gov.cn）和“中国政府采购网”（www.ccgp.gov.cn）进行审查。</w:t>
      </w:r>
    </w:p>
    <w:p>
      <w:pPr>
        <w:pStyle w:val="null3"/>
      </w:pPr>
      <w:r>
        <w:rPr>
          <w:rFonts w:ascii="仿宋_GB2312" w:hAnsi="仿宋_GB2312" w:cs="仿宋_GB2312" w:eastAsia="仿宋_GB2312"/>
        </w:rPr>
        <w:t>8、履约能力：具有履行合同所必需的设备和专业技术能力；</w:t>
      </w:r>
    </w:p>
    <w:p>
      <w:pPr>
        <w:pStyle w:val="null3"/>
      </w:pPr>
      <w:r>
        <w:rPr>
          <w:rFonts w:ascii="仿宋_GB2312" w:hAnsi="仿宋_GB2312" w:cs="仿宋_GB2312" w:eastAsia="仿宋_GB2312"/>
        </w:rPr>
        <w:t>9、非联合体投标：本项目不接受联合体投标；</w:t>
      </w:r>
    </w:p>
    <w:p>
      <w:pPr>
        <w:pStyle w:val="null3"/>
      </w:pPr>
      <w:r>
        <w:rPr>
          <w:rFonts w:ascii="仿宋_GB2312" w:hAnsi="仿宋_GB2312" w:cs="仿宋_GB2312" w:eastAsia="仿宋_GB2312"/>
        </w:rPr>
        <w:t>10、中小企业声明函：本项目专门面向中小企业采购（提供中小企业声明函）。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西安市灞桥区东城第二小学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西安市灞桥区纺织城纺一路168号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赤老师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13572939853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陕西省西安市新城区陕西省西安市新城区长乐西路256号东方亿象城C座1010号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卞兴前、马宁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13484613855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西安市灞桥区东城第二小学</w:t>
      </w:r>
      <w:r>
        <w:rPr>
          <w:rFonts w:ascii="仿宋_GB2312" w:hAnsi="仿宋_GB2312" w:cs="仿宋_GB2312" w:eastAsia="仿宋_GB2312"/>
        </w:rPr>
        <w:t>和</w:t>
      </w:r>
      <w:r>
        <w:rPr>
          <w:rFonts w:ascii="仿宋_GB2312" w:hAnsi="仿宋_GB2312" w:cs="仿宋_GB2312" w:eastAsia="仿宋_GB2312"/>
        </w:rPr>
        <w:t>陕西玥诚工程项目管理有限公司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西安市灞桥区东城第二小学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西安市灞桥区东城第二小学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按照磋商文件要求及有关规定的要求执行；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联系人：马宁</w:t>
      </w:r>
    </w:p>
    <w:p>
      <w:pPr>
        <w:pStyle w:val="null3"/>
      </w:pPr>
      <w:r>
        <w:rPr>
          <w:rFonts w:ascii="仿宋_GB2312" w:hAnsi="仿宋_GB2312" w:cs="仿宋_GB2312" w:eastAsia="仿宋_GB2312"/>
        </w:rPr>
        <w:t>联系电话：13484613855</w:t>
      </w:r>
    </w:p>
    <w:p>
      <w:pPr>
        <w:pStyle w:val="null3"/>
      </w:pPr>
      <w:r>
        <w:rPr>
          <w:rFonts w:ascii="仿宋_GB2312" w:hAnsi="仿宋_GB2312" w:cs="仿宋_GB2312" w:eastAsia="仿宋_GB2312"/>
        </w:rPr>
        <w:t>地址：西安市雁塔区雁展路莱安中心T7栋10层1006室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采购内容:教学楼内设施、教学设备、教具等财产的搬迁、保存、复位；主要功能或目标:按要求、时间完成搬迁、保存及复位任务；需满足的要求:保证设施设备在安全和质量的前提下完成搬迁、保存、复位。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教学楼设备设施等搬迁及回迁服务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标的名称：教学楼设备设施等搬迁及回迁服务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0"/>
            </w:pPr>
            <w:r>
              <w:rPr>
                <w:rFonts w:ascii="仿宋_GB2312" w:hAnsi="仿宋_GB2312" w:cs="仿宋_GB2312" w:eastAsia="仿宋_GB2312"/>
                <w:sz w:val="18"/>
                <w:color w:val="000000"/>
              </w:rPr>
              <w:t>一、项目概况</w:t>
            </w:r>
          </w:p>
          <w:p>
            <w:pPr>
              <w:pStyle w:val="null3"/>
              <w:ind w:firstLine="400"/>
            </w:pPr>
            <w:r>
              <w:rPr>
                <w:rFonts w:ascii="仿宋_GB2312" w:hAnsi="仿宋_GB2312" w:cs="仿宋_GB2312" w:eastAsia="仿宋_GB2312"/>
              </w:rPr>
              <w:t>采购内容</w:t>
            </w:r>
            <w:r>
              <w:rPr>
                <w:rFonts w:ascii="仿宋_GB2312" w:hAnsi="仿宋_GB2312" w:cs="仿宋_GB2312" w:eastAsia="仿宋_GB2312"/>
              </w:rPr>
              <w:t>:</w:t>
            </w:r>
            <w:r>
              <w:rPr>
                <w:rFonts w:ascii="仿宋_GB2312" w:hAnsi="仿宋_GB2312" w:cs="仿宋_GB2312" w:eastAsia="仿宋_GB2312"/>
              </w:rPr>
              <w:t>教学楼内</w:t>
            </w:r>
            <w:r>
              <w:rPr>
                <w:rFonts w:ascii="仿宋_GB2312" w:hAnsi="仿宋_GB2312" w:cs="仿宋_GB2312" w:eastAsia="仿宋_GB2312"/>
              </w:rPr>
              <w:t>设施、教学设备、教具等财产的搬迁</w:t>
            </w:r>
            <w:r>
              <w:rPr>
                <w:rFonts w:ascii="仿宋_GB2312" w:hAnsi="仿宋_GB2312" w:cs="仿宋_GB2312" w:eastAsia="仿宋_GB2312"/>
              </w:rPr>
              <w:t>、保存、复位</w:t>
            </w:r>
            <w:r>
              <w:rPr>
                <w:rFonts w:ascii="仿宋_GB2312" w:hAnsi="仿宋_GB2312" w:cs="仿宋_GB2312" w:eastAsia="仿宋_GB2312"/>
              </w:rPr>
              <w:t>；主要功能或目标</w:t>
            </w:r>
            <w:r>
              <w:rPr>
                <w:rFonts w:ascii="仿宋_GB2312" w:hAnsi="仿宋_GB2312" w:cs="仿宋_GB2312" w:eastAsia="仿宋_GB2312"/>
              </w:rPr>
              <w:t>:按要求、时间完成搬迁</w:t>
            </w:r>
            <w:r>
              <w:rPr>
                <w:rFonts w:ascii="仿宋_GB2312" w:hAnsi="仿宋_GB2312" w:cs="仿宋_GB2312" w:eastAsia="仿宋_GB2312"/>
              </w:rPr>
              <w:t>、保存及复位</w:t>
            </w:r>
            <w:r>
              <w:rPr>
                <w:rFonts w:ascii="仿宋_GB2312" w:hAnsi="仿宋_GB2312" w:cs="仿宋_GB2312" w:eastAsia="仿宋_GB2312"/>
              </w:rPr>
              <w:t>任务；需满足的要求</w:t>
            </w:r>
            <w:r>
              <w:rPr>
                <w:rFonts w:ascii="仿宋_GB2312" w:hAnsi="仿宋_GB2312" w:cs="仿宋_GB2312" w:eastAsia="仿宋_GB2312"/>
              </w:rPr>
              <w:t>:保证设施设备在安全和质量的前提下完成搬迁</w:t>
            </w:r>
            <w:r>
              <w:rPr>
                <w:rFonts w:ascii="仿宋_GB2312" w:hAnsi="仿宋_GB2312" w:cs="仿宋_GB2312" w:eastAsia="仿宋_GB2312"/>
              </w:rPr>
              <w:t>、保存、复位。</w:t>
            </w:r>
          </w:p>
          <w:p>
            <w:pPr>
              <w:pStyle w:val="null3"/>
              <w:ind w:firstLine="400"/>
            </w:pPr>
            <w:r>
              <w:rPr>
                <w:rFonts w:ascii="仿宋_GB2312" w:hAnsi="仿宋_GB2312" w:cs="仿宋_GB2312" w:eastAsia="仿宋_GB2312"/>
              </w:rPr>
              <w:t>二、</w:t>
            </w:r>
            <w:r>
              <w:rPr>
                <w:rFonts w:ascii="仿宋_GB2312" w:hAnsi="仿宋_GB2312" w:cs="仿宋_GB2312" w:eastAsia="仿宋_GB2312"/>
                <w:sz w:val="18"/>
                <w:color w:val="000000"/>
              </w:rPr>
              <w:t>服务内容</w:t>
            </w:r>
          </w:p>
          <w:tbl>
            <w:tblPr>
              <w:tblInd w:type="dxa" w:w="210"/>
              <w:tblBorders>
                <w:top w:val="none" w:color="000000" w:sz="4"/>
                <w:left w:val="none" w:color="000000" w:sz="4"/>
                <w:bottom w:val="none" w:color="000000" w:sz="4"/>
                <w:right w:val="none" w:color="000000" w:sz="4"/>
                <w:insideH w:val="none"/>
                <w:insideV w:val="none"/>
              </w:tblBorders>
            </w:tblPr>
            <w:tblGrid>
              <w:gridCol w:w="221"/>
              <w:gridCol w:w="464"/>
              <w:gridCol w:w="288"/>
              <w:gridCol w:w="257"/>
              <w:gridCol w:w="1299"/>
            </w:tblGrid>
            <w:tr>
              <w:tc>
                <w:tcPr>
                  <w:tcW w:type="dxa" w:w="252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搬迁清单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1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智慧黑板</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32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课</w:t>
                  </w:r>
                  <w:r>
                    <w:rPr>
                      <w:rFonts w:ascii="仿宋_GB2312" w:hAnsi="仿宋_GB2312" w:cs="仿宋_GB2312" w:eastAsia="仿宋_GB2312"/>
                      <w:sz w:val="20"/>
                    </w:rPr>
                    <w:t xml:space="preserve">  </w:t>
                  </w:r>
                  <w:r>
                    <w:rPr>
                      <w:rFonts w:ascii="仿宋_GB2312" w:hAnsi="仿宋_GB2312" w:cs="仿宋_GB2312" w:eastAsia="仿宋_GB2312"/>
                      <w:sz w:val="20"/>
                    </w:rPr>
                    <w:t>桌</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943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张</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课</w:t>
                  </w:r>
                  <w:r>
                    <w:rPr>
                      <w:rFonts w:ascii="仿宋_GB2312" w:hAnsi="仿宋_GB2312" w:cs="仿宋_GB2312" w:eastAsia="仿宋_GB2312"/>
                      <w:sz w:val="20"/>
                    </w:rPr>
                    <w:t xml:space="preserve">  </w:t>
                  </w:r>
                  <w:r>
                    <w:rPr>
                      <w:rFonts w:ascii="仿宋_GB2312" w:hAnsi="仿宋_GB2312" w:cs="仿宋_GB2312" w:eastAsia="仿宋_GB2312"/>
                      <w:sz w:val="20"/>
                    </w:rPr>
                    <w:t>椅</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1592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挂机空调</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89</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台</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含拆除、清理、包装、转运、储存、搬运、安装、调试及配件辅材</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讲桌组合柜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30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含拆除、包装、转运、储存、搬运、安装、维修、调试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电子班排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30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图书柜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33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含拆除、包装、转运、储存、搬运、安装、维修、调试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排气扇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61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智能净水器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台</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护眼灯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436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窗</w:t>
                  </w:r>
                  <w:r>
                    <w:rPr>
                      <w:rFonts w:ascii="仿宋_GB2312" w:hAnsi="仿宋_GB2312" w:cs="仿宋_GB2312" w:eastAsia="仿宋_GB2312"/>
                      <w:sz w:val="20"/>
                    </w:rPr>
                    <w:t xml:space="preserve">  </w:t>
                  </w:r>
                  <w:r>
                    <w:rPr>
                      <w:rFonts w:ascii="仿宋_GB2312" w:hAnsi="仿宋_GB2312" w:cs="仿宋_GB2312" w:eastAsia="仿宋_GB2312"/>
                      <w:sz w:val="20"/>
                    </w:rPr>
                    <w:t>帘</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84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柜机空调</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台</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含拆除、清理、包装、转运、储存、搬运、安装、调试及配件辅材</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打印机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吊</w:t>
                  </w:r>
                  <w:r>
                    <w:rPr>
                      <w:rFonts w:ascii="仿宋_GB2312" w:hAnsi="仿宋_GB2312" w:cs="仿宋_GB2312" w:eastAsia="仿宋_GB2312"/>
                      <w:sz w:val="20"/>
                    </w:rPr>
                    <w:t xml:space="preserve">  </w:t>
                  </w:r>
                  <w:r>
                    <w:rPr>
                      <w:rFonts w:ascii="仿宋_GB2312" w:hAnsi="仿宋_GB2312" w:cs="仿宋_GB2312" w:eastAsia="仿宋_GB2312"/>
                      <w:sz w:val="20"/>
                    </w:rPr>
                    <w:t>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组合办公桌</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97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含拆除、包装、转运、储存、搬运、安装、维修、调试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办公椅</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85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把</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含拆除、包装、转运、储存、搬运、安装、维修、调试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办公柜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76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组</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含拆除、包装、转运、储存、搬运、安装、维修、调试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窗</w:t>
                  </w:r>
                  <w:r>
                    <w:rPr>
                      <w:rFonts w:ascii="仿宋_GB2312" w:hAnsi="仿宋_GB2312" w:cs="仿宋_GB2312" w:eastAsia="仿宋_GB2312"/>
                      <w:sz w:val="20"/>
                    </w:rPr>
                    <w:t xml:space="preserve">  </w:t>
                  </w:r>
                  <w:r>
                    <w:rPr>
                      <w:rFonts w:ascii="仿宋_GB2312" w:hAnsi="仿宋_GB2312" w:cs="仿宋_GB2312" w:eastAsia="仿宋_GB2312"/>
                      <w:sz w:val="20"/>
                    </w:rPr>
                    <w:t>帘</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67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电</w:t>
                  </w:r>
                  <w:r>
                    <w:rPr>
                      <w:rFonts w:ascii="仿宋_GB2312" w:hAnsi="仿宋_GB2312" w:cs="仿宋_GB2312" w:eastAsia="仿宋_GB2312"/>
                      <w:sz w:val="20"/>
                    </w:rPr>
                    <w:t xml:space="preserve">  </w:t>
                  </w:r>
                  <w:r>
                    <w:rPr>
                      <w:rFonts w:ascii="仿宋_GB2312" w:hAnsi="仿宋_GB2312" w:cs="仿宋_GB2312" w:eastAsia="仿宋_GB2312"/>
                      <w:sz w:val="20"/>
                    </w:rPr>
                    <w:t>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148</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台</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钢</w:t>
                  </w:r>
                  <w:r>
                    <w:rPr>
                      <w:rFonts w:ascii="仿宋_GB2312" w:hAnsi="仿宋_GB2312" w:cs="仿宋_GB2312" w:eastAsia="仿宋_GB2312"/>
                      <w:sz w:val="20"/>
                    </w:rPr>
                    <w:t xml:space="preserve">  </w:t>
                  </w:r>
                  <w:r>
                    <w:rPr>
                      <w:rFonts w:ascii="仿宋_GB2312" w:hAnsi="仿宋_GB2312" w:cs="仿宋_GB2312" w:eastAsia="仿宋_GB2312"/>
                      <w:sz w:val="20"/>
                    </w:rPr>
                    <w:t>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台</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普通黑板</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教室音响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组</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钟</w:t>
                  </w:r>
                  <w:r>
                    <w:rPr>
                      <w:rFonts w:ascii="仿宋_GB2312" w:hAnsi="仿宋_GB2312" w:cs="仿宋_GB2312" w:eastAsia="仿宋_GB2312"/>
                      <w:sz w:val="20"/>
                    </w:rPr>
                    <w:t xml:space="preserve">  </w:t>
                  </w:r>
                  <w:r>
                    <w:rPr>
                      <w:rFonts w:ascii="仿宋_GB2312" w:hAnsi="仿宋_GB2312" w:cs="仿宋_GB2312" w:eastAsia="仿宋_GB2312"/>
                      <w:sz w:val="20"/>
                    </w:rPr>
                    <w:t>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大电视</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台</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大型会议桌（含椅）</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含拆除、包装、转运、储存、搬运、安装、维修、调试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荣誉组合柜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组</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资料柜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组</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大型复印机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台</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装裱字画</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45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资料箱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19</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箱</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容貌镜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智能烟杆</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88</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学生评价系统</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置物架（含物资）</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乒乓球桌</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装订亚克力介绍板</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36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录播摄像头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多媒体箱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识音器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音</w:t>
                  </w:r>
                  <w:r>
                    <w:rPr>
                      <w:rFonts w:ascii="仿宋_GB2312" w:hAnsi="仿宋_GB2312" w:cs="仿宋_GB2312" w:eastAsia="仿宋_GB2312"/>
                      <w:sz w:val="20"/>
                    </w:rPr>
                    <w:t xml:space="preserve">  </w:t>
                  </w:r>
                  <w:r>
                    <w:rPr>
                      <w:rFonts w:ascii="仿宋_GB2312" w:hAnsi="仿宋_GB2312" w:cs="仿宋_GB2312" w:eastAsia="仿宋_GB2312"/>
                      <w:sz w:val="20"/>
                    </w:rPr>
                    <w:t>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组</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机</w:t>
                  </w:r>
                  <w:r>
                    <w:rPr>
                      <w:rFonts w:ascii="仿宋_GB2312" w:hAnsi="仿宋_GB2312" w:cs="仿宋_GB2312" w:eastAsia="仿宋_GB2312"/>
                      <w:sz w:val="20"/>
                    </w:rPr>
                    <w:t xml:space="preserve">  </w:t>
                  </w:r>
                  <w:r>
                    <w:rPr>
                      <w:rFonts w:ascii="仿宋_GB2312" w:hAnsi="仿宋_GB2312" w:cs="仿宋_GB2312" w:eastAsia="仿宋_GB2312"/>
                      <w:sz w:val="20"/>
                    </w:rPr>
                    <w:t>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UPS设备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总务处资料</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批</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党员活动室资料</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批</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电子琴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电脑桌</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115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张</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组合文件柜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含拆除、包装、转运、储存、搬运、安装、维修、调试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组</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校园电视台设备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广播系统</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组</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衣</w:t>
                  </w:r>
                  <w:r>
                    <w:rPr>
                      <w:rFonts w:ascii="仿宋_GB2312" w:hAnsi="仿宋_GB2312" w:cs="仿宋_GB2312" w:eastAsia="仿宋_GB2312"/>
                      <w:sz w:val="20"/>
                    </w:rPr>
                    <w:t xml:space="preserve">  </w:t>
                  </w:r>
                  <w:r>
                    <w:rPr>
                      <w:rFonts w:ascii="仿宋_GB2312" w:hAnsi="仿宋_GB2312" w:cs="仿宋_GB2312" w:eastAsia="仿宋_GB2312"/>
                      <w:sz w:val="20"/>
                    </w:rPr>
                    <w:t>架</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吸顶灯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碎纸机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保险柜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门</w:t>
                  </w:r>
                  <w:r>
                    <w:rPr>
                      <w:rFonts w:ascii="仿宋_GB2312" w:hAnsi="仿宋_GB2312" w:cs="仿宋_GB2312" w:eastAsia="仿宋_GB2312"/>
                      <w:sz w:val="20"/>
                    </w:rPr>
                    <w:t xml:space="preserve">  </w:t>
                  </w:r>
                  <w:r>
                    <w:rPr>
                      <w:rFonts w:ascii="仿宋_GB2312" w:hAnsi="仿宋_GB2312" w:cs="仿宋_GB2312" w:eastAsia="仿宋_GB2312"/>
                      <w:sz w:val="20"/>
                    </w:rPr>
                    <w:t>牌</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65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石膏涂染头像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批</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美术作品</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批</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古</w:t>
                  </w:r>
                  <w:r>
                    <w:rPr>
                      <w:rFonts w:ascii="仿宋_GB2312" w:hAnsi="仿宋_GB2312" w:cs="仿宋_GB2312" w:eastAsia="仿宋_GB2312"/>
                      <w:sz w:val="20"/>
                    </w:rPr>
                    <w:t xml:space="preserve">  </w:t>
                  </w:r>
                  <w:r>
                    <w:rPr>
                      <w:rFonts w:ascii="仿宋_GB2312" w:hAnsi="仿宋_GB2312" w:cs="仿宋_GB2312" w:eastAsia="仿宋_GB2312"/>
                      <w:sz w:val="20"/>
                    </w:rPr>
                    <w:t>筝</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大型木柜子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组合玻璃展示柜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组</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经纬仪器（大型设备）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台</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路由器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创科室物资</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批</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心理咨询室资料</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批</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稳压器（大型设备）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服务器（大型设备）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档案室物品资料</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批</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轨道移动档案柜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组</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密集轨道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组</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长沙发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组</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单人沙发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茶</w:t>
                  </w:r>
                  <w:r>
                    <w:rPr>
                      <w:rFonts w:ascii="仿宋_GB2312" w:hAnsi="仿宋_GB2312" w:cs="仿宋_GB2312" w:eastAsia="仿宋_GB2312"/>
                      <w:sz w:val="20"/>
                    </w:rPr>
                    <w:t xml:space="preserve">  </w:t>
                  </w:r>
                  <w:r>
                    <w:rPr>
                      <w:rFonts w:ascii="仿宋_GB2312" w:hAnsi="仿宋_GB2312" w:cs="仿宋_GB2312" w:eastAsia="仿宋_GB2312"/>
                      <w:sz w:val="20"/>
                    </w:rPr>
                    <w:t>几</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校园文化装饰墙</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组</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办公桌（板台）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含拆除、包装、转运、储存、搬运、安装、维修、调试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少队部乐器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批</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不锈钢洗手池</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画框（楼道装饰）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110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副</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应急灯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45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套</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监控点位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含拆除、包装、转运、储存、搬运、安装、调试（不含线路）</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书画室物资</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批</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含拆除、包装、转运、储存、搬运、归整</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工作台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含拆除、包装、转运、储存、搬运、归整</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陶艺作品及材料</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批</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含拆除、包装、转运、储存、搬运、归整</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活动板房</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200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平方米</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含安装、拆除、清理现场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临时性监控</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含安装、拆除、清理现场</w:t>
                  </w:r>
                </w:p>
              </w:tc>
            </w:tr>
            <w:tr>
              <w:tc>
                <w:tcPr>
                  <w:tcW w:type="dxa" w:w="252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注明：教学楼加固维修完成前，所拆搬移的所有设备、物品均统一归放在暂存地点内，并针对暂存地点内所有物品进行拆除、规整、保护、摆放及转运后暂存地点的所有物品安装、调试并恢复原状，待教学楼加固维修完成后，统一搬至教学楼内进行安装调试至正常使用，且提供免费保修一年。</w:t>
                  </w:r>
                </w:p>
              </w:tc>
            </w:tr>
          </w:tbl>
          <w:p>
            <w:pPr>
              <w:pStyle w:val="null3"/>
            </w:pPr>
            <w:r>
              <w:rPr>
                <w:rFonts w:ascii="仿宋_GB2312" w:hAnsi="仿宋_GB2312" w:cs="仿宋_GB2312" w:eastAsia="仿宋_GB2312"/>
                <w:sz w:val="18"/>
                <w:color w:val="000000"/>
              </w:rPr>
              <w:t>三、</w:t>
            </w:r>
            <w:r>
              <w:rPr>
                <w:rFonts w:ascii="仿宋_GB2312" w:hAnsi="仿宋_GB2312" w:cs="仿宋_GB2312" w:eastAsia="仿宋_GB2312"/>
                <w:sz w:val="18"/>
                <w:color w:val="000000"/>
              </w:rPr>
              <w:t>技术要求</w:t>
            </w:r>
          </w:p>
          <w:p>
            <w:pPr>
              <w:pStyle w:val="null3"/>
            </w:pPr>
            <w:r>
              <w:rPr>
                <w:rFonts w:ascii="仿宋_GB2312" w:hAnsi="仿宋_GB2312" w:cs="仿宋_GB2312" w:eastAsia="仿宋_GB2312"/>
                <w:sz w:val="20"/>
              </w:rPr>
              <w:t>保证设施设备在安全和质量的前提下完成搬迁</w:t>
            </w:r>
            <w:r>
              <w:rPr>
                <w:rFonts w:ascii="仿宋_GB2312" w:hAnsi="仿宋_GB2312" w:cs="仿宋_GB2312" w:eastAsia="仿宋_GB2312"/>
                <w:sz w:val="20"/>
              </w:rPr>
              <w:t>、保存、复位</w:t>
            </w:r>
            <w:r>
              <w:rPr>
                <w:rFonts w:ascii="仿宋_GB2312" w:hAnsi="仿宋_GB2312" w:cs="仿宋_GB2312" w:eastAsia="仿宋_GB2312"/>
                <w:sz w:val="20"/>
              </w:rPr>
              <w:t>。</w:t>
            </w:r>
          </w:p>
          <w:p>
            <w:pPr>
              <w:pStyle w:val="null3"/>
            </w:pPr>
            <w:r>
              <w:rPr>
                <w:rFonts w:ascii="仿宋_GB2312" w:hAnsi="仿宋_GB2312" w:cs="仿宋_GB2312" w:eastAsia="仿宋_GB2312"/>
                <w:sz w:val="18"/>
                <w:color w:val="000000"/>
              </w:rPr>
              <w:t>四、服务要求</w:t>
            </w:r>
          </w:p>
          <w:p>
            <w:pPr>
              <w:pStyle w:val="null3"/>
              <w:ind w:firstLine="360"/>
            </w:pPr>
            <w:r>
              <w:rPr>
                <w:rFonts w:ascii="仿宋_GB2312" w:hAnsi="仿宋_GB2312" w:cs="仿宋_GB2312" w:eastAsia="仿宋_GB2312"/>
                <w:sz w:val="18"/>
                <w:color w:val="000000"/>
              </w:rPr>
              <w:t>保证设施设备在安全和质量的前提下完成搬迁、保存、复位。</w:t>
            </w:r>
          </w:p>
          <w:p>
            <w:pPr>
              <w:pStyle w:val="null3"/>
            </w:pPr>
            <w:r>
              <w:rPr>
                <w:rFonts w:ascii="仿宋_GB2312" w:hAnsi="仿宋_GB2312" w:cs="仿宋_GB2312" w:eastAsia="仿宋_GB2312"/>
                <w:sz w:val="18"/>
                <w:color w:val="000000"/>
              </w:rPr>
              <w:t>五、商务要求</w:t>
            </w:r>
          </w:p>
          <w:p>
            <w:pPr>
              <w:pStyle w:val="null3"/>
            </w:pPr>
            <w:r>
              <w:rPr>
                <w:rFonts w:ascii="仿宋_GB2312" w:hAnsi="仿宋_GB2312" w:cs="仿宋_GB2312" w:eastAsia="仿宋_GB2312"/>
                <w:sz w:val="18"/>
                <w:color w:val="000000"/>
              </w:rPr>
              <w:t>（一）服务期限</w:t>
            </w:r>
          </w:p>
          <w:p>
            <w:pPr>
              <w:pStyle w:val="null3"/>
              <w:ind w:firstLine="360"/>
            </w:pPr>
            <w:r>
              <w:rPr>
                <w:rFonts w:ascii="仿宋_GB2312" w:hAnsi="仿宋_GB2312" w:cs="仿宋_GB2312" w:eastAsia="仿宋_GB2312"/>
                <w:sz w:val="18"/>
                <w:color w:val="000000"/>
              </w:rPr>
              <w:t>自合同签订之日起五日内完成搬迁，教学楼加固维修完成后五日内完成复位安装。</w:t>
            </w:r>
          </w:p>
          <w:p>
            <w:pPr>
              <w:pStyle w:val="null3"/>
              <w:ind w:firstLine="360"/>
            </w:pPr>
            <w:r>
              <w:rPr>
                <w:rFonts w:ascii="仿宋_GB2312" w:hAnsi="仿宋_GB2312" w:cs="仿宋_GB2312" w:eastAsia="仿宋_GB2312"/>
                <w:sz w:val="18"/>
                <w:color w:val="000000"/>
              </w:rPr>
              <w:t>（二）款项结算</w:t>
            </w:r>
          </w:p>
          <w:p>
            <w:pPr>
              <w:pStyle w:val="null3"/>
              <w:ind w:firstLine="180"/>
            </w:pPr>
            <w:r>
              <w:rPr>
                <w:rFonts w:ascii="仿宋_GB2312" w:hAnsi="仿宋_GB2312" w:cs="仿宋_GB2312" w:eastAsia="仿宋_GB2312"/>
                <w:sz w:val="18"/>
                <w:color w:val="000000"/>
              </w:rPr>
              <w:t>1、搬迁工作中所有设施设备等复位安装至甲方指定地点后，甲方应在60个工作日内向乙方指定的银行帐户支付总价款的100% 。</w:t>
            </w:r>
          </w:p>
          <w:p>
            <w:pPr>
              <w:pStyle w:val="null3"/>
              <w:ind w:firstLine="180"/>
            </w:pPr>
            <w:r>
              <w:rPr>
                <w:rFonts w:ascii="仿宋_GB2312" w:hAnsi="仿宋_GB2312" w:cs="仿宋_GB2312" w:eastAsia="仿宋_GB2312"/>
                <w:sz w:val="18"/>
                <w:color w:val="000000"/>
              </w:rPr>
              <w:t>2、支付方式：银行转账。</w:t>
            </w:r>
          </w:p>
          <w:p>
            <w:pPr>
              <w:pStyle w:val="null3"/>
            </w:pPr>
            <w:r>
              <w:rPr>
                <w:rFonts w:ascii="仿宋_GB2312" w:hAnsi="仿宋_GB2312" w:cs="仿宋_GB2312" w:eastAsia="仿宋_GB2312"/>
                <w:sz w:val="18"/>
                <w:color w:val="000000"/>
              </w:rPr>
              <w:t>六、其他</w:t>
            </w:r>
          </w:p>
          <w:p>
            <w:pPr>
              <w:pStyle w:val="null3"/>
            </w:pPr>
            <w:r>
              <w:rPr>
                <w:rFonts w:ascii="仿宋_GB2312" w:hAnsi="仿宋_GB2312" w:cs="仿宋_GB2312" w:eastAsia="仿宋_GB2312"/>
                <w:sz w:val="18"/>
                <w:color w:val="000000"/>
              </w:rPr>
              <w:t>（一）进度要求</w:t>
            </w:r>
          </w:p>
          <w:p>
            <w:pPr>
              <w:pStyle w:val="null3"/>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五日内搬迁完成，五日内完成复位安装。</w:t>
            </w:r>
          </w:p>
          <w:p>
            <w:pPr>
              <w:pStyle w:val="null3"/>
            </w:pPr>
            <w:r>
              <w:rPr>
                <w:rFonts w:ascii="仿宋_GB2312" w:hAnsi="仿宋_GB2312" w:cs="仿宋_GB2312" w:eastAsia="仿宋_GB2312"/>
                <w:sz w:val="18"/>
                <w:color w:val="000000"/>
              </w:rPr>
              <w:t>（二）成果交付要求</w:t>
            </w:r>
          </w:p>
          <w:p>
            <w:pPr>
              <w:pStyle w:val="null3"/>
            </w:pPr>
            <w:r>
              <w:rPr>
                <w:rFonts w:ascii="仿宋_GB2312" w:hAnsi="仿宋_GB2312" w:cs="仿宋_GB2312" w:eastAsia="仿宋_GB2312"/>
                <w:sz w:val="18"/>
                <w:color w:val="000000"/>
              </w:rPr>
              <w:t>1、当货物被送到搬入地点后，采购人应对所运输的物品数量进行清点，经核对无误后由采购人签收货单。如采购人发现任何货物破损或丢失，需在货物被送到搬入地点后立即通知中标人。双方应立即就损坏或丢损的补偿问题进行协商。</w:t>
            </w:r>
          </w:p>
          <w:p>
            <w:pPr>
              <w:pStyle w:val="null3"/>
            </w:pPr>
            <w:r>
              <w:rPr>
                <w:rFonts w:ascii="仿宋_GB2312" w:hAnsi="仿宋_GB2312" w:cs="仿宋_GB2312" w:eastAsia="仿宋_GB2312"/>
                <w:sz w:val="18"/>
                <w:color w:val="000000"/>
              </w:rPr>
              <w:t>2、对于仪器、电脑等需要检测的设备以及由中标人包装物品的隐蔽损失，采购人需在货物被送到搬入地点后</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进行检测，并对出现破损或内部故障的设备进行登记，并通知中标人。双方应立即就损坏或丢损的补偿问题进行协商。</w:t>
            </w:r>
          </w:p>
          <w:p>
            <w:pPr>
              <w:pStyle w:val="null3"/>
            </w:pPr>
            <w:r>
              <w:rPr>
                <w:rFonts w:ascii="仿宋_GB2312" w:hAnsi="仿宋_GB2312" w:cs="仿宋_GB2312" w:eastAsia="仿宋_GB2312"/>
                <w:sz w:val="18"/>
                <w:color w:val="000000"/>
              </w:rPr>
              <w:t>（三）质量验收标准或规范现行的国家标准或国家行政部门颁布的法律法规、规章制度等，是项目验收的另一个重要依据。</w:t>
            </w:r>
          </w:p>
          <w:p>
            <w:pPr>
              <w:pStyle w:val="null3"/>
            </w:pPr>
            <w:r>
              <w:rPr>
                <w:rFonts w:ascii="仿宋_GB2312" w:hAnsi="仿宋_GB2312" w:cs="仿宋_GB2312" w:eastAsia="仿宋_GB2312"/>
                <w:sz w:val="18"/>
                <w:color w:val="000000"/>
              </w:rPr>
              <w:t>1、验收标准按照国家、行业有关规范和要求执行。</w:t>
            </w:r>
          </w:p>
          <w:p>
            <w:pPr>
              <w:pStyle w:val="null3"/>
            </w:pPr>
            <w:r>
              <w:rPr>
                <w:rFonts w:ascii="仿宋_GB2312" w:hAnsi="仿宋_GB2312" w:cs="仿宋_GB2312" w:eastAsia="仿宋_GB2312"/>
                <w:sz w:val="18"/>
                <w:color w:val="000000"/>
              </w:rPr>
              <w:t>2、成交人承诺完全达到国家有关部门验收标准，并全部通过验收为交付使用的基本条件，验收过程中的一切费用由成交供应商承担。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自合同签订之日起五日内完成搬迁，教学楼加固维修完成后五日内完成复位安装。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按照磋商文件要求及有关规定的要求执行；验收标准按照国家、行业有关规范和要求执行。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进度款，搬迁工作中所有设施设备等复位安装至甲方指定地点后，甲方应在60个工作日内向乙方指定的银行帐户支付总价款的100% ，达到付款条件起60个工作日内，支付合同总金额的100.0%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时提供纸质版响应文件2套（1正1副），确保与电子投标文件保持一致，不允许修改和补充。提交地点：西安市雁塔区雁展路莱安中心T7栋10层1006室。联系人：马宁，联系电话：13484613855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供应商需提供2024年度或2025年度经审计的供应商财务审计报告或者开标前三个月内的银行资信证明或财政部门认可的政府采购专业担保机构出具的投标担保函；注：提供财务报告的,必须为上传至注册会计师行业统一监管平台(http://acc.mof.gov.cn)并具有全国统一的二维码的财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提供供应商自2025年12月以来已缴纳任意一个月完税凭证或税务机关开具的完税证明（任意税种）；依法享受免税政策的供应商，提供由税务 机关出具的无欠税证明；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提供供应商自2025年12月以来已缴存的任意一个月的社会保障资金缴存单据或社保机构开具的社会保险参保缴费情况证明；依法不需要缴纳社会保障资金的供应商应提供相关文件证明；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通过“信用中国”网站（www.creditchina.gov.cn）和中国政府采购网（www.ccgp.gov.cn）查询申请人信用记录，被列入失信被执行人、重大税收违法案件当事人名单、政府采购严重违法失信行为记录名单的单位将被拒绝参与本项目；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中小企业声明函 偏离表.docx 报价表 类似业绩一览表.docx 供应商认为需要提供的其它资料.docx 资格证明文件.docx 响应文件封面 分项报价表.docx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中小企业声明函 偏离表.docx 报价表 类似业绩一览表.docx 供应商认为需要提供的其它资料.docx 资格证明文件.docx 响应文件封面 分项报价表.docx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不能有任何采购人不能接受的附加条件。</w:t>
            </w:r>
          </w:p>
        </w:tc>
        <w:tc>
          <w:tcPr>
            <w:tcW w:type="dxa" w:w="1661"/>
          </w:tcPr>
          <w:p>
            <w:pPr>
              <w:pStyle w:val="null3"/>
            </w:pPr>
            <w:r>
              <w:rPr>
                <w:rFonts w:ascii="仿宋_GB2312" w:hAnsi="仿宋_GB2312" w:cs="仿宋_GB2312" w:eastAsia="仿宋_GB2312"/>
              </w:rPr>
              <w:t>中小企业声明函 偏离表.docx 报价表 类似业绩一览表.docx 供应商认为需要提供的其它资料.docx 资格证明文件.docx 响应文件封面 分项报价表.docx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针对本项目提供项目实施方案，方案应至少包括1、拆除、包装；2、转运、储存；3、搬运、安装；4、维修、调试等过程中的具体安排，包含以上4个方面的得20分，每缺少一项的扣5分，每有一项存在内容缺陷扣1分，每项关于内容缺陷的最多扣5分，扣完为止。 （内容缺陷是指：非专门针对本项目或不适用项目特性的情形、内容不完整或缺少关键节点、内容前后矛盾、涉及的规范及标准错误、不利于项目实施、不可能实现的情形等任意一种情形。）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投标人针对本项目提供项目保障措施，应至少包括1、项目管理措施；2、质量控制措施；3、与采购人的配合措施；包含以上3个方面的得9分，每缺少一项的扣3分，每有一项存在内容缺陷扣1分，每项关于内容缺陷的最多扣3分，扣完为止。 （内容缺陷是指：非专门针对本项目或不适用项目特性的情形、内容不完整或缺少关键节点、内容前后矛盾、涉及的规范及标准错误、不利于项目实施、不可能实现的情形等任意一种情形。）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人员组织安排</w:t>
            </w:r>
          </w:p>
        </w:tc>
        <w:tc>
          <w:tcPr>
            <w:tcW w:type="dxa" w:w="2492"/>
          </w:tcPr>
          <w:p>
            <w:pPr>
              <w:pStyle w:val="null3"/>
            </w:pPr>
            <w:r>
              <w:rPr>
                <w:rFonts w:ascii="仿宋_GB2312" w:hAnsi="仿宋_GB2312" w:cs="仿宋_GB2312" w:eastAsia="仿宋_GB2312"/>
              </w:rPr>
              <w:t>拟投入的人员设置满足项目需求。 1、机构设置科学、规范，人员配备数量充足、职责明确、分工清晰，完全满足项目需求，得6分； 2、机构设置较科学，人员配备数量充足、职责明确、分工清晰，能满足需求，得5分；3、人员配备数量较充足、职责明确、分工清晰，能满足需求，得3分；4、机构设置组成有漏缺，人员配备数量较少、职责分工不清晰，得1分；5、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各供应商针对本项目的服务质量、项目的完成是否全面认真、是否派遣相关人员、技术保证等方面作出承诺。1、该项承诺详细、服务全面、科学合理，针对性强，完全满足本项目需求，得5分；2、承诺比较详细、基本可行、基本合理，比较有针对性，基本能满足本项目需求，得3分；3、承诺不够全面，可行性、合理性一般，针对性不够，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供应商需提供 2023年6月1日至今项目负责人的类似项目业绩，每提供一个得3分，最高得12分，未提供不得分。注：以合同或项目验收单或中标通知书签订日期为准，提供以上相关资料关键页复印件加盖公章。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车辆数量</w:t>
            </w:r>
          </w:p>
        </w:tc>
        <w:tc>
          <w:tcPr>
            <w:tcW w:type="dxa" w:w="2492"/>
          </w:tcPr>
          <w:p>
            <w:pPr>
              <w:pStyle w:val="null3"/>
            </w:pPr>
            <w:r>
              <w:rPr>
                <w:rFonts w:ascii="仿宋_GB2312" w:hAnsi="仿宋_GB2312" w:cs="仿宋_GB2312" w:eastAsia="仿宋_GB2312"/>
              </w:rPr>
              <w:t>提供车量数量≥10台得13分；车量数量5-9台得9分；车量数量&lt;5台得5分；未提供不得分。 注：需提供相关证明材料复印件（包括但不限于租赁协议）。</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6月1日至今类似项目业绩，以供应商提供的合同或中标（成交）通知书复印件（或扫描件）为准（日期以合同签订时间或中标（成交）通知书时间为准），每提供一份得4分，满分20分；未提供的不得分。 注：此项业绩可与项目负责人业绩重复。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磋商评审价为磋商基准价，其磋商报价为满分。供应商的磋商报价得分，统一按照下列公式计算：磋商报价得分=(磋商基准价／磋商报价)×15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详见附件：供应商认为需要提供的其它资料.docx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