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5976D">
      <w:pPr>
        <w:pStyle w:val="3"/>
        <w:rPr>
          <w:rFonts w:hint="eastAsia" w:ascii="宋体" w:hAnsi="宋体" w:eastAsia="宋体" w:cs="宋体"/>
          <w:lang w:val="en-US" w:eastAsia="zh-CN"/>
        </w:rPr>
      </w:pPr>
      <w:bookmarkStart w:id="0" w:name="_GoBack"/>
      <w:r>
        <w:rPr>
          <w:rFonts w:hint="eastAsia" w:ascii="宋体" w:hAnsi="宋体" w:eastAsia="宋体" w:cs="宋体"/>
          <w:lang w:val="en-US" w:eastAsia="zh-CN"/>
        </w:rPr>
        <w:t>政府采购</w:t>
      </w:r>
      <w:r>
        <w:rPr>
          <w:rFonts w:hint="eastAsia" w:ascii="宋体" w:hAnsi="宋体" w:eastAsia="宋体" w:cs="宋体"/>
        </w:rPr>
        <w:t>合同</w:t>
      </w:r>
      <w:r>
        <w:rPr>
          <w:rFonts w:hint="eastAsia" w:ascii="宋体" w:hAnsi="宋体" w:eastAsia="宋体" w:cs="宋体"/>
          <w:lang w:val="en-US" w:eastAsia="zh-CN"/>
        </w:rPr>
        <w:t>格式</w:t>
      </w:r>
    </w:p>
    <w:p w14:paraId="4B0CAE6B">
      <w:pPr>
        <w:spacing w:before="232" w:line="346" w:lineRule="auto"/>
        <w:ind w:left="20" w:right="90" w:firstLine="430"/>
        <w:jc w:val="center"/>
        <w:rPr>
          <w:rFonts w:hint="eastAsia" w:ascii="宋体" w:hAnsi="宋体" w:eastAsia="宋体" w:cs="宋体"/>
          <w:b/>
          <w:bCs/>
          <w:spacing w:val="-4"/>
          <w:szCs w:val="24"/>
          <w:u w:val="single"/>
        </w:rPr>
      </w:pPr>
      <w:r>
        <w:rPr>
          <w:rFonts w:hint="eastAsia" w:ascii="宋体" w:hAnsi="宋体" w:eastAsia="宋体" w:cs="宋体"/>
          <w:b/>
          <w:bCs/>
          <w:spacing w:val="-4"/>
          <w:szCs w:val="24"/>
          <w:u w:val="single"/>
        </w:rPr>
        <w:t>注：（本合同</w:t>
      </w:r>
      <w:r>
        <w:rPr>
          <w:rFonts w:hint="eastAsia" w:ascii="宋体" w:hAnsi="宋体" w:eastAsia="宋体" w:cs="宋体"/>
          <w:b/>
          <w:bCs/>
          <w:spacing w:val="-4"/>
          <w:szCs w:val="24"/>
          <w:u w:val="single"/>
          <w:lang w:val="en-US" w:eastAsia="zh-CN"/>
        </w:rPr>
        <w:t>作</w:t>
      </w:r>
      <w:r>
        <w:rPr>
          <w:rFonts w:hint="eastAsia" w:ascii="宋体" w:hAnsi="宋体" w:eastAsia="宋体" w:cs="宋体"/>
          <w:b/>
          <w:bCs/>
          <w:spacing w:val="-4"/>
          <w:szCs w:val="24"/>
          <w:u w:val="single"/>
        </w:rPr>
        <w:t>为</w:t>
      </w:r>
      <w:r>
        <w:rPr>
          <w:rFonts w:hint="eastAsia" w:ascii="宋体" w:hAnsi="宋体" w:eastAsia="宋体" w:cs="宋体"/>
          <w:b/>
          <w:bCs/>
          <w:spacing w:val="-4"/>
          <w:szCs w:val="24"/>
          <w:u w:val="single"/>
          <w:lang w:val="en-US" w:eastAsia="zh-CN"/>
        </w:rPr>
        <w:t>参考格式</w:t>
      </w:r>
      <w:r>
        <w:rPr>
          <w:rFonts w:hint="eastAsia" w:ascii="宋体" w:hAnsi="宋体" w:eastAsia="宋体" w:cs="宋体"/>
          <w:b/>
          <w:bCs/>
          <w:spacing w:val="-4"/>
          <w:szCs w:val="24"/>
          <w:u w:val="single"/>
        </w:rPr>
        <w:t>，</w:t>
      </w:r>
      <w:r>
        <w:rPr>
          <w:rFonts w:hint="eastAsia" w:ascii="宋体" w:hAnsi="宋体" w:eastAsia="宋体" w:cs="宋体"/>
          <w:b/>
          <w:bCs/>
          <w:spacing w:val="-4"/>
          <w:szCs w:val="24"/>
          <w:u w:val="single"/>
          <w:lang w:val="en-US" w:eastAsia="zh-CN"/>
        </w:rPr>
        <w:t>具体以实际签订合同为准。</w:t>
      </w:r>
      <w:r>
        <w:rPr>
          <w:rFonts w:hint="eastAsia" w:ascii="宋体" w:hAnsi="宋体" w:eastAsia="宋体" w:cs="宋体"/>
          <w:b/>
          <w:bCs/>
          <w:spacing w:val="-4"/>
          <w:szCs w:val="24"/>
          <w:u w:val="single"/>
        </w:rPr>
        <w:t>）</w:t>
      </w:r>
    </w:p>
    <w:p w14:paraId="4782ECE0">
      <w:pPr>
        <w:pStyle w:val="2"/>
        <w:rPr>
          <w:rFonts w:hint="eastAsia" w:ascii="宋体" w:hAnsi="宋体" w:eastAsia="宋体" w:cs="宋体"/>
          <w:b/>
          <w:bCs/>
          <w:spacing w:val="-4"/>
          <w:szCs w:val="24"/>
          <w:u w:val="single"/>
        </w:rPr>
      </w:pPr>
    </w:p>
    <w:p w14:paraId="0872B85D">
      <w:pPr>
        <w:pStyle w:val="2"/>
        <w:rPr>
          <w:rFonts w:hint="eastAsia" w:ascii="宋体" w:hAnsi="宋体" w:eastAsia="宋体" w:cs="宋体"/>
          <w:b/>
          <w:bCs/>
          <w:spacing w:val="-4"/>
          <w:szCs w:val="24"/>
          <w:u w:val="single"/>
        </w:rPr>
      </w:pPr>
    </w:p>
    <w:p w14:paraId="151AF95A">
      <w:pPr>
        <w:pStyle w:val="9"/>
        <w:jc w:val="center"/>
        <w:outlineLvl w:val="2"/>
        <w:rPr>
          <w:rFonts w:hint="eastAsia" w:ascii="宋体" w:hAnsi="宋体" w:eastAsia="宋体" w:cs="宋体"/>
          <w:b/>
          <w:sz w:val="28"/>
          <w:lang w:eastAsia="zh-CN"/>
        </w:rPr>
      </w:pPr>
      <w:r>
        <w:rPr>
          <w:rFonts w:hint="eastAsia" w:ascii="宋体" w:hAnsi="宋体" w:eastAsia="宋体" w:cs="宋体"/>
          <w:b/>
          <w:sz w:val="28"/>
          <w:lang w:eastAsia="zh-CN"/>
        </w:rPr>
        <w:t>灞桥区东城第二小学教学楼设备等搬迁及回迁服务采购项目</w:t>
      </w:r>
    </w:p>
    <w:p w14:paraId="5A7A95A3">
      <w:pPr>
        <w:pStyle w:val="9"/>
        <w:jc w:val="center"/>
        <w:outlineLvl w:val="2"/>
        <w:rPr>
          <w:rFonts w:hint="eastAsia" w:ascii="宋体" w:hAnsi="宋体" w:eastAsia="宋体" w:cs="宋体"/>
          <w:b/>
          <w:sz w:val="28"/>
          <w:lang w:eastAsia="zh-CN"/>
        </w:rPr>
      </w:pPr>
    </w:p>
    <w:p w14:paraId="7F6506B3">
      <w:pPr>
        <w:pStyle w:val="9"/>
        <w:jc w:val="center"/>
        <w:outlineLvl w:val="2"/>
        <w:rPr>
          <w:rFonts w:hint="eastAsia" w:ascii="宋体" w:hAnsi="宋体" w:eastAsia="宋体" w:cs="宋体"/>
          <w:b/>
          <w:sz w:val="28"/>
          <w:lang w:eastAsia="zh-CN"/>
        </w:rPr>
      </w:pPr>
    </w:p>
    <w:p w14:paraId="79E0BD73">
      <w:pPr>
        <w:pStyle w:val="9"/>
        <w:jc w:val="center"/>
        <w:outlineLvl w:val="2"/>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服务合同</w:t>
      </w:r>
    </w:p>
    <w:p w14:paraId="1E256E19">
      <w:pPr>
        <w:pStyle w:val="9"/>
        <w:jc w:val="center"/>
        <w:outlineLvl w:val="2"/>
        <w:rPr>
          <w:rFonts w:hint="eastAsia" w:ascii="宋体" w:hAnsi="宋体" w:eastAsia="宋体" w:cs="宋体"/>
          <w:b/>
          <w:sz w:val="28"/>
          <w:lang w:val="en-US" w:eastAsia="zh-CN"/>
        </w:rPr>
      </w:pPr>
    </w:p>
    <w:p w14:paraId="101D9DD0">
      <w:pPr>
        <w:pStyle w:val="2"/>
        <w:rPr>
          <w:rFonts w:hint="eastAsia" w:ascii="宋体" w:hAnsi="宋体" w:eastAsia="宋体" w:cs="宋体"/>
          <w:lang w:val="en-US" w:eastAsia="zh-CN"/>
        </w:rPr>
      </w:pPr>
    </w:p>
    <w:p w14:paraId="25C350C8">
      <w:pPr>
        <w:pStyle w:val="2"/>
        <w:rPr>
          <w:rFonts w:hint="eastAsia" w:ascii="宋体" w:hAnsi="宋体" w:eastAsia="宋体" w:cs="宋体"/>
          <w:lang w:val="en-US" w:eastAsia="zh-CN"/>
        </w:rPr>
      </w:pPr>
    </w:p>
    <w:p w14:paraId="7674A68D">
      <w:pPr>
        <w:pStyle w:val="2"/>
        <w:rPr>
          <w:rFonts w:hint="eastAsia" w:ascii="宋体" w:hAnsi="宋体" w:eastAsia="宋体" w:cs="宋体"/>
          <w:lang w:val="en-US" w:eastAsia="zh-CN"/>
        </w:rPr>
      </w:pPr>
    </w:p>
    <w:p w14:paraId="35005164">
      <w:pPr>
        <w:pStyle w:val="2"/>
        <w:rPr>
          <w:rFonts w:hint="eastAsia" w:ascii="宋体" w:hAnsi="宋体" w:eastAsia="宋体" w:cs="宋体"/>
          <w:lang w:val="en-US" w:eastAsia="zh-CN"/>
        </w:rPr>
      </w:pPr>
    </w:p>
    <w:p w14:paraId="351B95F6">
      <w:pPr>
        <w:pStyle w:val="2"/>
        <w:rPr>
          <w:rFonts w:hint="eastAsia" w:ascii="宋体" w:hAnsi="宋体" w:eastAsia="宋体" w:cs="宋体"/>
          <w:lang w:val="en-US" w:eastAsia="zh-CN"/>
        </w:rPr>
      </w:pPr>
    </w:p>
    <w:p w14:paraId="60E6EAC3">
      <w:pPr>
        <w:pStyle w:val="2"/>
        <w:rPr>
          <w:rFonts w:hint="eastAsia" w:ascii="宋体" w:hAnsi="宋体" w:eastAsia="宋体" w:cs="宋体"/>
          <w:lang w:val="en-US" w:eastAsia="zh-CN"/>
        </w:rPr>
      </w:pPr>
    </w:p>
    <w:p w14:paraId="1109D20D">
      <w:pPr>
        <w:pStyle w:val="2"/>
        <w:rPr>
          <w:rFonts w:hint="eastAsia" w:ascii="宋体" w:hAnsi="宋体" w:eastAsia="宋体" w:cs="宋体"/>
          <w:lang w:val="en-US" w:eastAsia="zh-CN"/>
        </w:rPr>
      </w:pPr>
    </w:p>
    <w:p w14:paraId="6B0A3826">
      <w:pPr>
        <w:pStyle w:val="2"/>
        <w:rPr>
          <w:rFonts w:hint="eastAsia" w:ascii="宋体" w:hAnsi="宋体" w:eastAsia="宋体" w:cs="宋体"/>
          <w:lang w:val="en-US" w:eastAsia="zh-CN"/>
        </w:rPr>
      </w:pPr>
    </w:p>
    <w:p w14:paraId="094F6387">
      <w:pPr>
        <w:pStyle w:val="2"/>
        <w:rPr>
          <w:rFonts w:hint="eastAsia" w:ascii="宋体" w:hAnsi="宋体" w:eastAsia="宋体" w:cs="宋体"/>
          <w:lang w:val="en-US" w:eastAsia="zh-CN"/>
        </w:rPr>
      </w:pPr>
    </w:p>
    <w:p w14:paraId="50AAD1B9">
      <w:pPr>
        <w:pStyle w:val="2"/>
        <w:rPr>
          <w:rFonts w:hint="eastAsia" w:ascii="宋体" w:hAnsi="宋体" w:eastAsia="宋体" w:cs="宋体"/>
          <w:lang w:val="en-US" w:eastAsia="zh-CN"/>
        </w:rPr>
      </w:pPr>
    </w:p>
    <w:p w14:paraId="7DB3C5C4">
      <w:pPr>
        <w:pStyle w:val="2"/>
        <w:rPr>
          <w:rFonts w:hint="eastAsia" w:ascii="宋体" w:hAnsi="宋体" w:eastAsia="宋体" w:cs="宋体"/>
          <w:lang w:val="en-US" w:eastAsia="zh-CN"/>
        </w:rPr>
      </w:pPr>
    </w:p>
    <w:p w14:paraId="4DE0A930">
      <w:pPr>
        <w:pStyle w:val="2"/>
        <w:rPr>
          <w:rFonts w:hint="eastAsia" w:ascii="宋体" w:hAnsi="宋体" w:eastAsia="宋体" w:cs="宋体"/>
          <w:lang w:val="en-US" w:eastAsia="zh-CN"/>
        </w:rPr>
      </w:pPr>
    </w:p>
    <w:p w14:paraId="4AFA5ABB">
      <w:pPr>
        <w:pStyle w:val="2"/>
        <w:rPr>
          <w:rFonts w:hint="eastAsia" w:ascii="宋体" w:hAnsi="宋体" w:eastAsia="宋体" w:cs="宋体"/>
          <w:lang w:val="en-US" w:eastAsia="zh-CN"/>
        </w:rPr>
      </w:pPr>
    </w:p>
    <w:p w14:paraId="5BEE77B4">
      <w:pPr>
        <w:pStyle w:val="2"/>
        <w:rPr>
          <w:rFonts w:hint="eastAsia" w:ascii="宋体" w:hAnsi="宋体" w:eastAsia="宋体" w:cs="宋体"/>
          <w:lang w:val="en-US" w:eastAsia="zh-CN"/>
        </w:rPr>
      </w:pPr>
    </w:p>
    <w:p w14:paraId="32117079">
      <w:pPr>
        <w:pStyle w:val="2"/>
        <w:rPr>
          <w:rFonts w:hint="eastAsia" w:ascii="宋体" w:hAnsi="宋体" w:eastAsia="宋体" w:cs="宋体"/>
          <w:lang w:val="en-US" w:eastAsia="zh-CN"/>
        </w:rPr>
      </w:pPr>
    </w:p>
    <w:p w14:paraId="15C8BFB2">
      <w:pPr>
        <w:pStyle w:val="2"/>
        <w:rPr>
          <w:rFonts w:hint="eastAsia" w:ascii="宋体" w:hAnsi="宋体" w:eastAsia="宋体" w:cs="宋体"/>
          <w:lang w:val="en-US" w:eastAsia="zh-CN"/>
        </w:rPr>
      </w:pPr>
    </w:p>
    <w:p w14:paraId="7D303506">
      <w:pPr>
        <w:pStyle w:val="2"/>
        <w:rPr>
          <w:rFonts w:hint="eastAsia" w:ascii="宋体" w:hAnsi="宋体" w:eastAsia="宋体" w:cs="宋体"/>
          <w:lang w:val="en-US" w:eastAsia="zh-CN"/>
        </w:rPr>
      </w:pPr>
    </w:p>
    <w:p w14:paraId="03C00B07">
      <w:pPr>
        <w:pStyle w:val="2"/>
        <w:rPr>
          <w:rFonts w:hint="eastAsia" w:ascii="宋体" w:hAnsi="宋体" w:eastAsia="宋体" w:cs="宋体"/>
          <w:lang w:val="en-US" w:eastAsia="zh-CN"/>
        </w:rPr>
      </w:pPr>
    </w:p>
    <w:p w14:paraId="113BEFDA">
      <w:pPr>
        <w:pStyle w:val="2"/>
        <w:rPr>
          <w:rFonts w:hint="eastAsia" w:ascii="宋体" w:hAnsi="宋体" w:eastAsia="宋体" w:cs="宋体"/>
          <w:lang w:val="en-US" w:eastAsia="zh-CN"/>
        </w:rPr>
      </w:pPr>
    </w:p>
    <w:p w14:paraId="05D61CD4">
      <w:pPr>
        <w:pStyle w:val="2"/>
        <w:rPr>
          <w:rFonts w:hint="eastAsia" w:ascii="宋体" w:hAnsi="宋体" w:eastAsia="宋体" w:cs="宋体"/>
          <w:lang w:val="en-US" w:eastAsia="zh-CN"/>
        </w:rPr>
      </w:pPr>
    </w:p>
    <w:p w14:paraId="4E03008B">
      <w:pPr>
        <w:pStyle w:val="2"/>
        <w:rPr>
          <w:rFonts w:hint="eastAsia" w:ascii="宋体" w:hAnsi="宋体" w:eastAsia="宋体" w:cs="宋体"/>
          <w:lang w:val="en-US" w:eastAsia="zh-CN"/>
        </w:rPr>
      </w:pPr>
    </w:p>
    <w:p w14:paraId="4488586D">
      <w:pPr>
        <w:pStyle w:val="9"/>
        <w:jc w:val="center"/>
        <w:outlineLvl w:val="2"/>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2026年  月</w:t>
      </w:r>
    </w:p>
    <w:p w14:paraId="40BA3CF2">
      <w:pPr>
        <w:pStyle w:val="2"/>
        <w:rPr>
          <w:rFonts w:hint="eastAsia" w:ascii="宋体" w:hAnsi="宋体" w:eastAsia="宋体" w:cs="宋体"/>
          <w:b/>
          <w:bCs/>
          <w:spacing w:val="-4"/>
          <w:szCs w:val="24"/>
          <w:u w:val="single"/>
        </w:rPr>
      </w:pPr>
    </w:p>
    <w:p w14:paraId="6C9BA711">
      <w:pPr>
        <w:rPr>
          <w:rFonts w:hint="eastAsia" w:ascii="宋体" w:hAnsi="宋体" w:eastAsia="宋体" w:cs="宋体"/>
        </w:rPr>
      </w:pPr>
    </w:p>
    <w:p w14:paraId="3226FA89">
      <w:pPr>
        <w:pStyle w:val="2"/>
        <w:rPr>
          <w:rFonts w:hint="eastAsia" w:ascii="宋体" w:hAnsi="宋体" w:eastAsia="宋体" w:cs="宋体"/>
          <w:b/>
          <w:bCs/>
          <w:spacing w:val="-4"/>
          <w:szCs w:val="24"/>
          <w:u w:val="single"/>
        </w:rPr>
      </w:pPr>
    </w:p>
    <w:p w14:paraId="18AA1AEB">
      <w:pPr>
        <w:pStyle w:val="2"/>
        <w:rPr>
          <w:rFonts w:hint="eastAsia" w:ascii="宋体" w:hAnsi="宋体" w:eastAsia="宋体" w:cs="宋体"/>
          <w:b/>
          <w:bCs/>
          <w:spacing w:val="-4"/>
          <w:szCs w:val="24"/>
          <w:u w:val="single"/>
        </w:rPr>
      </w:pPr>
    </w:p>
    <w:p w14:paraId="0C34B2E7">
      <w:pPr>
        <w:pStyle w:val="2"/>
        <w:rPr>
          <w:rFonts w:hint="eastAsia" w:ascii="宋体" w:hAnsi="宋体" w:eastAsia="宋体" w:cs="宋体"/>
          <w:b/>
          <w:bCs/>
          <w:spacing w:val="-4"/>
          <w:szCs w:val="24"/>
          <w:u w:val="single"/>
        </w:rPr>
      </w:pPr>
    </w:p>
    <w:p w14:paraId="288093B7">
      <w:pPr>
        <w:keepNext w:val="0"/>
        <w:keepLines w:val="0"/>
        <w:pageBreakBefore w:val="0"/>
        <w:widowControl/>
        <w:kinsoku/>
        <w:wordWrap/>
        <w:overflowPunct/>
        <w:topLinePunct w:val="0"/>
        <w:autoSpaceDE/>
        <w:autoSpaceDN/>
        <w:bidi w:val="0"/>
        <w:adjustRightInd w:val="0"/>
        <w:snapToGrid w:val="0"/>
        <w:spacing w:line="408" w:lineRule="auto"/>
        <w:jc w:val="left"/>
        <w:rPr>
          <w:rFonts w:hint="eastAsia" w:ascii="宋体" w:hAnsi="宋体" w:eastAsia="宋体" w:cs="宋体"/>
          <w:color w:val="auto"/>
          <w:kern w:val="0"/>
          <w:sz w:val="21"/>
          <w:szCs w:val="21"/>
          <w:u w:val="single"/>
          <w:lang w:val="en-US" w:eastAsia="zh-CN"/>
        </w:rPr>
      </w:pPr>
      <w:r>
        <w:rPr>
          <w:rFonts w:hint="eastAsia" w:ascii="宋体" w:hAnsi="宋体" w:eastAsia="宋体" w:cs="宋体"/>
          <w:color w:val="auto"/>
          <w:kern w:val="0"/>
          <w:sz w:val="21"/>
          <w:szCs w:val="21"/>
          <w:lang w:val="en-US" w:eastAsia="zh-CN"/>
        </w:rPr>
        <w:t>甲方：</w:t>
      </w:r>
      <w:r>
        <w:rPr>
          <w:rFonts w:hint="eastAsia" w:ascii="宋体" w:hAnsi="宋体" w:eastAsia="宋体" w:cs="宋体"/>
          <w:color w:val="auto"/>
          <w:kern w:val="0"/>
          <w:sz w:val="21"/>
          <w:szCs w:val="21"/>
          <w:u w:val="single"/>
          <w:lang w:val="en-US" w:eastAsia="zh-CN"/>
        </w:rPr>
        <w:t xml:space="preserve">                         </w:t>
      </w:r>
    </w:p>
    <w:p w14:paraId="6B1754BA">
      <w:pPr>
        <w:keepNext w:val="0"/>
        <w:keepLines w:val="0"/>
        <w:pageBreakBefore w:val="0"/>
        <w:widowControl/>
        <w:kinsoku/>
        <w:wordWrap/>
        <w:overflowPunct/>
        <w:topLinePunct w:val="0"/>
        <w:autoSpaceDE/>
        <w:autoSpaceDN/>
        <w:bidi w:val="0"/>
        <w:adjustRightInd w:val="0"/>
        <w:snapToGrid w:val="0"/>
        <w:spacing w:line="408" w:lineRule="auto"/>
        <w:jc w:val="left"/>
        <w:rPr>
          <w:rFonts w:hint="eastAsia" w:ascii="宋体" w:hAnsi="宋体" w:eastAsia="宋体" w:cs="宋体"/>
          <w:color w:val="auto"/>
          <w:kern w:val="0"/>
          <w:sz w:val="21"/>
          <w:szCs w:val="21"/>
          <w:lang w:val="en-US"/>
        </w:rPr>
      </w:pPr>
      <w:r>
        <w:rPr>
          <w:rFonts w:hint="eastAsia" w:ascii="宋体" w:hAnsi="宋体" w:eastAsia="宋体" w:cs="宋体"/>
          <w:color w:val="auto"/>
          <w:kern w:val="0"/>
          <w:sz w:val="21"/>
          <w:szCs w:val="21"/>
          <w:lang w:val="en-US" w:eastAsia="zh-CN"/>
        </w:rPr>
        <w:t>乙方：</w:t>
      </w:r>
      <w:r>
        <w:rPr>
          <w:rFonts w:hint="eastAsia" w:ascii="宋体" w:hAnsi="宋体" w:eastAsia="宋体" w:cs="宋体"/>
          <w:u w:val="single"/>
          <w:lang w:val="en-US" w:eastAsia="zh-CN"/>
        </w:rPr>
        <w:t xml:space="preserve">                         </w:t>
      </w:r>
    </w:p>
    <w:p w14:paraId="2148A5C3">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根据《中华人民共和国民法典》及相关法律法规，本着平等、自愿、公平、诚实信用的原则，甲、乙双方经友好协商，就甲方委托乙方搬迁物品及设备事宜，签订本合同，以便共同遵守。</w:t>
      </w:r>
    </w:p>
    <w:p w14:paraId="72A751EF">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lang w:eastAsia="zh-CN"/>
        </w:rPr>
      </w:pPr>
      <w:r>
        <w:rPr>
          <w:rFonts w:hint="eastAsia" w:ascii="宋体" w:hAnsi="宋体" w:eastAsia="宋体" w:cs="宋体"/>
          <w:b/>
          <w:bCs/>
          <w:color w:val="auto"/>
          <w:sz w:val="21"/>
          <w:szCs w:val="21"/>
        </w:rPr>
        <w:t>一、</w:t>
      </w:r>
      <w:r>
        <w:rPr>
          <w:rFonts w:hint="eastAsia" w:ascii="宋体" w:hAnsi="宋体" w:eastAsia="宋体" w:cs="宋体"/>
          <w:b/>
          <w:bCs/>
          <w:color w:val="auto"/>
          <w:sz w:val="21"/>
          <w:szCs w:val="21"/>
          <w:lang w:eastAsia="zh-CN"/>
        </w:rPr>
        <w:t>拆装搬迁范围</w:t>
      </w:r>
      <w:r>
        <w:rPr>
          <w:rFonts w:hint="eastAsia" w:ascii="宋体" w:hAnsi="宋体" w:eastAsia="宋体" w:cs="宋体"/>
          <w:b/>
          <w:bCs/>
          <w:color w:val="auto"/>
          <w:sz w:val="21"/>
          <w:szCs w:val="21"/>
          <w:lang w:val="en-US" w:eastAsia="zh-CN"/>
        </w:rPr>
        <w:t>包含</w:t>
      </w:r>
    </w:p>
    <w:p w14:paraId="3C8A2748">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合同总价包括：</w:t>
      </w:r>
      <w:r>
        <w:rPr>
          <w:rFonts w:hint="eastAsia" w:ascii="宋体" w:hAnsi="宋体" w:eastAsia="宋体" w:cs="宋体"/>
          <w:color w:val="auto"/>
          <w:kern w:val="0"/>
          <w:sz w:val="21"/>
          <w:szCs w:val="21"/>
          <w:lang w:eastAsia="zh-CN"/>
        </w:rPr>
        <w:t>拆卸费</w:t>
      </w:r>
      <w:r>
        <w:rPr>
          <w:rFonts w:hint="eastAsia" w:ascii="宋体" w:hAnsi="宋体" w:eastAsia="宋体" w:cs="宋体"/>
          <w:color w:val="auto"/>
          <w:kern w:val="0"/>
          <w:sz w:val="21"/>
          <w:szCs w:val="21"/>
        </w:rPr>
        <w:t>、运输费、安装费、调试费、</w:t>
      </w:r>
      <w:r>
        <w:rPr>
          <w:rFonts w:hint="eastAsia" w:ascii="宋体" w:hAnsi="宋体" w:eastAsia="宋体" w:cs="宋体"/>
          <w:color w:val="auto"/>
          <w:kern w:val="0"/>
          <w:sz w:val="21"/>
          <w:szCs w:val="21"/>
          <w:lang w:eastAsia="zh-CN"/>
        </w:rPr>
        <w:t>人员</w:t>
      </w:r>
      <w:r>
        <w:rPr>
          <w:rFonts w:hint="eastAsia" w:ascii="宋体" w:hAnsi="宋体" w:eastAsia="宋体" w:cs="宋体"/>
          <w:color w:val="auto"/>
          <w:kern w:val="0"/>
          <w:sz w:val="21"/>
          <w:szCs w:val="21"/>
        </w:rPr>
        <w:t>保险费、产品辅材费、售后服务费、税费、其他伴随费用。合同总价一次性</w:t>
      </w:r>
      <w:r>
        <w:rPr>
          <w:rFonts w:hint="eastAsia" w:ascii="宋体" w:hAnsi="宋体" w:eastAsia="宋体" w:cs="宋体"/>
          <w:color w:val="auto"/>
          <w:kern w:val="0"/>
          <w:sz w:val="21"/>
          <w:szCs w:val="21"/>
          <w:lang w:eastAsia="zh-CN"/>
        </w:rPr>
        <w:t>全包（含税及开具增值税普通发票），</w:t>
      </w:r>
      <w:r>
        <w:rPr>
          <w:rFonts w:hint="eastAsia" w:ascii="宋体" w:hAnsi="宋体" w:eastAsia="宋体" w:cs="宋体"/>
          <w:color w:val="auto"/>
          <w:kern w:val="0"/>
          <w:sz w:val="21"/>
          <w:szCs w:val="21"/>
        </w:rPr>
        <w:t>不受市场价格变化因素的影响。</w:t>
      </w:r>
    </w:p>
    <w:p w14:paraId="15533018">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二</w:t>
      </w:r>
      <w:r>
        <w:rPr>
          <w:rFonts w:hint="eastAsia" w:ascii="宋体" w:hAnsi="宋体" w:eastAsia="宋体" w:cs="宋体"/>
          <w:b/>
          <w:color w:val="auto"/>
          <w:kern w:val="0"/>
          <w:sz w:val="21"/>
          <w:szCs w:val="21"/>
        </w:rPr>
        <w:t>、</w:t>
      </w:r>
      <w:r>
        <w:rPr>
          <w:rFonts w:hint="eastAsia" w:ascii="宋体" w:hAnsi="宋体" w:eastAsia="宋体" w:cs="宋体"/>
          <w:b/>
          <w:color w:val="auto"/>
          <w:kern w:val="0"/>
          <w:sz w:val="21"/>
          <w:szCs w:val="21"/>
          <w:lang w:eastAsia="zh-CN"/>
        </w:rPr>
        <w:t>拆、搬</w:t>
      </w:r>
      <w:r>
        <w:rPr>
          <w:rFonts w:hint="eastAsia" w:ascii="宋体" w:hAnsi="宋体" w:eastAsia="宋体" w:cs="宋体"/>
          <w:b/>
          <w:color w:val="auto"/>
          <w:kern w:val="0"/>
          <w:sz w:val="21"/>
          <w:szCs w:val="21"/>
        </w:rPr>
        <w:t>清单</w:t>
      </w:r>
      <w:r>
        <w:rPr>
          <w:rFonts w:hint="eastAsia" w:ascii="宋体" w:hAnsi="宋体" w:eastAsia="宋体" w:cs="宋体"/>
          <w:bCs/>
          <w:color w:val="auto"/>
          <w:kern w:val="0"/>
          <w:sz w:val="21"/>
          <w:szCs w:val="21"/>
        </w:rPr>
        <w:t>（附后）</w:t>
      </w:r>
    </w:p>
    <w:p w14:paraId="5211C54A">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三、拆搬</w:t>
      </w:r>
      <w:r>
        <w:rPr>
          <w:rFonts w:hint="eastAsia" w:ascii="宋体" w:hAnsi="宋体" w:eastAsia="宋体" w:cs="宋体"/>
          <w:b/>
          <w:color w:val="auto"/>
          <w:kern w:val="0"/>
          <w:sz w:val="21"/>
          <w:szCs w:val="21"/>
        </w:rPr>
        <w:t>条件</w:t>
      </w:r>
    </w:p>
    <w:p w14:paraId="491E393B">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搬运</w:t>
      </w:r>
      <w:r>
        <w:rPr>
          <w:rFonts w:hint="eastAsia" w:ascii="宋体" w:hAnsi="宋体" w:eastAsia="宋体" w:cs="宋体"/>
          <w:color w:val="auto"/>
          <w:kern w:val="0"/>
          <w:sz w:val="21"/>
          <w:szCs w:val="21"/>
        </w:rPr>
        <w:t>地点：甲方指定地点</w:t>
      </w:r>
      <w:r>
        <w:rPr>
          <w:rFonts w:hint="eastAsia" w:ascii="宋体" w:hAnsi="宋体" w:eastAsia="宋体" w:cs="宋体"/>
          <w:color w:val="auto"/>
          <w:kern w:val="0"/>
          <w:sz w:val="21"/>
          <w:szCs w:val="21"/>
          <w:lang w:eastAsia="zh-CN"/>
        </w:rPr>
        <w:t>（以实际地点为准）；</w:t>
      </w:r>
    </w:p>
    <w:p w14:paraId="0E81C4D9">
      <w:pPr>
        <w:pStyle w:val="2"/>
        <w:ind w:firstLine="420" w:firstLineChars="200"/>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2、服务期限： 自合同签订之日起五日内完成搬迁，教学楼加固维修完成后五日内完成复位安装。</w:t>
      </w:r>
    </w:p>
    <w:p w14:paraId="72D8C778">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rPr>
      </w:pPr>
      <w:r>
        <w:rPr>
          <w:rFonts w:hint="eastAsia" w:ascii="宋体" w:hAnsi="宋体" w:eastAsia="宋体" w:cs="宋体"/>
          <w:b/>
          <w:bCs/>
          <w:color w:val="auto"/>
          <w:sz w:val="21"/>
          <w:szCs w:val="21"/>
          <w:lang w:eastAsia="zh-CN"/>
        </w:rPr>
        <w:t>四</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搬迁</w:t>
      </w:r>
      <w:r>
        <w:rPr>
          <w:rFonts w:hint="eastAsia" w:ascii="宋体" w:hAnsi="宋体" w:eastAsia="宋体" w:cs="宋体"/>
          <w:b/>
          <w:color w:val="auto"/>
          <w:kern w:val="0"/>
          <w:sz w:val="21"/>
          <w:szCs w:val="21"/>
        </w:rPr>
        <w:t>合同价款</w:t>
      </w:r>
    </w:p>
    <w:p w14:paraId="4D12E16F">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合同总价款：</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b/>
          <w:bCs w:val="0"/>
          <w:sz w:val="21"/>
          <w:szCs w:val="21"/>
          <w:u w:val="single"/>
          <w:lang w:val="en-US" w:eastAsia="zh-CN"/>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rPr>
        <w:t>人民币</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大写</w:t>
      </w:r>
      <w:r>
        <w:rPr>
          <w:rFonts w:hint="eastAsia" w:ascii="宋体" w:hAnsi="宋体" w:eastAsia="宋体" w:cs="宋体"/>
          <w:color w:val="auto"/>
          <w:kern w:val="0"/>
          <w:sz w:val="21"/>
          <w:szCs w:val="21"/>
          <w:lang w:eastAsia="zh-CN"/>
        </w:rPr>
        <w:t>：</w:t>
      </w:r>
      <w:r>
        <w:rPr>
          <w:rFonts w:hint="eastAsia" w:ascii="宋体" w:hAnsi="宋体" w:eastAsia="宋体" w:cs="宋体"/>
          <w:b/>
          <w:bCs w:val="0"/>
          <w:sz w:val="21"/>
          <w:szCs w:val="21"/>
          <w:u w:val="single"/>
          <w:lang w:val="en-US" w:eastAsia="zh-CN"/>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lang w:eastAsia="zh-CN"/>
        </w:rPr>
        <w:t>元整。</w:t>
      </w:r>
    </w:p>
    <w:p w14:paraId="46E7D41A">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五、</w:t>
      </w:r>
      <w:r>
        <w:rPr>
          <w:rFonts w:hint="eastAsia" w:ascii="宋体" w:hAnsi="宋体" w:eastAsia="宋体" w:cs="宋体"/>
          <w:b/>
          <w:bCs/>
          <w:color w:val="auto"/>
          <w:kern w:val="0"/>
          <w:sz w:val="21"/>
          <w:szCs w:val="21"/>
        </w:rPr>
        <w:t>款</w:t>
      </w:r>
      <w:r>
        <w:rPr>
          <w:rFonts w:hint="eastAsia" w:ascii="宋体" w:hAnsi="宋体" w:eastAsia="宋体" w:cs="宋体"/>
          <w:b/>
          <w:bCs/>
          <w:color w:val="auto"/>
          <w:kern w:val="0"/>
          <w:sz w:val="21"/>
          <w:szCs w:val="21"/>
          <w:lang w:val="en-US" w:eastAsia="zh-CN"/>
        </w:rPr>
        <w:t>项</w:t>
      </w:r>
      <w:r>
        <w:rPr>
          <w:rFonts w:hint="eastAsia" w:ascii="宋体" w:hAnsi="宋体" w:eastAsia="宋体" w:cs="宋体"/>
          <w:b/>
          <w:bCs/>
          <w:color w:val="auto"/>
          <w:kern w:val="0"/>
          <w:sz w:val="21"/>
          <w:szCs w:val="21"/>
        </w:rPr>
        <w:t>结算</w:t>
      </w:r>
    </w:p>
    <w:p w14:paraId="6BCD384F">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1、搬迁工作中所有</w:t>
      </w:r>
      <w:r>
        <w:rPr>
          <w:rFonts w:hint="eastAsia" w:ascii="宋体" w:hAnsi="宋体" w:eastAsia="宋体" w:cs="宋体"/>
          <w:color w:val="auto"/>
          <w:kern w:val="0"/>
          <w:sz w:val="21"/>
          <w:szCs w:val="21"/>
          <w:lang w:eastAsia="zh-CN"/>
        </w:rPr>
        <w:t>设施</w:t>
      </w:r>
      <w:r>
        <w:rPr>
          <w:rFonts w:hint="eastAsia" w:ascii="宋体" w:hAnsi="宋体" w:eastAsia="宋体" w:cs="宋体"/>
          <w:color w:val="auto"/>
          <w:kern w:val="0"/>
          <w:sz w:val="21"/>
          <w:szCs w:val="21"/>
        </w:rPr>
        <w:t>设备</w:t>
      </w:r>
      <w:r>
        <w:rPr>
          <w:rFonts w:hint="eastAsia" w:ascii="宋体" w:hAnsi="宋体" w:eastAsia="宋体" w:cs="宋体"/>
          <w:color w:val="auto"/>
          <w:kern w:val="0"/>
          <w:sz w:val="21"/>
          <w:szCs w:val="21"/>
          <w:lang w:eastAsia="zh-CN"/>
        </w:rPr>
        <w:t>等复位安装</w:t>
      </w:r>
      <w:r>
        <w:rPr>
          <w:rFonts w:hint="eastAsia" w:ascii="宋体" w:hAnsi="宋体" w:eastAsia="宋体" w:cs="宋体"/>
          <w:color w:val="auto"/>
          <w:kern w:val="0"/>
          <w:sz w:val="21"/>
          <w:szCs w:val="21"/>
        </w:rPr>
        <w:t>至甲方指定地点后，甲方应在</w:t>
      </w:r>
      <w:r>
        <w:rPr>
          <w:rFonts w:hint="eastAsia" w:ascii="宋体" w:hAnsi="宋体" w:eastAsia="宋体" w:cs="宋体"/>
          <w:color w:val="auto"/>
          <w:kern w:val="0"/>
          <w:sz w:val="21"/>
          <w:szCs w:val="21"/>
          <w:lang w:val="en-US" w:eastAsia="zh-CN"/>
        </w:rPr>
        <w:t>60</w:t>
      </w:r>
      <w:r>
        <w:rPr>
          <w:rFonts w:hint="eastAsia" w:ascii="宋体" w:hAnsi="宋体" w:eastAsia="宋体" w:cs="宋体"/>
          <w:color w:val="auto"/>
          <w:kern w:val="0"/>
          <w:sz w:val="21"/>
          <w:szCs w:val="21"/>
        </w:rPr>
        <w:t>个工作日内向乙方指定的银行帐户支付总价款的</w:t>
      </w: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0%。</w:t>
      </w:r>
    </w:p>
    <w:p w14:paraId="38C60B8F">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、支付方式：银行转账。</w:t>
      </w:r>
    </w:p>
    <w:p w14:paraId="4C135D0D">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eastAsia="zh-CN"/>
        </w:rPr>
        <w:t>六、乙方收款账</w:t>
      </w:r>
      <w:r>
        <w:rPr>
          <w:rFonts w:hint="eastAsia" w:ascii="宋体" w:hAnsi="宋体" w:eastAsia="宋体" w:cs="宋体"/>
          <w:b/>
          <w:color w:val="auto"/>
          <w:kern w:val="0"/>
          <w:sz w:val="21"/>
          <w:szCs w:val="21"/>
          <w:lang w:val="en-US" w:eastAsia="zh-CN"/>
        </w:rPr>
        <w:t>户信息</w:t>
      </w:r>
    </w:p>
    <w:p w14:paraId="70F352EB">
      <w:pPr>
        <w:pStyle w:val="2"/>
        <w:ind w:firstLine="421"/>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账户名称：</w:t>
      </w:r>
    </w:p>
    <w:p w14:paraId="54549439">
      <w:pPr>
        <w:pStyle w:val="2"/>
        <w:ind w:firstLine="421"/>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税号：</w:t>
      </w:r>
    </w:p>
    <w:p w14:paraId="1617827D">
      <w:pPr>
        <w:pStyle w:val="2"/>
        <w:ind w:firstLine="421"/>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开户银行：</w:t>
      </w:r>
    </w:p>
    <w:p w14:paraId="549CC084">
      <w:pPr>
        <w:pStyle w:val="2"/>
        <w:ind w:firstLine="421"/>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账号：</w:t>
      </w:r>
    </w:p>
    <w:p w14:paraId="4A35D618">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七</w:t>
      </w:r>
      <w:r>
        <w:rPr>
          <w:rFonts w:hint="eastAsia" w:ascii="宋体" w:hAnsi="宋体" w:eastAsia="宋体" w:cs="宋体"/>
          <w:b/>
          <w:color w:val="auto"/>
          <w:kern w:val="0"/>
          <w:sz w:val="21"/>
          <w:szCs w:val="21"/>
        </w:rPr>
        <w:t>、运输</w:t>
      </w:r>
    </w:p>
    <w:p w14:paraId="06146D8E">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1、运输由乙方负责，运杂费已包含在合同总价内，包括从货物供应地点所含的运输费、装卸费、仓储费、保险费等</w:t>
      </w:r>
      <w:r>
        <w:rPr>
          <w:rFonts w:hint="eastAsia" w:ascii="宋体" w:hAnsi="宋体" w:eastAsia="宋体" w:cs="宋体"/>
          <w:color w:val="auto"/>
          <w:kern w:val="0"/>
          <w:sz w:val="21"/>
          <w:szCs w:val="21"/>
          <w:lang w:eastAsia="zh-CN"/>
        </w:rPr>
        <w:t>（清单附后）</w:t>
      </w:r>
      <w:r>
        <w:rPr>
          <w:rFonts w:hint="eastAsia" w:ascii="宋体" w:hAnsi="宋体" w:eastAsia="宋体" w:cs="宋体"/>
          <w:color w:val="auto"/>
          <w:kern w:val="0"/>
          <w:sz w:val="21"/>
          <w:szCs w:val="21"/>
        </w:rPr>
        <w:t>。</w:t>
      </w:r>
    </w:p>
    <w:p w14:paraId="13BE1053">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2、运输方式由乙方自行选择。</w:t>
      </w:r>
    </w:p>
    <w:p w14:paraId="569465D3">
      <w:pPr>
        <w:pStyle w:val="6"/>
        <w:keepNext w:val="0"/>
        <w:keepLines w:val="0"/>
        <w:pageBreakBefore w:val="0"/>
        <w:kinsoku/>
        <w:wordWrap/>
        <w:overflowPunct/>
        <w:topLinePunct w:val="0"/>
        <w:autoSpaceDE/>
        <w:autoSpaceDN/>
        <w:bidi w:val="0"/>
        <w:adjustRightInd w:val="0"/>
        <w:snapToGrid w:val="0"/>
        <w:spacing w:line="408" w:lineRule="auto"/>
        <w:rPr>
          <w:rFonts w:hint="eastAsia" w:ascii="宋体" w:hAnsi="宋体" w:eastAsia="宋体" w:cs="宋体"/>
          <w:color w:val="auto"/>
          <w:sz w:val="21"/>
          <w:szCs w:val="21"/>
        </w:rPr>
      </w:pPr>
      <w:r>
        <w:rPr>
          <w:rFonts w:hint="eastAsia" w:ascii="宋体" w:hAnsi="宋体" w:eastAsia="宋体" w:cs="宋体"/>
          <w:b/>
          <w:bCs/>
          <w:color w:val="auto"/>
          <w:kern w:val="0"/>
          <w:sz w:val="21"/>
          <w:szCs w:val="21"/>
          <w:lang w:eastAsia="zh-CN"/>
        </w:rPr>
        <w:t>八</w:t>
      </w:r>
      <w:r>
        <w:rPr>
          <w:rFonts w:hint="eastAsia" w:ascii="宋体" w:hAnsi="宋体" w:eastAsia="宋体" w:cs="宋体"/>
          <w:b/>
          <w:bCs/>
          <w:color w:val="auto"/>
          <w:kern w:val="0"/>
          <w:sz w:val="21"/>
          <w:szCs w:val="21"/>
        </w:rPr>
        <w:t>、验收</w:t>
      </w:r>
    </w:p>
    <w:p w14:paraId="7ED74363">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当货物被送到搬入地点后，甲方应对所运输的物品数量进行清点，经核对无误后由甲方签收货单。</w:t>
      </w:r>
      <w:r>
        <w:rPr>
          <w:rFonts w:hint="eastAsia" w:ascii="宋体" w:hAnsi="宋体" w:eastAsia="宋体" w:cs="宋体"/>
          <w:color w:val="000000"/>
          <w:kern w:val="0"/>
          <w:sz w:val="21"/>
          <w:szCs w:val="21"/>
        </w:rPr>
        <w:t>如甲方发现任何货物破损或丢失，需在货物被送到搬入地点后</w:t>
      </w:r>
      <w:r>
        <w:rPr>
          <w:rFonts w:hint="eastAsia" w:ascii="宋体" w:hAnsi="宋体" w:eastAsia="宋体" w:cs="宋体"/>
          <w:color w:val="000000"/>
          <w:kern w:val="0"/>
          <w:sz w:val="21"/>
          <w:szCs w:val="21"/>
          <w:u w:val="none"/>
          <w:lang w:eastAsia="zh-CN"/>
        </w:rPr>
        <w:t>立即</w:t>
      </w:r>
      <w:r>
        <w:rPr>
          <w:rFonts w:hint="eastAsia" w:ascii="宋体" w:hAnsi="宋体" w:eastAsia="宋体" w:cs="宋体"/>
          <w:color w:val="000000"/>
          <w:kern w:val="0"/>
          <w:sz w:val="21"/>
          <w:szCs w:val="21"/>
        </w:rPr>
        <w:t>通知乙方。双方应立即就损坏或丢损的补偿问题进行协商</w:t>
      </w:r>
      <w:r>
        <w:rPr>
          <w:rFonts w:hint="eastAsia" w:ascii="宋体" w:hAnsi="宋体" w:eastAsia="宋体" w:cs="宋体"/>
          <w:color w:val="000000"/>
          <w:kern w:val="0"/>
          <w:sz w:val="21"/>
          <w:szCs w:val="21"/>
          <w:lang w:eastAsia="zh-CN"/>
        </w:rPr>
        <w:t>。</w:t>
      </w:r>
    </w:p>
    <w:p w14:paraId="64ECCD8B">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对于仪器、电脑等需要检测的设备以及由乙方包装物品的隐蔽损失，甲方需在货物被送到搬入地点后</w:t>
      </w:r>
      <w:r>
        <w:rPr>
          <w:rFonts w:hint="eastAsia" w:ascii="宋体" w:hAnsi="宋体" w:eastAsia="宋体" w:cs="宋体"/>
          <w:color w:val="auto"/>
          <w:kern w:val="0"/>
          <w:sz w:val="21"/>
          <w:szCs w:val="21"/>
          <w:u w:val="single"/>
        </w:rPr>
        <w:t>  </w:t>
      </w:r>
      <w:r>
        <w:rPr>
          <w:rFonts w:hint="eastAsia" w:ascii="宋体" w:hAnsi="宋体" w:eastAsia="宋体" w:cs="宋体"/>
          <w:color w:val="auto"/>
          <w:kern w:val="0"/>
          <w:sz w:val="21"/>
          <w:szCs w:val="21"/>
        </w:rPr>
        <w:t>工作日内进行检测，并对出现破损或内部故障的设备进行登记，并通知乙方。双方应立即就损坏或丢损的补偿问题进行协商。</w:t>
      </w:r>
    </w:p>
    <w:p w14:paraId="63E3FE9D">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九、</w:t>
      </w:r>
      <w:r>
        <w:rPr>
          <w:rFonts w:hint="eastAsia" w:ascii="宋体" w:hAnsi="宋体" w:eastAsia="宋体" w:cs="宋体"/>
          <w:b/>
          <w:bCs/>
          <w:color w:val="auto"/>
          <w:kern w:val="0"/>
          <w:sz w:val="21"/>
          <w:szCs w:val="21"/>
        </w:rPr>
        <w:t>甲方的权利和义务</w:t>
      </w:r>
    </w:p>
    <w:p w14:paraId="0F3249B0">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甲方各部门委派搬迁协调员负责与乙方联络搬迁事宜，甲方向乙方提供协调员名单及联络方式。</w:t>
      </w:r>
    </w:p>
    <w:p w14:paraId="623468EA">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甲方向乙方提供各部门的具体搬迁时间、搬出地点以及搬入地点。</w:t>
      </w:r>
    </w:p>
    <w:p w14:paraId="0665D299">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甲方向乙方提供在搬出地点和搬入地点的行车路线、停车位。</w:t>
      </w:r>
    </w:p>
    <w:p w14:paraId="665C79BE">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甲方向乙方提供搬入地点的部门楼层房号、员工姓名和人员座位图。</w:t>
      </w:r>
    </w:p>
    <w:p w14:paraId="6B392584">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甲方负责在搬迁之前安排部门搬迁协调员与乙方现场服务代表到搬入地点将每位员工座位贴上标签（标签由乙方提供）。</w:t>
      </w:r>
    </w:p>
    <w:p w14:paraId="57410F34">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甲方负责委派相关人员监督搬迁过程，在装货卸货场地监督货物装运情况，并协助清点货物数量。</w:t>
      </w:r>
    </w:p>
    <w:p w14:paraId="56FFFC30">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搬迁结束后，甲方人员负责检查并确认所有需要搬迁的物品已运走并已全部到达搬入地点。</w:t>
      </w:r>
    </w:p>
    <w:p w14:paraId="0473E089">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8、因甲方场地原因不能正常安装的，不影响乙方工程进度及验收，甲方具备条件后及时通知乙方完成安装。</w:t>
      </w:r>
    </w:p>
    <w:p w14:paraId="20963D87">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eastAsia="zh-CN"/>
        </w:rPr>
        <w:t>十、</w:t>
      </w:r>
      <w:r>
        <w:rPr>
          <w:rFonts w:hint="eastAsia" w:ascii="宋体" w:hAnsi="宋体" w:eastAsia="宋体" w:cs="宋体"/>
          <w:b/>
          <w:bCs/>
          <w:color w:val="auto"/>
          <w:kern w:val="0"/>
          <w:sz w:val="21"/>
          <w:szCs w:val="21"/>
        </w:rPr>
        <w:t>乙方的权利和义务</w:t>
      </w:r>
    </w:p>
    <w:p w14:paraId="17653769">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自合同签订之日起，乙方应委派至少一名现场代表参与搬迁前期工作。</w:t>
      </w:r>
    </w:p>
    <w:p w14:paraId="3C2BD430">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乙方负责提供搬迁运输所需的包装材料，包装运输人员，运输货车。</w:t>
      </w:r>
    </w:p>
    <w:p w14:paraId="69B02573">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乙方负责提供搬迁所使用的工具、设备并确保处于良好的工作状态，符合行业标准，并充分考虑甲方合理建议。</w:t>
      </w:r>
    </w:p>
    <w:p w14:paraId="321E375A">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乙方保证为甲方提供搬迁服务所用运输车辆和工具适合货物的安全运输和装卸的要求，乙方有义务适当和谨慎地拆卸、装载、搬运、配载、运输、保管、照料、卸载、安装甲方的办公室物品和设备。</w:t>
      </w:r>
    </w:p>
    <w:p w14:paraId="441226EA">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乙方负责办公用品、公用文件、电器、电子设备、公用设备、家具等物品（但不包括员工个人物品和文件）并确保符合安全运输的需要。</w:t>
      </w:r>
    </w:p>
    <w:p w14:paraId="36164897">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乙方负责培训甲方人员办公室搬迁相关事宜，具体内容包括：</w:t>
      </w:r>
    </w:p>
    <w:p w14:paraId="05E9433B">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①</w:t>
      </w:r>
      <w:r>
        <w:rPr>
          <w:rFonts w:hint="eastAsia" w:ascii="宋体" w:hAnsi="宋体" w:eastAsia="宋体" w:cs="宋体"/>
          <w:color w:val="auto"/>
          <w:kern w:val="0"/>
          <w:sz w:val="21"/>
          <w:szCs w:val="21"/>
        </w:rPr>
        <w:t>标签及座位号分布情况。</w:t>
      </w:r>
    </w:p>
    <w:p w14:paraId="09B5B487">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②</w:t>
      </w:r>
      <w:r>
        <w:rPr>
          <w:rFonts w:hint="eastAsia" w:ascii="宋体" w:hAnsi="宋体" w:eastAsia="宋体" w:cs="宋体"/>
          <w:color w:val="auto"/>
          <w:kern w:val="0"/>
          <w:sz w:val="21"/>
          <w:szCs w:val="21"/>
        </w:rPr>
        <w:t>如何贴标签。</w:t>
      </w:r>
    </w:p>
    <w:p w14:paraId="0A1A5CAE">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③</w:t>
      </w:r>
      <w:r>
        <w:rPr>
          <w:rFonts w:hint="eastAsia" w:ascii="宋体" w:hAnsi="宋体" w:eastAsia="宋体" w:cs="宋体"/>
          <w:color w:val="auto"/>
          <w:kern w:val="0"/>
          <w:sz w:val="21"/>
          <w:szCs w:val="21"/>
        </w:rPr>
        <w:t>运输过程中的注意事项。</w:t>
      </w:r>
    </w:p>
    <w:p w14:paraId="5831045E">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乙方需向甲方提供办公室搬迁过程中所有督导员的姓名、电话和负责的办公区域。</w:t>
      </w:r>
    </w:p>
    <w:p w14:paraId="5C8270FF">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乙方负责所有货物从搬出地点指定工位搬迁到搬入地点指定工位，并负责拆除包装（不包括甲方员工自行包装的物品），清理包装材料，保证搬入地点干净整洁。</w:t>
      </w:r>
    </w:p>
    <w:p w14:paraId="2038D1B6">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在搬迁过程中，乙方应自行承担安全、环保、人身健康、物</w:t>
      </w:r>
    </w:p>
    <w:p w14:paraId="2F61CD8A">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品损失的责任，除非乙方能证明前述损失或损坏的发生是由甲方原因造成的。</w:t>
      </w:r>
    </w:p>
    <w:p w14:paraId="40DD59CB">
      <w:pPr>
        <w:keepNext w:val="0"/>
        <w:keepLines w:val="0"/>
        <w:pageBreakBefore w:val="0"/>
        <w:widowControl/>
        <w:numPr>
          <w:ilvl w:val="0"/>
          <w:numId w:val="1"/>
        </w:numPr>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乙方在搬迁过程中有义务保护甲方货物和财产，确保甲方货物和财产不受损害。在搬迁过程中发生事故造成甲方货物和财产损失的，乙方应予以赔偿。</w:t>
      </w:r>
    </w:p>
    <w:p w14:paraId="1FE57923">
      <w:pPr>
        <w:keepNext w:val="0"/>
        <w:keepLines w:val="0"/>
        <w:pageBreakBefore w:val="0"/>
        <w:widowControl/>
        <w:numPr>
          <w:ilvl w:val="0"/>
          <w:numId w:val="1"/>
        </w:numPr>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在乙方搬迁过程中，如有事故发生，乙方应迅速采取合理的抢救措施，防止损失扩大并努力减少损失，同时立即通知甲方。</w:t>
      </w:r>
    </w:p>
    <w:p w14:paraId="3BCC49F7">
      <w:pPr>
        <w:keepNext w:val="0"/>
        <w:keepLines w:val="0"/>
        <w:pageBreakBefore w:val="0"/>
        <w:widowControl/>
        <w:numPr>
          <w:ilvl w:val="0"/>
          <w:numId w:val="1"/>
        </w:numPr>
        <w:kinsoku/>
        <w:wordWrap/>
        <w:overflowPunct/>
        <w:topLinePunct w:val="0"/>
        <w:autoSpaceDE/>
        <w:autoSpaceDN/>
        <w:bidi w:val="0"/>
        <w:adjustRightInd w:val="0"/>
        <w:snapToGrid w:val="0"/>
        <w:spacing w:line="408" w:lineRule="auto"/>
        <w:ind w:left="0" w:leftChars="0"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乙方在搬迁过程中发生事故造成第三方人身或财产损失的，乙方应自行承担赔偿责任。</w:t>
      </w:r>
    </w:p>
    <w:p w14:paraId="13BF2A57">
      <w:pPr>
        <w:keepNext w:val="0"/>
        <w:keepLines w:val="0"/>
        <w:pageBreakBefore w:val="0"/>
        <w:widowControl/>
        <w:numPr>
          <w:ilvl w:val="0"/>
          <w:numId w:val="1"/>
        </w:numPr>
        <w:kinsoku/>
        <w:wordWrap/>
        <w:overflowPunct/>
        <w:topLinePunct w:val="0"/>
        <w:autoSpaceDE/>
        <w:autoSpaceDN/>
        <w:bidi w:val="0"/>
        <w:adjustRightInd w:val="0"/>
        <w:snapToGrid w:val="0"/>
        <w:spacing w:line="408" w:lineRule="auto"/>
        <w:ind w:left="0" w:leftChars="0"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甲方场地具备安装条件后，通知乙方，乙方及时配合甲方安装完成。</w:t>
      </w:r>
    </w:p>
    <w:p w14:paraId="37062AEE">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十一</w:t>
      </w:r>
      <w:r>
        <w:rPr>
          <w:rFonts w:hint="eastAsia" w:ascii="宋体" w:hAnsi="宋体" w:eastAsia="宋体" w:cs="宋体"/>
          <w:b/>
          <w:color w:val="auto"/>
          <w:kern w:val="0"/>
          <w:sz w:val="21"/>
          <w:szCs w:val="21"/>
        </w:rPr>
        <w:t>、违约责任</w:t>
      </w:r>
    </w:p>
    <w:p w14:paraId="2C6D1ADD">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甲乙双方应履行本协议所约定的义务，任何一方不履行或不完全适当履行即构成违约，违约方对由此给守约方造成的一切损失承担经济和法律责任。任何一方违反本协议约定，经守约方提出后在15个工作日内拒不改正的，守约方有权在书面通知违约方后单方终止本协议，由此造成的相关损失由违约方承担。</w:t>
      </w:r>
    </w:p>
    <w:p w14:paraId="07E3A5CE">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2、如任何一方承担了按中国法律或本协议规定应由违约方承担的责任，或因违约方的违约行为致使守约方承担责任和/或收到有关机关处罚，守约方在承担责任后有权向违约方进行追偿。</w:t>
      </w:r>
    </w:p>
    <w:p w14:paraId="7E6050A5">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3、本协议中所述的损失，均包括经济损失、声誉损失、监管处罚、因主张债权而发生的费用（包括但不限于律师费、诉讼费、保全费、保全担保费、公证费、调查取证费等）等。</w:t>
      </w:r>
    </w:p>
    <w:p w14:paraId="458F723A">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在提供搬迁服务过程中，因乙方原因而给甲方的货物造成损毁、丢失、短缺的，应向甲方承担被毁损、丢失、或短缺货物的直接损失和其他附带损失。</w:t>
      </w:r>
    </w:p>
    <w:p w14:paraId="422A9DDE">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甲方未按合同约定支付搬迁费用的，每逾期一日向乙方支付应付款金额</w:t>
      </w:r>
      <w:r>
        <w:rPr>
          <w:rFonts w:hint="eastAsia" w:ascii="宋体" w:hAnsi="宋体" w:eastAsia="宋体" w:cs="宋体"/>
          <w:color w:val="auto"/>
          <w:kern w:val="0"/>
          <w:sz w:val="21"/>
          <w:szCs w:val="21"/>
          <w:u w:val="single"/>
          <w:lang w:val="en-US" w:eastAsia="zh-CN"/>
        </w:rPr>
        <w:t xml:space="preserve"> 0.005 </w:t>
      </w:r>
      <w:r>
        <w:rPr>
          <w:rFonts w:hint="eastAsia" w:ascii="宋体" w:hAnsi="宋体" w:eastAsia="宋体" w:cs="宋体"/>
          <w:color w:val="auto"/>
          <w:kern w:val="0"/>
          <w:sz w:val="21"/>
          <w:szCs w:val="21"/>
        </w:rPr>
        <w:t>%的违约金，违约金累计总额不应超过应付</w:t>
      </w:r>
      <w:r>
        <w:rPr>
          <w:rFonts w:hint="eastAsia" w:ascii="宋体" w:hAnsi="宋体" w:eastAsia="宋体" w:cs="宋体"/>
          <w:color w:val="auto"/>
          <w:kern w:val="0"/>
          <w:sz w:val="21"/>
          <w:szCs w:val="21"/>
          <w:lang w:eastAsia="zh-CN"/>
        </w:rPr>
        <w:t>的</w:t>
      </w:r>
      <w:r>
        <w:rPr>
          <w:rFonts w:hint="eastAsia" w:ascii="宋体" w:hAnsi="宋体" w:eastAsia="宋体" w:cs="宋体"/>
          <w:color w:val="auto"/>
          <w:kern w:val="0"/>
          <w:sz w:val="21"/>
          <w:szCs w:val="21"/>
        </w:rPr>
        <w:t>款金额</w:t>
      </w:r>
      <w:r>
        <w:rPr>
          <w:rFonts w:hint="eastAsia" w:ascii="宋体" w:hAnsi="宋体" w:eastAsia="宋体" w:cs="宋体"/>
          <w:color w:val="auto"/>
          <w:kern w:val="0"/>
          <w:sz w:val="21"/>
          <w:szCs w:val="21"/>
          <w:lang w:eastAsia="zh-CN"/>
        </w:rPr>
        <w:t>。</w:t>
      </w:r>
    </w:p>
    <w:p w14:paraId="76BC8627">
      <w:pPr>
        <w:keepNext w:val="0"/>
        <w:keepLines w:val="0"/>
        <w:pageBreakBefore w:val="0"/>
        <w:widowControl/>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十二</w:t>
      </w:r>
      <w:r>
        <w:rPr>
          <w:rFonts w:hint="eastAsia" w:ascii="宋体" w:hAnsi="宋体" w:eastAsia="宋体" w:cs="宋体"/>
          <w:b/>
          <w:color w:val="auto"/>
          <w:kern w:val="0"/>
          <w:sz w:val="21"/>
          <w:szCs w:val="21"/>
        </w:rPr>
        <w:t xml:space="preserve">、争议的解决 </w:t>
      </w:r>
    </w:p>
    <w:p w14:paraId="2C0A2A78">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本合同发生纠纷，甲乙双方应当及时协商解决，协商不成时，任何一方均可向合同签订地人民法院提起诉讼。</w:t>
      </w:r>
    </w:p>
    <w:p w14:paraId="22C926AC">
      <w:pPr>
        <w:keepNext w:val="0"/>
        <w:keepLines w:val="0"/>
        <w:pageBreakBefore w:val="0"/>
        <w:widowControl/>
        <w:numPr>
          <w:ilvl w:val="0"/>
          <w:numId w:val="0"/>
        </w:numPr>
        <w:kinsoku/>
        <w:wordWrap/>
        <w:overflowPunct/>
        <w:topLinePunct w:val="0"/>
        <w:autoSpaceDE/>
        <w:autoSpaceDN/>
        <w:bidi w:val="0"/>
        <w:adjustRightInd w:val="0"/>
        <w:snapToGrid w:val="0"/>
        <w:spacing w:line="408" w:lineRule="auto"/>
        <w:ind w:firstLine="422" w:firstLineChars="200"/>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十三、</w:t>
      </w:r>
      <w:r>
        <w:rPr>
          <w:rFonts w:hint="eastAsia" w:ascii="宋体" w:hAnsi="宋体" w:eastAsia="宋体" w:cs="宋体"/>
          <w:b/>
          <w:color w:val="auto"/>
          <w:kern w:val="0"/>
          <w:sz w:val="21"/>
          <w:szCs w:val="21"/>
        </w:rPr>
        <w:t xml:space="preserve">其他事项 </w:t>
      </w:r>
    </w:p>
    <w:p w14:paraId="7EE0246D">
      <w:pPr>
        <w:keepNext w:val="0"/>
        <w:keepLines w:val="0"/>
        <w:pageBreakBefore w:val="0"/>
        <w:widowControl/>
        <w:numPr>
          <w:ilvl w:val="0"/>
          <w:numId w:val="0"/>
        </w:numPr>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1、合同未尽事宜，由甲、乙双方协商，经确认后，作为合同补充，与原合同具有同等法律效力。</w:t>
      </w:r>
    </w:p>
    <w:p w14:paraId="567B1DF3">
      <w:pPr>
        <w:keepNext w:val="0"/>
        <w:keepLines w:val="0"/>
        <w:pageBreakBefore w:val="0"/>
        <w:widowControl/>
        <w:kinsoku/>
        <w:wordWrap/>
        <w:overflowPunct/>
        <w:topLinePunct w:val="0"/>
        <w:autoSpaceDE/>
        <w:autoSpaceDN/>
        <w:bidi w:val="0"/>
        <w:adjustRightInd w:val="0"/>
        <w:snapToGrid w:val="0"/>
        <w:spacing w:line="408"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2、本合同一式</w:t>
      </w:r>
      <w:r>
        <w:rPr>
          <w:rFonts w:hint="eastAsia" w:ascii="宋体" w:hAnsi="宋体" w:eastAsia="宋体" w:cs="宋体"/>
          <w:color w:val="auto"/>
          <w:kern w:val="0"/>
          <w:sz w:val="21"/>
          <w:szCs w:val="21"/>
          <w:lang w:eastAsia="zh-CN"/>
        </w:rPr>
        <w:t>肆</w:t>
      </w:r>
      <w:r>
        <w:rPr>
          <w:rFonts w:hint="eastAsia" w:ascii="宋体" w:hAnsi="宋体" w:eastAsia="宋体" w:cs="宋体"/>
          <w:color w:val="auto"/>
          <w:kern w:val="0"/>
          <w:sz w:val="21"/>
          <w:szCs w:val="21"/>
        </w:rPr>
        <w:t>份，甲方贰份，乙方贰份，甲、乙</w:t>
      </w:r>
      <w:r>
        <w:rPr>
          <w:rFonts w:hint="eastAsia" w:ascii="宋体" w:hAnsi="宋体" w:eastAsia="宋体" w:cs="宋体"/>
          <w:color w:val="auto"/>
          <w:kern w:val="0"/>
          <w:sz w:val="21"/>
          <w:szCs w:val="21"/>
          <w:lang w:eastAsia="zh-CN"/>
        </w:rPr>
        <w:t>双</w:t>
      </w:r>
      <w:r>
        <w:rPr>
          <w:rFonts w:hint="eastAsia" w:ascii="宋体" w:hAnsi="宋体" w:eastAsia="宋体" w:cs="宋体"/>
          <w:color w:val="auto"/>
          <w:kern w:val="0"/>
          <w:sz w:val="21"/>
          <w:szCs w:val="21"/>
        </w:rPr>
        <w:t>方签字盖章后生效，合同执行完毕后，自动失效（合同的服务承诺则长期有效）。</w:t>
      </w:r>
    </w:p>
    <w:p w14:paraId="4B7F4E1F">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kern w:val="0"/>
          <w:sz w:val="21"/>
          <w:szCs w:val="21"/>
          <w:lang w:eastAsia="zh-CN"/>
        </w:rPr>
      </w:pPr>
    </w:p>
    <w:p w14:paraId="6D613EA0">
      <w:pPr>
        <w:rPr>
          <w:rFonts w:hint="eastAsia" w:ascii="宋体" w:hAnsi="宋体" w:eastAsia="宋体" w:cs="宋体"/>
          <w:color w:val="auto"/>
          <w:sz w:val="21"/>
          <w:szCs w:val="21"/>
        </w:rPr>
      </w:pPr>
    </w:p>
    <w:p w14:paraId="78348864">
      <w:pPr>
        <w:rPr>
          <w:rFonts w:hint="eastAsia" w:ascii="宋体" w:hAnsi="宋体" w:eastAsia="宋体" w:cs="宋体"/>
          <w:sz w:val="21"/>
          <w:szCs w:val="21"/>
        </w:rPr>
      </w:pPr>
    </w:p>
    <w:p w14:paraId="20118EC0">
      <w:pPr>
        <w:spacing w:line="560" w:lineRule="exact"/>
        <w:rPr>
          <w:rFonts w:hint="eastAsia" w:ascii="宋体" w:hAnsi="宋体" w:eastAsia="宋体" w:cs="宋体"/>
          <w:szCs w:val="21"/>
        </w:rPr>
      </w:pPr>
    </w:p>
    <w:p w14:paraId="4B7219CA">
      <w:pPr>
        <w:spacing w:line="560" w:lineRule="exact"/>
        <w:rPr>
          <w:rFonts w:hint="eastAsia" w:ascii="宋体" w:hAnsi="宋体" w:eastAsia="宋体" w:cs="宋体"/>
          <w:szCs w:val="21"/>
        </w:rPr>
      </w:pPr>
      <w:r>
        <w:rPr>
          <w:rFonts w:hint="eastAsia" w:ascii="宋体" w:hAnsi="宋体" w:eastAsia="宋体" w:cs="宋体"/>
          <w:szCs w:val="21"/>
        </w:rPr>
        <w:t>甲方（盖章）：                     乙方（盖章）</w:t>
      </w:r>
      <w:r>
        <w:rPr>
          <w:rFonts w:hint="eastAsia" w:ascii="宋体" w:hAnsi="宋体" w:eastAsia="宋体" w:cs="宋体"/>
          <w:szCs w:val="21"/>
        </w:rPr>
        <w:tab/>
      </w:r>
      <w:r>
        <w:rPr>
          <w:rFonts w:hint="eastAsia" w:ascii="宋体" w:hAnsi="宋体" w:eastAsia="宋体" w:cs="宋体"/>
          <w:szCs w:val="21"/>
        </w:rPr>
        <w:t>：</w:t>
      </w:r>
    </w:p>
    <w:p w14:paraId="667520F2">
      <w:pPr>
        <w:spacing w:line="560" w:lineRule="exact"/>
        <w:ind w:firstLine="420" w:firstLineChars="200"/>
        <w:rPr>
          <w:rFonts w:hint="eastAsia" w:ascii="宋体" w:hAnsi="宋体" w:eastAsia="宋体" w:cs="宋体"/>
          <w:szCs w:val="21"/>
        </w:rPr>
      </w:pPr>
      <w:r>
        <w:rPr>
          <w:rFonts w:hint="eastAsia" w:ascii="宋体" w:hAnsi="宋体" w:eastAsia="宋体" w:cs="宋体"/>
          <w:szCs w:val="21"/>
        </w:rPr>
        <w:t xml:space="preserve"> </w:t>
      </w:r>
    </w:p>
    <w:p w14:paraId="4A7399EF">
      <w:pPr>
        <w:pStyle w:val="4"/>
        <w:spacing w:line="560" w:lineRule="exact"/>
        <w:rPr>
          <w:rFonts w:hint="eastAsia" w:ascii="宋体" w:hAnsi="宋体" w:eastAsia="宋体" w:cs="宋体"/>
          <w:szCs w:val="21"/>
        </w:rPr>
      </w:pPr>
    </w:p>
    <w:p w14:paraId="301FC36F">
      <w:pPr>
        <w:spacing w:line="560" w:lineRule="exact"/>
        <w:rPr>
          <w:rFonts w:hint="eastAsia" w:ascii="宋体" w:hAnsi="宋体" w:eastAsia="宋体" w:cs="宋体"/>
          <w:szCs w:val="21"/>
        </w:rPr>
      </w:pPr>
    </w:p>
    <w:p w14:paraId="535094EB">
      <w:pPr>
        <w:spacing w:line="560" w:lineRule="exact"/>
        <w:rPr>
          <w:rFonts w:hint="eastAsia" w:ascii="宋体" w:hAnsi="宋体" w:eastAsia="宋体" w:cs="宋体"/>
          <w:szCs w:val="21"/>
        </w:rPr>
      </w:pPr>
      <w:r>
        <w:rPr>
          <w:rFonts w:hint="eastAsia" w:ascii="宋体" w:hAnsi="宋体" w:eastAsia="宋体" w:cs="宋体"/>
          <w:szCs w:val="21"/>
        </w:rPr>
        <w:t xml:space="preserve">法定代表人（负责人）：              法定代表人（负责人）：    </w:t>
      </w:r>
    </w:p>
    <w:p w14:paraId="6E992182">
      <w:pPr>
        <w:spacing w:line="560" w:lineRule="exact"/>
        <w:ind w:firstLine="420" w:firstLineChars="200"/>
        <w:rPr>
          <w:rFonts w:hint="eastAsia" w:ascii="宋体" w:hAnsi="宋体" w:eastAsia="宋体" w:cs="宋体"/>
          <w:szCs w:val="21"/>
        </w:rPr>
      </w:pPr>
    </w:p>
    <w:p w14:paraId="34A0B45C">
      <w:pPr>
        <w:spacing w:line="560" w:lineRule="exact"/>
        <w:ind w:firstLine="420" w:firstLineChars="200"/>
        <w:rPr>
          <w:rFonts w:hint="eastAsia" w:ascii="宋体" w:hAnsi="宋体" w:eastAsia="宋体" w:cs="宋体"/>
          <w:szCs w:val="21"/>
        </w:rPr>
      </w:pPr>
    </w:p>
    <w:p w14:paraId="619AA313">
      <w:pPr>
        <w:spacing w:line="560" w:lineRule="exact"/>
        <w:rPr>
          <w:rFonts w:hint="eastAsia" w:ascii="宋体" w:hAnsi="宋体" w:eastAsia="宋体" w:cs="宋体"/>
          <w:sz w:val="32"/>
          <w:szCs w:val="28"/>
        </w:rPr>
      </w:pPr>
      <w:r>
        <w:rPr>
          <w:rFonts w:hint="eastAsia" w:ascii="宋体" w:hAnsi="宋体" w:eastAsia="宋体" w:cs="宋体"/>
          <w:szCs w:val="21"/>
        </w:rPr>
        <w:t>签订日期：   年  月  日           签订日期：   年  月  日</w:t>
      </w:r>
      <w:r>
        <w:rPr>
          <w:rFonts w:hint="eastAsia" w:ascii="宋体" w:hAnsi="宋体" w:eastAsia="宋体" w:cs="宋体"/>
          <w:sz w:val="32"/>
          <w:szCs w:val="28"/>
        </w:rPr>
        <w:t xml:space="preserve">  </w:t>
      </w:r>
    </w:p>
    <w:p w14:paraId="0A18F115">
      <w:pPr>
        <w:pStyle w:val="9"/>
        <w:rPr>
          <w:rFonts w:hint="eastAsia" w:ascii="宋体" w:hAnsi="宋体" w:eastAsia="宋体" w:cs="宋体"/>
          <w:lang w:val="en-US" w:eastAsia="zh-Hans"/>
        </w:rPr>
      </w:pPr>
    </w:p>
    <w:p w14:paraId="1C86D4D9">
      <w:pPr>
        <w:rPr>
          <w:rFonts w:hint="eastAsia" w:ascii="宋体" w:hAnsi="宋体" w:eastAsia="宋体" w:cs="宋体"/>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48E5F">
    <w:pPr>
      <w:tabs>
        <w:tab w:val="right" w:pos="8820"/>
      </w:tabs>
      <w:ind w:right="40"/>
      <w:rPr>
        <w:rFonts w:hint="eastAsia" w:ascii="仿宋" w:hAnsi="仿宋" w:eastAsia="仿宋" w:cs="仿宋"/>
        <w:b/>
        <w:bCs/>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8C19FD"/>
    <w:multiLevelType w:val="singleLevel"/>
    <w:tmpl w:val="4F8C19FD"/>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5653A"/>
    <w:rsid w:val="33D7015F"/>
    <w:rsid w:val="50926323"/>
    <w:rsid w:val="52B56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9"/>
    <w:pPr>
      <w:spacing w:line="360" w:lineRule="auto"/>
      <w:jc w:val="center"/>
      <w:outlineLvl w:val="0"/>
    </w:pPr>
    <w:rPr>
      <w:rFonts w:cs="Times New Roman"/>
      <w:b/>
      <w:bCs/>
      <w:kern w:val="44"/>
      <w:sz w:val="32"/>
      <w:szCs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Normal Indent"/>
    <w:basedOn w:val="1"/>
    <w:next w:val="5"/>
    <w:qFormat/>
    <w:uiPriority w:val="99"/>
    <w:pPr>
      <w:ind w:firstLine="200" w:firstLineChars="200"/>
    </w:pPr>
  </w:style>
  <w:style w:type="paragraph" w:styleId="5">
    <w:name w:val="toc 4"/>
    <w:basedOn w:val="1"/>
    <w:next w:val="1"/>
    <w:qFormat/>
    <w:uiPriority w:val="39"/>
    <w:pPr>
      <w:ind w:left="1260" w:leftChars="600"/>
    </w:pPr>
  </w:style>
  <w:style w:type="paragraph" w:styleId="6">
    <w:name w:val="Body Text Indent"/>
    <w:basedOn w:val="1"/>
    <w:qFormat/>
    <w:uiPriority w:val="99"/>
    <w:pPr>
      <w:spacing w:after="120"/>
      <w:ind w:left="420" w:left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2026-06-22T09:42:00Z</dcterms:created>
  <dc:creator>Administrator</dc:creator>
  <cp:lastModifiedBy>Administrator</cp:lastModifiedBy>
  <dcterms:modified xsi:type="dcterms:W3CDTF">2026-06-22T09:42:35Z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5729A1422BB34C15B61B32A1DC5F9204_11</vt:lpwstr>
  </property>
  <property fmtid="{D5CDD505-2E9C-101B-9397-08002B2CF9AE}" pid="4" name="KSOTemplateDocerSaveRecord">
    <vt:lpwstr>eyJoZGlkIjoiNmNiOGE4YjdmZmNiNDBjOTVlNGZlMDAwMzIwMDZlNWEiLCJ1c2VySWQiOiI2NDcxNTEzMzMifQ==</vt:lpwstr>
  </property>
</Properties>
</file>