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41C96">
      <w:pPr>
        <w:pStyle w:val="5"/>
      </w:pPr>
    </w:p>
    <w:p w14:paraId="49E58974">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58303888">
      <w:pPr>
        <w:spacing w:line="240" w:lineRule="auto"/>
        <w:jc w:val="center"/>
        <w:rPr>
          <w:rFonts w:hint="eastAsia"/>
          <w:color w:val="auto"/>
          <w:sz w:val="52"/>
          <w:szCs w:val="52"/>
          <w:lang w:val="en-US" w:eastAsia="zh-CN"/>
        </w:rPr>
      </w:pPr>
      <w:r>
        <w:rPr>
          <w:rFonts w:hint="eastAsia"/>
          <w:color w:val="auto"/>
          <w:sz w:val="52"/>
          <w:szCs w:val="52"/>
          <w:lang w:val="en-US" w:eastAsia="zh-CN"/>
        </w:rPr>
        <w:t>（延安市市直单位政府采购中心 ）</w:t>
      </w:r>
    </w:p>
    <w:p w14:paraId="14B6DB55">
      <w:pPr>
        <w:pStyle w:val="26"/>
      </w:pP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1482CFF">
      <w:pPr>
        <w:pStyle w:val="20"/>
        <w:ind w:firstLine="183"/>
        <w:rPr>
          <w:color w:val="auto"/>
        </w:rPr>
      </w:pPr>
    </w:p>
    <w:p w14:paraId="2E03C3D7">
      <w:pPr>
        <w:pStyle w:val="30"/>
        <w:ind w:firstLine="727"/>
        <w:rPr>
          <w:color w:val="auto"/>
          <w:sz w:val="36"/>
          <w:szCs w:val="36"/>
        </w:rPr>
      </w:pPr>
    </w:p>
    <w:p w14:paraId="243AF6E0">
      <w:pPr>
        <w:pStyle w:val="30"/>
        <w:spacing w:line="240" w:lineRule="auto"/>
        <w:ind w:right="424" w:rightChars="150" w:firstLine="727"/>
        <w:rPr>
          <w:color w:val="auto"/>
          <w:sz w:val="36"/>
          <w:szCs w:val="36"/>
        </w:rPr>
      </w:pPr>
    </w:p>
    <w:p w14:paraId="3CA9744B">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延安王家坪革命旧址管理处物业服务</w:t>
      </w:r>
    </w:p>
    <w:p w14:paraId="79D043DC">
      <w:pPr>
        <w:spacing w:line="240" w:lineRule="auto"/>
        <w:ind w:left="2539" w:leftChars="256" w:right="707" w:rightChars="250" w:hanging="1815" w:hangingChars="500"/>
        <w:rPr>
          <w:rFonts w:hint="eastAsia" w:eastAsia="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rPr>
        <w:t>YAZCJC</w:t>
      </w:r>
      <w:r>
        <w:rPr>
          <w:rFonts w:hint="eastAsia" w:ascii="仿宋" w:hAnsi="仿宋" w:eastAsia="仿宋" w:cs="仿宋"/>
          <w:b/>
          <w:bCs/>
          <w:color w:val="auto"/>
          <w:sz w:val="36"/>
          <w:szCs w:val="36"/>
          <w:lang w:eastAsia="zh-CN"/>
        </w:rPr>
        <w:t>2026-18</w:t>
      </w:r>
    </w:p>
    <w:p w14:paraId="11573C8A">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延安王家坪革命旧址管理处</w:t>
      </w:r>
    </w:p>
    <w:p w14:paraId="5A625861">
      <w:pPr>
        <w:spacing w:line="240" w:lineRule="auto"/>
        <w:ind w:left="3265" w:leftChars="256" w:right="707" w:rightChars="250" w:hanging="2541" w:hangingChars="7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  延安市公共资源交易中心</w:t>
      </w:r>
    </w:p>
    <w:p w14:paraId="72B45EA1">
      <w:pPr>
        <w:spacing w:line="240" w:lineRule="auto"/>
        <w:ind w:left="3260" w:leftChars="1024" w:right="707" w:rightChars="250" w:hanging="363" w:hangingChars="100"/>
        <w:rPr>
          <w:rFonts w:hint="eastAsia"/>
          <w:b/>
          <w:bCs/>
          <w:color w:val="auto"/>
          <w:sz w:val="36"/>
          <w:szCs w:val="36"/>
        </w:rPr>
      </w:pPr>
      <w:r>
        <w:rPr>
          <w:rFonts w:hint="eastAsia"/>
          <w:b/>
          <w:bCs/>
          <w:color w:val="auto"/>
          <w:sz w:val="36"/>
          <w:szCs w:val="36"/>
          <w:lang w:val="en-US" w:eastAsia="zh-CN"/>
        </w:rPr>
        <w:t>（延安市市直单位政府采购中心 ）</w:t>
      </w:r>
      <w:r>
        <w:rPr>
          <w:rFonts w:hint="eastAsia"/>
          <w:b/>
          <w:bCs/>
          <w:color w:val="auto"/>
          <w:sz w:val="36"/>
          <w:szCs w:val="36"/>
        </w:rPr>
        <w:t xml:space="preserve"> </w:t>
      </w:r>
    </w:p>
    <w:p w14:paraId="0214197E">
      <w:pPr>
        <w:spacing w:line="240" w:lineRule="auto"/>
        <w:ind w:left="3260" w:leftChars="1024" w:right="707" w:rightChars="250" w:hanging="363" w:hangingChars="100"/>
        <w:rPr>
          <w:rFonts w:hint="eastAsia"/>
          <w:b/>
          <w:bCs/>
          <w:color w:val="auto"/>
          <w:sz w:val="36"/>
          <w:szCs w:val="36"/>
          <w:lang w:val="en-US" w:eastAsia="zh-CN"/>
        </w:rPr>
      </w:pPr>
    </w:p>
    <w:p w14:paraId="2A7D1F80">
      <w:pPr>
        <w:spacing w:line="240" w:lineRule="auto"/>
        <w:ind w:left="3260" w:leftChars="1024" w:right="707" w:rightChars="250" w:hanging="363" w:hangingChars="100"/>
        <w:rPr>
          <w:rFonts w:hint="default" w:eastAsia="华文仿宋"/>
          <w:b/>
          <w:bCs/>
          <w:color w:val="auto"/>
          <w:sz w:val="36"/>
          <w:szCs w:val="36"/>
          <w:highlight w:val="none"/>
          <w:lang w:val="en-US" w:eastAsia="zh-CN"/>
        </w:rPr>
      </w:pPr>
      <w:r>
        <w:rPr>
          <w:rFonts w:hint="eastAsia"/>
          <w:b/>
          <w:bCs/>
          <w:color w:val="auto"/>
          <w:sz w:val="36"/>
          <w:szCs w:val="36"/>
          <w:highlight w:val="none"/>
          <w:lang w:val="en-US" w:eastAsia="zh-CN"/>
        </w:rPr>
        <w:t>2026年5月27日</w:t>
      </w:r>
    </w:p>
    <w:p w14:paraId="52197E8A">
      <w:pPr>
        <w:spacing w:line="240" w:lineRule="auto"/>
        <w:ind w:right="424" w:rightChars="150" w:firstLine="726" w:firstLineChars="200"/>
        <w:rPr>
          <w:color w:val="auto"/>
          <w:sz w:val="36"/>
          <w:szCs w:val="36"/>
        </w:rPr>
      </w:pPr>
    </w:p>
    <w:p w14:paraId="64F503CB">
      <w:pPr>
        <w:pStyle w:val="14"/>
        <w:tabs>
          <w:tab w:val="right" w:leader="dot" w:pos="9072"/>
        </w:tabs>
        <w:spacing w:beforeLines="50" w:afterLines="50" w:line="500" w:lineRule="exact"/>
        <w:jc w:val="center"/>
        <w:rPr>
          <w:rFonts w:hint="eastAsia" w:ascii="黑体" w:hAnsi="黑体" w:eastAsia="黑体"/>
          <w:color w:val="auto"/>
          <w:sz w:val="44"/>
          <w:szCs w:val="44"/>
        </w:rPr>
      </w:pPr>
      <w:bookmarkStart w:id="0" w:name="_Toc30102_WPSOffice_Level1"/>
      <w:bookmarkStart w:id="1" w:name="_Toc10222_WPSOffice_Level1"/>
      <w:bookmarkStart w:id="2" w:name="_Toc30340_WPSOffice_Level1"/>
    </w:p>
    <w:p w14:paraId="1130A058">
      <w:pPr>
        <w:rPr>
          <w:rFonts w:hint="eastAsia"/>
        </w:r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left="0" w:leftChars="0" w:firstLine="1694" w:firstLineChars="599"/>
        <w:rPr>
          <w:rFonts w:hint="eastAsia" w:ascii="黑体" w:hAnsi="黑体" w:eastAsia="黑体" w:cs="黑体"/>
          <w:color w:val="auto"/>
        </w:rPr>
      </w:pPr>
    </w:p>
    <w:p w14:paraId="1FA3D71D">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第一章  磋商邀请函</w:t>
      </w:r>
    </w:p>
    <w:p w14:paraId="2756F9C8">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第二章  供应商须知</w:t>
      </w:r>
    </w:p>
    <w:p w14:paraId="41224AC9">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一、定义</w:t>
      </w:r>
    </w:p>
    <w:p w14:paraId="4B69BF30">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二、供应商注意事项</w:t>
      </w:r>
    </w:p>
    <w:p w14:paraId="673444E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三、电子磋商文件</w:t>
      </w:r>
    </w:p>
    <w:p w14:paraId="6E79551A">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四、磋商报价</w:t>
      </w:r>
    </w:p>
    <w:p w14:paraId="1A026BC5">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五、电子响应文件</w:t>
      </w:r>
    </w:p>
    <w:p w14:paraId="15BD52A3">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六、开启电子响应文件</w:t>
      </w:r>
    </w:p>
    <w:p w14:paraId="06C1C63A">
      <w:pPr>
        <w:pStyle w:val="14"/>
        <w:tabs>
          <w:tab w:val="right" w:leader="dot" w:pos="9072"/>
        </w:tabs>
        <w:spacing w:line="500" w:lineRule="exact"/>
        <w:ind w:left="0" w:leftChars="0" w:firstLine="1694" w:firstLineChars="599"/>
        <w:rPr>
          <w:rFonts w:hint="eastAsia" w:ascii="黑体" w:hAnsi="黑体" w:eastAsia="黑体" w:cs="黑体"/>
          <w:color w:val="auto"/>
        </w:rPr>
      </w:pPr>
      <w:r>
        <w:rPr>
          <w:rFonts w:hint="eastAsia" w:ascii="黑体" w:hAnsi="黑体" w:eastAsia="黑体" w:cs="黑体"/>
          <w:color w:val="auto"/>
        </w:rPr>
        <w:t>七、组织评审</w:t>
      </w:r>
    </w:p>
    <w:p w14:paraId="41C9BCA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八、成交</w:t>
      </w:r>
    </w:p>
    <w:p w14:paraId="559664C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九、签订政府采购合同</w:t>
      </w:r>
    </w:p>
    <w:p w14:paraId="2B9606F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十、其他</w:t>
      </w:r>
    </w:p>
    <w:p w14:paraId="05A173AD">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p>
    <w:p w14:paraId="330CEA4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第四章  合同草案条款</w:t>
      </w:r>
    </w:p>
    <w:p w14:paraId="26C1DEB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p>
    <w:p w14:paraId="5CADDF6A">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第一部分  资格证明文件</w:t>
      </w:r>
    </w:p>
    <w:p w14:paraId="6EDF0147">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p>
    <w:p w14:paraId="1855B683">
      <w:pPr>
        <w:pStyle w:val="16"/>
        <w:tabs>
          <w:tab w:val="right" w:leader="dot" w:pos="9072"/>
        </w:tabs>
        <w:spacing w:line="500" w:lineRule="exact"/>
        <w:ind w:left="0" w:leftChars="0" w:firstLine="1694" w:firstLineChars="599"/>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48053CFE">
      <w:pPr>
        <w:tabs>
          <w:tab w:val="center" w:pos="60"/>
        </w:tabs>
        <w:rPr>
          <w:rFonts w:hint="eastAsia" w:eastAsia="华文仿宋"/>
          <w:color w:val="auto"/>
          <w:lang w:eastAsia="zh-CN"/>
        </w:rPr>
      </w:pPr>
      <w:r>
        <w:rPr>
          <w:rFonts w:hint="eastAsia"/>
          <w:color w:val="auto"/>
          <w:lang w:eastAsia="zh-CN"/>
        </w:rPr>
        <w:tab/>
      </w:r>
    </w:p>
    <w:p w14:paraId="1F4E2172">
      <w:pPr>
        <w:outlineLvl w:val="9"/>
        <w:rPr>
          <w:rFonts w:hint="eastAsia" w:ascii="黑体" w:hAnsi="黑体" w:eastAsia="黑体"/>
          <w:b w:val="0"/>
          <w:color w:val="auto"/>
          <w:szCs w:val="32"/>
          <w:lang w:eastAsia="zh-CN"/>
        </w:rPr>
        <w:sectPr>
          <w:headerReference r:id="rId5" w:type="default"/>
          <w:footerReference r:id="rId6"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jc w:val="center"/>
        <w:rPr>
          <w:rFonts w:ascii="黑体" w:hAnsi="黑体"/>
          <w:b w:val="0"/>
          <w:color w:val="auto"/>
          <w:szCs w:val="32"/>
        </w:rPr>
      </w:pPr>
      <w:bookmarkStart w:id="3" w:name="_Toc21489"/>
      <w:bookmarkStart w:id="4" w:name="_Toc24418"/>
      <w:bookmarkStart w:id="5" w:name="_Toc26235"/>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31"/>
        <w:spacing w:line="500" w:lineRule="exact"/>
        <w:ind w:firstLine="567"/>
        <w:rPr>
          <w:rFonts w:ascii="华文仿宋" w:hAnsi="华文仿宋" w:cs="华文仿宋"/>
          <w:color w:val="auto"/>
          <w:highlight w:val="none"/>
        </w:rPr>
      </w:pPr>
      <w:bookmarkStart w:id="6" w:name="_Toc6471"/>
      <w:bookmarkStart w:id="7" w:name="_Toc8775_WPSOffice_Level2"/>
      <w:bookmarkStart w:id="8" w:name="_Toc22804_WPSOffice_Level2"/>
      <w:bookmarkStart w:id="9" w:name="_Toc15046_WPSOffice_Level2"/>
      <w:r>
        <w:rPr>
          <w:rFonts w:hint="eastAsia" w:ascii="华文仿宋" w:hAnsi="华文仿宋" w:cs="华文仿宋"/>
          <w:b/>
          <w:bCs/>
          <w:color w:val="auto"/>
          <w:lang w:eastAsia="zh-CN"/>
        </w:rPr>
        <w:t>延安王家坪革命旧址管理处物业服务</w:t>
      </w:r>
      <w:r>
        <w:rPr>
          <w:rFonts w:hint="eastAsia" w:ascii="华文仿宋" w:hAnsi="华文仿宋" w:cs="华文仿宋"/>
          <w:color w:val="auto"/>
          <w:highlight w:val="none"/>
        </w:rPr>
        <w:t>潜在的供应商可在全国公共资源交易平台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6-10   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6"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28286_WPSOffice_Level2"/>
      <w:bookmarkStart w:id="11" w:name="_Toc619_WPSOffice_Level2"/>
      <w:bookmarkStart w:id="12" w:name="_Toc181_WPSOffice_Level2"/>
      <w:bookmarkStart w:id="13" w:name="_Toc7698"/>
      <w:r>
        <w:rPr>
          <w:rFonts w:hint="eastAsia"/>
          <w:b w:val="0"/>
          <w:bCs w:val="0"/>
          <w:color w:val="auto"/>
          <w:lang w:eastAsia="zh-CN"/>
        </w:rPr>
        <w:t>延安王家坪革命旧址管理处物业服务</w:t>
      </w:r>
    </w:p>
    <w:p w14:paraId="4D09738F">
      <w:pPr>
        <w:numPr>
          <w:ilvl w:val="0"/>
          <w:numId w:val="0"/>
        </w:numPr>
        <w:spacing w:line="500" w:lineRule="exact"/>
        <w:ind w:firstLine="566" w:firstLineChars="200"/>
        <w:rPr>
          <w:rFonts w:hint="eastAsia" w:eastAsia="仿宋"/>
          <w:b/>
          <w:bCs/>
          <w:color w:val="auto"/>
          <w:lang w:val="en-US" w:eastAsia="zh-CN"/>
        </w:rPr>
      </w:pPr>
      <w:r>
        <w:rPr>
          <w:rFonts w:hint="eastAsia"/>
          <w:b/>
          <w:bCs/>
          <w:color w:val="auto"/>
        </w:rPr>
        <w:t>二、项目编号：</w:t>
      </w:r>
      <w:bookmarkEnd w:id="10"/>
      <w:bookmarkEnd w:id="11"/>
      <w:bookmarkEnd w:id="12"/>
      <w:bookmarkEnd w:id="13"/>
      <w:bookmarkStart w:id="14" w:name="_Toc8221_WPSOffice_Level2"/>
      <w:bookmarkStart w:id="15" w:name="_Toc23148_WPSOffice_Level2"/>
      <w:bookmarkStart w:id="16" w:name="_Toc22627_WPSOffice_Level2"/>
      <w:bookmarkStart w:id="17" w:name="_Toc7884"/>
      <w:r>
        <w:rPr>
          <w:rFonts w:hint="eastAsia" w:ascii="仿宋" w:hAnsi="仿宋" w:eastAsia="仿宋" w:cs="仿宋"/>
          <w:color w:val="auto"/>
          <w:highlight w:val="none"/>
        </w:rPr>
        <w:t>YAZCJC</w:t>
      </w:r>
      <w:r>
        <w:rPr>
          <w:rFonts w:hint="eastAsia" w:ascii="仿宋" w:hAnsi="仿宋" w:eastAsia="仿宋" w:cs="仿宋"/>
          <w:color w:val="auto"/>
          <w:highlight w:val="none"/>
          <w:lang w:eastAsia="zh-CN"/>
        </w:rPr>
        <w:t>2026-18</w:t>
      </w:r>
    </w:p>
    <w:bookmarkEnd w:id="14"/>
    <w:bookmarkEnd w:id="15"/>
    <w:bookmarkEnd w:id="16"/>
    <w:bookmarkEnd w:id="17"/>
    <w:p w14:paraId="727570DE">
      <w:pPr>
        <w:spacing w:line="500" w:lineRule="exact"/>
        <w:ind w:firstLine="566" w:firstLineChars="200"/>
        <w:rPr>
          <w:rFonts w:hint="eastAsia" w:ascii="华文仿宋" w:hAnsi="华文仿宋" w:eastAsia="华文仿宋" w:cs="华文仿宋"/>
          <w:color w:val="auto"/>
          <w:lang w:eastAsia="zh-CN"/>
        </w:rPr>
      </w:pPr>
      <w:bookmarkStart w:id="18" w:name="_Toc30103_WPSOffice_Level2"/>
      <w:bookmarkStart w:id="19" w:name="_Toc29947_WPSOffice_Level2"/>
      <w:bookmarkStart w:id="20" w:name="_Toc31311_WPSOffice_Level2"/>
      <w:bookmarkStart w:id="21" w:name="_Toc27211"/>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延安王家坪革命旧址管理处</w:t>
      </w:r>
    </w:p>
    <w:p w14:paraId="1FAD7762">
      <w:pPr>
        <w:pStyle w:val="32"/>
        <w:spacing w:line="500" w:lineRule="exact"/>
        <w:rPr>
          <w:rFonts w:hint="eastAsia" w:ascii="华文仿宋" w:hAnsi="华文仿宋" w:cs="华文仿宋"/>
          <w:color w:val="auto"/>
          <w:lang w:val="en-US" w:eastAsia="zh-CN"/>
        </w:rPr>
      </w:pPr>
      <w:r>
        <w:rPr>
          <w:rFonts w:hint="eastAsia" w:ascii="华文仿宋" w:hAnsi="华文仿宋" w:cs="华文仿宋"/>
          <w:color w:val="auto"/>
        </w:rPr>
        <w:t>地  址：</w:t>
      </w:r>
      <w:r>
        <w:rPr>
          <w:rFonts w:hint="eastAsia" w:ascii="华文仿宋" w:hAnsi="华文仿宋" w:cs="华文仿宋"/>
          <w:color w:val="auto"/>
          <w:lang w:val="en-US" w:eastAsia="zh-CN"/>
        </w:rPr>
        <w:t>延安市宝塔区王家坪</w:t>
      </w:r>
    </w:p>
    <w:p w14:paraId="6AB7DB54">
      <w:pPr>
        <w:pStyle w:val="32"/>
        <w:spacing w:line="500" w:lineRule="exact"/>
        <w:rPr>
          <w:rFonts w:ascii="华文仿宋" w:hAnsi="华文仿宋" w:cs="华文仿宋"/>
          <w:color w:val="auto"/>
        </w:rPr>
      </w:pPr>
      <w:r>
        <w:rPr>
          <w:rFonts w:ascii="华文仿宋" w:hAnsi="华文仿宋" w:cs="华文仿宋"/>
          <w:color w:val="auto"/>
        </w:rPr>
        <w:t>联系人：</w:t>
      </w:r>
      <w:r>
        <w:rPr>
          <w:rFonts w:hint="eastAsia" w:ascii="华文仿宋" w:hAnsi="华文仿宋" w:cs="华文仿宋"/>
          <w:color w:val="auto"/>
          <w:lang w:val="en-US" w:eastAsia="zh-CN"/>
        </w:rPr>
        <w:t>赵先生</w:t>
      </w:r>
    </w:p>
    <w:p w14:paraId="62845866">
      <w:pPr>
        <w:spacing w:line="500" w:lineRule="exact"/>
        <w:ind w:firstLine="1132" w:firstLineChars="400"/>
        <w:rPr>
          <w:rFonts w:hint="default"/>
          <w:lang w:val="en-US"/>
        </w:rPr>
      </w:pPr>
      <w:r>
        <w:rPr>
          <w:rFonts w:hint="eastAsia" w:ascii="华文仿宋" w:hAnsi="华文仿宋" w:cs="华文仿宋"/>
          <w:color w:val="auto"/>
        </w:rPr>
        <w:t>联系方式</w:t>
      </w:r>
      <w:r>
        <w:rPr>
          <w:rFonts w:hint="eastAsia" w:ascii="仿宋" w:hAnsi="仿宋" w:eastAsia="仿宋" w:cs="仿宋"/>
          <w:color w:val="auto"/>
        </w:rPr>
        <w:t>：</w:t>
      </w:r>
      <w:r>
        <w:rPr>
          <w:rFonts w:hint="eastAsia" w:ascii="仿宋" w:hAnsi="仿宋" w:eastAsia="仿宋" w:cs="仿宋"/>
          <w:color w:val="auto"/>
          <w:lang w:val="en-US" w:eastAsia="zh-CN"/>
        </w:rPr>
        <w:t>13468596819</w:t>
      </w:r>
    </w:p>
    <w:p w14:paraId="18D31A56">
      <w:pPr>
        <w:tabs>
          <w:tab w:val="left" w:pos="1620"/>
        </w:tabs>
        <w:snapToGrid w:val="0"/>
        <w:spacing w:line="500" w:lineRule="exact"/>
        <w:ind w:firstLine="566"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 ）</w:t>
      </w:r>
    </w:p>
    <w:p w14:paraId="5DBA77C8">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32" w:firstLineChars="400"/>
        <w:rPr>
          <w:rFonts w:hint="default" w:eastAsia="华文仿宋"/>
          <w:b w:val="0"/>
          <w:bCs w:val="0"/>
          <w:color w:val="auto"/>
          <w:lang w:val="en-US" w:eastAsia="zh-CN"/>
        </w:rPr>
      </w:pPr>
      <w:r>
        <w:rPr>
          <w:rFonts w:hint="eastAsia"/>
          <w:b w:val="0"/>
          <w:bCs w:val="0"/>
          <w:color w:val="auto"/>
        </w:rPr>
        <w:t>磋商文件联系人：</w:t>
      </w:r>
      <w:r>
        <w:rPr>
          <w:rFonts w:hint="eastAsia"/>
          <w:b w:val="0"/>
          <w:bCs w:val="0"/>
          <w:color w:val="auto"/>
          <w:lang w:val="en-US" w:eastAsia="zh-CN"/>
        </w:rPr>
        <w:t xml:space="preserve">刘先生  </w:t>
      </w:r>
      <w:r>
        <w:rPr>
          <w:rFonts w:hint="eastAsia"/>
          <w:b w:val="0"/>
          <w:bCs w:val="0"/>
          <w:color w:val="auto"/>
        </w:rPr>
        <w:t xml:space="preserve">魏女士  </w:t>
      </w:r>
    </w:p>
    <w:p w14:paraId="3DB10CF9">
      <w:pPr>
        <w:spacing w:line="500" w:lineRule="exact"/>
        <w:ind w:firstLine="1132"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 xml:space="preserve">0911-7092224  </w:t>
      </w:r>
    </w:p>
    <w:p w14:paraId="4886E520">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延安王家坪革命旧址管理处物业服务</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14570_WPSOffice_Level2"/>
      <w:bookmarkStart w:id="23" w:name="_Toc9917_WPSOffice_Level2"/>
      <w:bookmarkStart w:id="24" w:name="_Toc6459_WPSOffice_Level2"/>
      <w:bookmarkStart w:id="25" w:name="_Toc25753"/>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6" w:firstLineChars="200"/>
        <w:rPr>
          <w:rFonts w:hint="default" w:ascii="仿宋" w:hAnsi="仿宋" w:eastAsia="华文仿宋" w:cs="仿宋"/>
          <w:b/>
          <w:color w:val="auto"/>
          <w:lang w:val="en-US" w:eastAsia="zh-CN"/>
        </w:rPr>
      </w:pPr>
      <w:r>
        <w:rPr>
          <w:rFonts w:hint="eastAsia" w:ascii="华文仿宋" w:hAnsi="华文仿宋" w:cs="华文仿宋"/>
          <w:b/>
          <w:color w:val="auto"/>
        </w:rPr>
        <w:t>七、采购预算：</w:t>
      </w:r>
      <w:r>
        <w:rPr>
          <w:rFonts w:hint="eastAsia" w:ascii="仿宋" w:hAnsi="仿宋" w:eastAsia="仿宋" w:cs="仿宋"/>
          <w:color w:val="auto"/>
          <w:lang w:val="en-US" w:eastAsia="zh-CN"/>
        </w:rPr>
        <w:t>1163000.00</w:t>
      </w:r>
      <w:r>
        <w:rPr>
          <w:rFonts w:hint="eastAsia" w:ascii="华文仿宋" w:hAnsi="华文仿宋" w:cs="华文仿宋"/>
          <w:bCs/>
          <w:color w:val="auto"/>
        </w:rPr>
        <w:t>元</w:t>
      </w:r>
      <w:r>
        <w:rPr>
          <w:rFonts w:hint="eastAsia" w:ascii="华文仿宋" w:hAnsi="华文仿宋" w:cs="华文仿宋"/>
          <w:bCs/>
          <w:color w:val="auto"/>
          <w:lang w:val="en-US" w:eastAsia="zh-CN"/>
        </w:rPr>
        <w:t>（大写：壹佰壹拾陆万叁仟元整）</w:t>
      </w:r>
    </w:p>
    <w:p w14:paraId="41109504">
      <w:pPr>
        <w:pStyle w:val="9"/>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物业管理</w:t>
      </w:r>
    </w:p>
    <w:p w14:paraId="694C3E41">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6"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0"/>
        </w:numPr>
        <w:spacing w:line="500" w:lineRule="exact"/>
        <w:ind w:firstLine="566" w:firstLineChars="200"/>
        <w:jc w:val="left"/>
        <w:rPr>
          <w:rFonts w:hint="eastAsia" w:ascii="华文仿宋" w:hAnsi="华文仿宋" w:cs="华文仿宋"/>
          <w:color w:val="auto"/>
        </w:rPr>
      </w:pPr>
      <w:r>
        <w:rPr>
          <w:rFonts w:hint="eastAsia" w:ascii="华文仿宋" w:hAnsi="华文仿宋" w:eastAsia="华文仿宋" w:cs="华文仿宋"/>
          <w:color w:val="auto"/>
          <w:kern w:val="2"/>
          <w:sz w:val="28"/>
          <w:szCs w:val="28"/>
          <w:lang w:val="en-US" w:eastAsia="zh-CN" w:bidi="ar-SA"/>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6" w:firstLineChars="200"/>
        <w:rPr>
          <w:rFonts w:ascii="宋体" w:hAnsi="宋体" w:eastAsia="宋体" w:cs="宋体"/>
          <w:b/>
          <w:bCs/>
          <w:color w:val="auto"/>
          <w:sz w:val="21"/>
          <w:szCs w:val="21"/>
        </w:rPr>
      </w:pPr>
      <w:bookmarkStart w:id="26" w:name="_Toc8666"/>
      <w:bookmarkStart w:id="27" w:name="_Toc31685_WPSOffice_Level2"/>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6"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6" w:firstLineChars="200"/>
        <w:rPr>
          <w:rFonts w:hint="eastAsia" w:ascii="华文仿宋" w:hAnsi="华文仿宋" w:cs="华文仿宋"/>
          <w:b/>
          <w:bCs/>
          <w:color w:val="auto"/>
          <w:highlight w:val="none"/>
        </w:rPr>
      </w:pPr>
      <w:bookmarkStart w:id="30" w:name="_Toc21125"/>
      <w:bookmarkStart w:id="31" w:name="_Toc30400_WPSOffice_Level2"/>
      <w:bookmarkStart w:id="32" w:name="_Toc20141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物业管理</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6"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6"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6" w:firstLineChars="200"/>
        <w:jc w:val="left"/>
        <w:rPr>
          <w:rFonts w:hint="eastAsia" w:ascii="仿宋" w:hAnsi="仿宋" w:eastAsia="仿宋" w:cs="仿宋"/>
          <w:bCs/>
          <w:color w:val="auto"/>
        </w:rPr>
      </w:pPr>
      <w:bookmarkStart w:id="33" w:name="_Toc26863_WPSOffice_Level2"/>
      <w:bookmarkStart w:id="34" w:name="_Toc27420_WPSOffice_Level2"/>
      <w:bookmarkStart w:id="35" w:name="_Toc26982_WPSOffice_Level2"/>
      <w:bookmarkStart w:id="36" w:name="_Toc20847"/>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6" w:firstLineChars="200"/>
        <w:jc w:val="left"/>
        <w:rPr>
          <w:rFonts w:ascii="仿宋" w:hAnsi="仿宋" w:eastAsia="仿宋" w:cs="仿宋"/>
          <w:bCs/>
          <w:color w:val="auto"/>
          <w:highlight w:val="none"/>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w:t>
      </w:r>
      <w:r>
        <w:rPr>
          <w:rFonts w:hint="eastAsia" w:ascii="仿宋" w:hAnsi="仿宋" w:eastAsia="仿宋" w:cs="仿宋"/>
          <w:bCs/>
          <w:color w:val="auto"/>
          <w:highlight w:val="none"/>
        </w:rPr>
        <w:t>ow/533.html，现场办理地址：延安市新区为民服务中心南区东楼</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7号楼）A2楼，咨询电话：0911-2162266。</w:t>
      </w:r>
    </w:p>
    <w:p w14:paraId="1225FC02">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5月27日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rPr>
        <w:t>日</w:t>
      </w:r>
      <w:r>
        <w:rPr>
          <w:rFonts w:hint="eastAsia" w:ascii="仿宋" w:hAnsi="仿宋" w:eastAsia="仿宋" w:cs="仿宋"/>
          <w:b/>
          <w:bCs/>
          <w:color w:val="auto"/>
          <w:highlight w:val="none"/>
        </w:rPr>
        <w:t>，每天上午08: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00</w:t>
      </w:r>
      <w:r>
        <w:rPr>
          <w:rFonts w:hint="eastAsia" w:ascii="仿宋" w:hAnsi="仿宋" w:eastAsia="仿宋" w:cs="仿宋"/>
          <w:b/>
          <w:bCs/>
          <w:color w:val="auto"/>
          <w:highlight w:val="none"/>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6"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eastAsia" w:eastAsia="华文仿宋"/>
          <w:b/>
          <w:bCs/>
          <w:color w:val="auto"/>
          <w:highlight w:val="none"/>
          <w:lang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交易二厅</w:t>
      </w:r>
    </w:p>
    <w:p w14:paraId="07BE4106">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default" w:eastAsia="华文仿宋"/>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09D12969">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6" w:firstLineChars="200"/>
        <w:rPr>
          <w:b/>
          <w:bCs/>
          <w:color w:val="000000"/>
        </w:rPr>
      </w:pPr>
      <w:bookmarkStart w:id="37" w:name="_Toc14110_WPSOffice_Level2"/>
      <w:bookmarkStart w:id="38" w:name="_Toc20005"/>
      <w:bookmarkStart w:id="39" w:name="_Toc10758_WPSOffice_Level2"/>
      <w:bookmarkStart w:id="40" w:name="_Toc17917"/>
      <w:bookmarkStart w:id="41" w:name="_Toc22849_WPSOffice_Level2"/>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7A133A1E">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495014648"/>
      <w:bookmarkStart w:id="43" w:name="_Toc4326"/>
      <w:bookmarkStart w:id="44" w:name="_Toc15046_WPSOffice_Level1"/>
      <w:bookmarkStart w:id="45" w:name="_Toc495012820"/>
      <w:bookmarkStart w:id="46" w:name="_Toc495014953"/>
      <w:bookmarkStart w:id="47" w:name="_Toc19337_WPSOffice_Level1"/>
      <w:bookmarkStart w:id="48" w:name="_Toc495014919"/>
      <w:bookmarkStart w:id="49" w:name="_Toc495012770"/>
      <w:bookmarkStart w:id="50" w:name="_Toc22804_WPSOffice_Level1"/>
      <w:bookmarkStart w:id="51" w:name="_Toc445306492"/>
      <w:bookmarkStart w:id="52" w:name="_Toc7814"/>
      <w:bookmarkStart w:id="53" w:name="_Toc495014584"/>
      <w:bookmarkStart w:id="54" w:name="_Toc495014610"/>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24451_WPSOffice_Level2"/>
      <w:bookmarkStart w:id="57" w:name="_Toc12337"/>
      <w:bookmarkStart w:id="58" w:name="_Toc3858_WPSOffice_Level2"/>
      <w:bookmarkStart w:id="59" w:name="_Toc11989"/>
      <w:bookmarkStart w:id="60" w:name="_Toc16238"/>
      <w:bookmarkStart w:id="61" w:name="_Toc18466_WPSOffice_Level2"/>
      <w:r>
        <w:rPr>
          <w:rFonts w:hint="eastAsia"/>
          <w:color w:val="000000"/>
          <w:sz w:val="28"/>
          <w:szCs w:val="28"/>
        </w:rPr>
        <w:t>一、定义</w:t>
      </w:r>
      <w:bookmarkEnd w:id="56"/>
      <w:bookmarkEnd w:id="57"/>
      <w:bookmarkEnd w:id="58"/>
      <w:bookmarkEnd w:id="59"/>
      <w:bookmarkEnd w:id="60"/>
      <w:bookmarkEnd w:id="61"/>
    </w:p>
    <w:p w14:paraId="4BF229BD">
      <w:pPr>
        <w:spacing w:line="500" w:lineRule="exact"/>
        <w:ind w:firstLine="606"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延安王家坪革命旧址管理处</w:t>
      </w:r>
    </w:p>
    <w:p w14:paraId="01424C05">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 ）（以下简称：中心）</w:t>
      </w:r>
    </w:p>
    <w:p w14:paraId="07B822FE">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3"/>
        <w:ind w:firstLine="567"/>
        <w:rPr>
          <w:rFonts w:ascii="华文仿宋" w:hAnsi="华文仿宋" w:cs="华文仿宋"/>
          <w:color w:val="000000"/>
          <w:sz w:val="28"/>
          <w:szCs w:val="28"/>
        </w:rPr>
      </w:pPr>
      <w:bookmarkStart w:id="64" w:name="_Toc20906_WPSOffice_Level2"/>
      <w:bookmarkStart w:id="65" w:name="_Toc27278_WPSOffice_Level2"/>
      <w:bookmarkStart w:id="66" w:name="_Toc1878"/>
      <w:bookmarkStart w:id="67" w:name="_Toc11745_WPSOffice_Level2"/>
      <w:bookmarkStart w:id="68" w:name="_Toc4606"/>
      <w:bookmarkStart w:id="69" w:name="_Toc9291"/>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6" w:firstLineChars="200"/>
        <w:rPr>
          <w:b/>
          <w:bCs/>
          <w:color w:val="000000"/>
        </w:rPr>
      </w:pPr>
      <w:bookmarkStart w:id="70" w:name="_Toc26982_WPSOffice_Level3"/>
      <w:bookmarkStart w:id="71" w:name="_Toc21291"/>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w:t>
      </w:r>
      <w:r>
        <w:rPr>
          <w:rFonts w:hint="eastAsia" w:ascii="华文仿宋" w:hAnsi="华文仿宋" w:cs="华文仿宋"/>
          <w:color w:val="000000"/>
          <w:lang w:eastAsia="zh-CN"/>
        </w:rPr>
        <w:t>作出</w:t>
      </w:r>
      <w:r>
        <w:rPr>
          <w:rFonts w:hint="eastAsia" w:ascii="华文仿宋" w:hAnsi="华文仿宋" w:cs="华文仿宋"/>
          <w:color w:val="000000"/>
        </w:rPr>
        <w:t>答复。</w:t>
      </w:r>
    </w:p>
    <w:p w14:paraId="0D0CC5B5">
      <w:pPr>
        <w:spacing w:line="500" w:lineRule="exact"/>
        <w:ind w:firstLine="566"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w:t>
      </w:r>
      <w:r>
        <w:rPr>
          <w:rFonts w:hint="eastAsia"/>
          <w:color w:val="000000"/>
          <w:lang w:eastAsia="zh-CN"/>
        </w:rPr>
        <w:t>作出</w:t>
      </w:r>
      <w:r>
        <w:rPr>
          <w:rFonts w:hint="eastAsia"/>
          <w:color w:val="000000"/>
        </w:rPr>
        <w:t>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w:t>
      </w:r>
      <w:r>
        <w:rPr>
          <w:rFonts w:hint="eastAsia" w:ascii="华文仿宋" w:hAnsi="华文仿宋" w:cs="华文仿宋"/>
          <w:color w:val="000000"/>
          <w:lang w:eastAsia="zh-CN"/>
        </w:rPr>
        <w:t>作出</w:t>
      </w:r>
      <w:r>
        <w:rPr>
          <w:rFonts w:hint="eastAsia" w:ascii="华文仿宋" w:hAnsi="华文仿宋" w:cs="华文仿宋"/>
          <w:color w:val="000000"/>
        </w:rPr>
        <w:t>答复，并以书面形式通知质疑人和其他有关供应商。</w:t>
      </w:r>
    </w:p>
    <w:p w14:paraId="316E48CF">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w:t>
      </w:r>
      <w:r>
        <w:rPr>
          <w:rFonts w:hint="eastAsia" w:ascii="华文仿宋" w:hAnsi="华文仿宋" w:cs="华文仿宋"/>
          <w:color w:val="000000"/>
          <w:lang w:eastAsia="zh-CN"/>
        </w:rPr>
        <w:t>作出</w:t>
      </w:r>
      <w:r>
        <w:rPr>
          <w:rFonts w:hint="eastAsia" w:ascii="华文仿宋" w:hAnsi="华文仿宋" w:cs="华文仿宋"/>
          <w:color w:val="000000"/>
        </w:rPr>
        <w:t>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6"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中心</w:t>
      </w:r>
    </w:p>
    <w:p w14:paraId="5CA11703">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9"/>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764A380">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9"/>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小微</w:t>
      </w:r>
      <w:r>
        <w:rPr>
          <w:rFonts w:hint="eastAsia" w:ascii="华文仿宋" w:hAnsi="华文仿宋" w:cs="华文仿宋"/>
          <w:color w:val="000000"/>
          <w:sz w:val="24"/>
          <w:szCs w:val="24"/>
        </w:rPr>
        <w:t>企业划分标准参照《中小企业划型标准规定》</w:t>
      </w:r>
      <w:r>
        <w:rPr>
          <w:rFonts w:hint="eastAsia" w:ascii="华文仿宋" w:hAnsi="华文仿宋" w:cs="华文仿宋"/>
          <w:color w:val="000000"/>
          <w:sz w:val="24"/>
          <w:szCs w:val="24"/>
          <w:lang w:eastAsia="zh-CN"/>
        </w:rPr>
        <w:t>（</w:t>
      </w:r>
      <w:r>
        <w:rPr>
          <w:rFonts w:hint="eastAsia" w:ascii="华文仿宋" w:hAnsi="华文仿宋" w:cs="华文仿宋"/>
          <w:color w:val="000000"/>
          <w:sz w:val="24"/>
          <w:szCs w:val="24"/>
        </w:rPr>
        <w:t>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0B49B8C2">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6" w:firstLineChars="200"/>
        <w:rPr>
          <w:rFonts w:hint="eastAsia" w:ascii="华文仿宋" w:hAnsi="华文仿宋" w:cs="华文仿宋"/>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kern w:val="0"/>
        </w:rPr>
        <w:t>根据陕西省财政厅关于印发《陕西省中小企业政府采购信用融资办法》</w:t>
      </w:r>
      <w:r>
        <w:rPr>
          <w:rFonts w:hint="eastAsia" w:ascii="华文仿宋" w:hAnsi="华文仿宋" w:cs="华文仿宋"/>
          <w:kern w:val="0"/>
          <w:lang w:eastAsia="zh-CN"/>
        </w:rPr>
        <w:t>（</w:t>
      </w:r>
      <w:r>
        <w:rPr>
          <w:rFonts w:hint="eastAsia" w:ascii="华文仿宋" w:hAnsi="华文仿宋" w:cs="华文仿宋"/>
          <w:kern w:val="0"/>
        </w:rPr>
        <w:t>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w:t>
      </w:r>
      <w:r>
        <w:rPr>
          <w:rFonts w:hint="eastAsia" w:ascii="仿宋" w:hAnsi="仿宋" w:eastAsia="仿宋" w:cs="仿宋"/>
          <w:sz w:val="28"/>
          <w:szCs w:val="28"/>
        </w:rPr>
        <w:t>申请。</w:t>
      </w:r>
      <w:r>
        <w:rPr>
          <w:rFonts w:hint="eastAsia" w:ascii="华文仿宋" w:hAnsi="华文仿宋" w:cs="华文仿宋"/>
          <w:kern w:val="0"/>
          <w:sz w:val="28"/>
          <w:szCs w:val="28"/>
        </w:rPr>
        <w:t>”</w:t>
      </w:r>
      <w:r>
        <w:rPr>
          <w:rFonts w:hint="eastAsia" w:ascii="华文仿宋" w:hAnsi="华文仿宋" w:cs="华文仿宋"/>
          <w:kern w:val="0"/>
          <w:sz w:val="28"/>
          <w:szCs w:val="28"/>
          <w:lang w:eastAsia="zh-CN"/>
        </w:rPr>
        <w:t>（</w:t>
      </w:r>
      <w:r>
        <w:rPr>
          <w:sz w:val="28"/>
          <w:szCs w:val="28"/>
        </w:rPr>
        <w:fldChar w:fldCharType="begin"/>
      </w:r>
      <w:r>
        <w:rPr>
          <w:sz w:val="28"/>
          <w:szCs w:val="28"/>
        </w:rPr>
        <w:instrText xml:space="preserve"> HYPERLINK "http://www.ccgp-shaanxi.gov.cn/zcdservice/zcd/shanxi/" </w:instrText>
      </w:r>
      <w:r>
        <w:rPr>
          <w:sz w:val="28"/>
          <w:szCs w:val="28"/>
        </w:rPr>
        <w:fldChar w:fldCharType="separate"/>
      </w:r>
      <w:r>
        <w:rPr>
          <w:rFonts w:hint="eastAsia" w:ascii="华文仿宋" w:hAnsi="华文仿宋" w:cs="华文仿宋"/>
          <w:kern w:val="0"/>
          <w:sz w:val="28"/>
          <w:szCs w:val="28"/>
        </w:rPr>
        <w:t>陕西省政府采购信用融资平台</w:t>
      </w:r>
      <w:r>
        <w:rPr>
          <w:rFonts w:hint="eastAsia" w:ascii="华文仿宋" w:hAnsi="华文仿宋" w:cs="华文仿宋"/>
          <w:kern w:val="0"/>
          <w:sz w:val="28"/>
          <w:szCs w:val="28"/>
        </w:rPr>
        <w:fldChar w:fldCharType="end"/>
      </w:r>
      <w:r>
        <w:rPr>
          <w:rFonts w:hint="eastAsia" w:ascii="华文仿宋" w:hAnsi="华文仿宋" w:cs="华文仿宋"/>
          <w:kern w:val="0"/>
          <w:sz w:val="28"/>
          <w:szCs w:val="28"/>
        </w:rPr>
        <w:t>：</w:t>
      </w:r>
      <w:r>
        <w:rPr>
          <w:rFonts w:hint="eastAsia" w:ascii="华文仿宋" w:hAnsi="华文仿宋" w:cs="华文仿宋"/>
          <w:kern w:val="0"/>
          <w:sz w:val="28"/>
          <w:szCs w:val="28"/>
        </w:rPr>
        <w:fldChar w:fldCharType="begin"/>
      </w:r>
      <w:r>
        <w:rPr>
          <w:rFonts w:hint="eastAsia" w:ascii="华文仿宋" w:hAnsi="华文仿宋" w:cs="华文仿宋"/>
          <w:kern w:val="0"/>
          <w:sz w:val="28"/>
          <w:szCs w:val="28"/>
        </w:rPr>
        <w:instrText xml:space="preserve"> HYPERLINK "http://www.ccgp-shaanxi.gov.cn/zcdservice/zcd/shanxi/）" </w:instrText>
      </w:r>
      <w:r>
        <w:rPr>
          <w:rFonts w:hint="eastAsia" w:ascii="华文仿宋" w:hAnsi="华文仿宋" w:cs="华文仿宋"/>
          <w:kern w:val="0"/>
          <w:sz w:val="28"/>
          <w:szCs w:val="28"/>
        </w:rPr>
        <w:fldChar w:fldCharType="separate"/>
      </w:r>
      <w:r>
        <w:rPr>
          <w:rStyle w:val="25"/>
          <w:rFonts w:hint="eastAsia" w:ascii="华文仿宋" w:hAnsi="华文仿宋" w:cs="华文仿宋"/>
          <w:kern w:val="0"/>
          <w:sz w:val="28"/>
          <w:szCs w:val="28"/>
        </w:rPr>
        <w:t>http://www.ccgp-shaanxi.gov.cn/zcdservice/zcd/shanxi/）</w:t>
      </w:r>
      <w:r>
        <w:rPr>
          <w:rFonts w:hint="eastAsia" w:ascii="华文仿宋" w:hAnsi="华文仿宋" w:cs="华文仿宋"/>
          <w:kern w:val="0"/>
          <w:sz w:val="28"/>
          <w:szCs w:val="28"/>
        </w:rPr>
        <w:fldChar w:fldCharType="end"/>
      </w:r>
    </w:p>
    <w:p w14:paraId="788ECB8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10.根据财政部《关于推动解决政府采购异常低价问题的通知》（财库〔2026〕2号）有关要求，（一）政府采购评审中出现下列情形之一的，评审委员会应当启动异常低价投标（响应）审查程序：</w:t>
      </w:r>
    </w:p>
    <w:p w14:paraId="47A71E9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1.投标（响应）报价低于全部通过符合性审查供应商投标（响应）报价平均值50%的，即投标（响应）报价&lt;全部通过符合性审查供应商投标（响应）报价平均值×50%；</w:t>
      </w:r>
    </w:p>
    <w:p w14:paraId="28279CC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2.投标（响应）报价低于通过符合性审查的次低报价供应商投标（响应）报价50%的，即投标（响应）报价&lt;通过符合性审查的次低报价供应商投标（响应）报价×50%；</w:t>
      </w:r>
    </w:p>
    <w:p w14:paraId="16706AA2">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3.投标（响应）报价低于采购项目最高限价45%的，即投标（响应）报价&lt;采购项目最高限价×45%；</w:t>
      </w:r>
    </w:p>
    <w:p w14:paraId="6AC2F344">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4.评审委员会基于专业判断，认为供应商报价过低，有可能影响产品质量或者不能诚信履约的其他情形。</w:t>
      </w:r>
    </w:p>
    <w:p w14:paraId="60B1105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采购人可以结合具体项目实际情况，提高上述第1项至第3项中启动异常低价投标（响应）审查的数值标准，但是最高不得超过65%。</w:t>
      </w:r>
    </w:p>
    <w:p w14:paraId="6E67C5D7">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相关法律法规对供应商报价有规定的，从其规定。</w:t>
      </w:r>
    </w:p>
    <w:p w14:paraId="4B7DDAEF">
      <w:pPr>
        <w:pStyle w:val="15"/>
        <w:keepNext w:val="0"/>
        <w:keepLines w:val="0"/>
        <w:pageBreakBefore w:val="0"/>
        <w:widowControl/>
        <w:numPr>
          <w:ilvl w:val="0"/>
          <w:numId w:val="3"/>
        </w:numPr>
        <w:kinsoku/>
        <w:wordWrap/>
        <w:overflowPunct/>
        <w:topLinePunct w:val="0"/>
        <w:autoSpaceDE/>
        <w:autoSpaceDN/>
        <w:bidi w:val="0"/>
        <w:adjustRightInd/>
        <w:snapToGrid/>
        <w:spacing w:line="440" w:lineRule="exact"/>
        <w:ind w:left="0" w:leftChars="0" w:firstLine="849" w:firstLineChars="3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4041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6" w:firstLineChars="20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BAD4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1EEE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02436D6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9"/>
        <w:spacing w:line="500" w:lineRule="exact"/>
        <w:ind w:firstLine="566"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企业采购的采购项目，因此，不再执行价格评审优惠扶持政策。</w:t>
      </w:r>
    </w:p>
    <w:p w14:paraId="07821BCA">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6"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电子磋商文件作出</w:t>
      </w:r>
      <w:r>
        <w:rPr>
          <w:rFonts w:hint="eastAsia" w:ascii="华文仿宋" w:hAnsi="华文仿宋" w:cs="华文仿宋"/>
          <w:color w:val="000000"/>
        </w:rPr>
        <w:t>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6"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21288_WPSOffice_Level2"/>
      <w:bookmarkStart w:id="82" w:name="_Toc16980_WPSOffice_Level2"/>
      <w:bookmarkStart w:id="83" w:name="_Toc3222"/>
      <w:bookmarkStart w:id="84" w:name="_Toc22637"/>
      <w:bookmarkStart w:id="85" w:name="_Toc13240"/>
      <w:bookmarkStart w:id="86" w:name="_Toc17240_WPSOffice_Level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30415"/>
      <w:bookmarkStart w:id="88" w:name="_Toc20873_WPSOffice_Level2"/>
      <w:bookmarkStart w:id="89" w:name="_Toc15996"/>
      <w:bookmarkStart w:id="90" w:name="_Toc13064"/>
      <w:bookmarkStart w:id="91" w:name="_Toc19768_WPSOffice_Level2"/>
      <w:bookmarkStart w:id="92" w:name="_Toc22501_WPSOffice_Level2"/>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20041_WPSOffice_Level2"/>
      <w:bookmarkStart w:id="94" w:name="_Toc14959_WPSOffice_Level2"/>
      <w:bookmarkStart w:id="95" w:name="_Toc29669_WPSOffice_Level2"/>
      <w:bookmarkStart w:id="96" w:name="_Toc11009"/>
      <w:bookmarkStart w:id="97" w:name="_Toc23179"/>
      <w:bookmarkStart w:id="98" w:name="_Toc14979"/>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6" w:firstLineChars="200"/>
        <w:rPr>
          <w:rFonts w:ascii="华文仿宋" w:hAnsi="华文仿宋" w:cs="华文仿宋"/>
          <w:b/>
          <w:bCs/>
          <w:color w:val="000000"/>
        </w:rPr>
      </w:pPr>
      <w:bookmarkStart w:id="99" w:name="_Toc18733_WPSOffice_Level2"/>
      <w:bookmarkStart w:id="100" w:name="_Toc7898_WPSOffice_Level2"/>
      <w:bookmarkStart w:id="101" w:name="_Toc30535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1FFCBBC3">
      <w:pPr>
        <w:spacing w:line="500" w:lineRule="exact"/>
        <w:ind w:firstLine="566"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6" w:firstLineChars="200"/>
        <w:rPr>
          <w:rFonts w:ascii="仿宋" w:hAnsi="仿宋" w:eastAsia="仿宋" w:cs="仿宋"/>
          <w:b/>
          <w:color w:val="000000"/>
        </w:rPr>
      </w:pPr>
      <w:bookmarkStart w:id="102" w:name="_Toc6095"/>
      <w:bookmarkStart w:id="103" w:name="_Toc15608"/>
      <w:bookmarkStart w:id="104" w:name="_Toc2446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6837"/>
      <w:bookmarkStart w:id="106" w:name="_Toc7022"/>
      <w:bookmarkStart w:id="107" w:name="_Toc595"/>
      <w:bookmarkStart w:id="108" w:name="_Toc28054"/>
      <w:bookmarkStart w:id="109" w:name="_Toc10744"/>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6"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6"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5F805055">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6"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4"/>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6"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6"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31720"/>
      <w:bookmarkStart w:id="112" w:name="_Toc8460"/>
      <w:bookmarkStart w:id="113" w:name="_Toc20183"/>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w:t>
      </w:r>
      <w:r>
        <w:rPr>
          <w:rFonts w:hint="eastAsia" w:ascii="华文仿宋" w:hAnsi="华文仿宋" w:cs="华文仿宋"/>
          <w:color w:val="000000"/>
          <w:sz w:val="28"/>
          <w:shd w:val="clear" w:color="auto" w:fill="FFFFFF"/>
          <w:lang w:eastAsia="zh-CN"/>
        </w:rPr>
        <w:t>作出</w:t>
      </w:r>
      <w:r>
        <w:rPr>
          <w:rFonts w:hint="eastAsia" w:ascii="华文仿宋" w:hAnsi="华文仿宋" w:cs="华文仿宋"/>
          <w:color w:val="000000"/>
          <w:sz w:val="28"/>
          <w:shd w:val="clear" w:color="auto" w:fill="FFFFFF"/>
        </w:rPr>
        <w:t>澄清或者说明；</w:t>
      </w:r>
    </w:p>
    <w:p w14:paraId="76FE9C56">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w:t>
      </w:r>
    </w:p>
    <w:p w14:paraId="65ECD7F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6"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w:t>
      </w:r>
      <w:r>
        <w:rPr>
          <w:rFonts w:hint="eastAsia" w:ascii="华文仿宋" w:hAnsi="华文仿宋" w:cs="华文仿宋"/>
          <w:color w:val="000000"/>
          <w:lang w:eastAsia="zh-CN"/>
        </w:rPr>
        <w:t>作出</w:t>
      </w:r>
      <w:r>
        <w:rPr>
          <w:rFonts w:hint="eastAsia" w:ascii="华文仿宋" w:hAnsi="华文仿宋" w:cs="华文仿宋"/>
          <w:color w:val="000000"/>
        </w:rPr>
        <w:t>响应。</w:t>
      </w:r>
    </w:p>
    <w:p w14:paraId="6A2CE8B7">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型企、微型业的，提供《中小企业声明函》，且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物业管理</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w:t>
      </w:r>
      <w:r>
        <w:rPr>
          <w:rFonts w:hint="eastAsia" w:ascii="华文仿宋" w:hAnsi="华文仿宋" w:cs="华文仿宋"/>
          <w:color w:val="000000"/>
          <w:lang w:eastAsia="zh-CN"/>
        </w:rPr>
        <w:t>作出</w:t>
      </w:r>
      <w:r>
        <w:rPr>
          <w:rFonts w:hint="eastAsia" w:ascii="华文仿宋" w:hAnsi="华文仿宋" w:cs="华文仿宋"/>
          <w:color w:val="000000"/>
        </w:rPr>
        <w:t>必要的澄清、说明或者更正。</w:t>
      </w:r>
    </w:p>
    <w:p w14:paraId="6346879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w:t>
      </w:r>
      <w:r>
        <w:rPr>
          <w:rFonts w:hint="eastAsia" w:ascii="华文仿宋" w:hAnsi="华文仿宋" w:cs="华文仿宋"/>
          <w:color w:val="000000"/>
          <w:lang w:eastAsia="zh-CN"/>
        </w:rPr>
        <w:t>作出</w:t>
      </w:r>
      <w:r>
        <w:rPr>
          <w:rFonts w:hint="eastAsia" w:ascii="华文仿宋" w:hAnsi="华文仿宋" w:cs="华文仿宋"/>
          <w:color w:val="000000"/>
        </w:rPr>
        <w:t>评判。</w:t>
      </w:r>
    </w:p>
    <w:p w14:paraId="70279F47">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w:t>
      </w:r>
      <w:r>
        <w:rPr>
          <w:rFonts w:hint="eastAsia" w:ascii="华文仿宋" w:hAnsi="华文仿宋" w:cs="华文仿宋"/>
          <w:color w:val="000000"/>
          <w:lang w:eastAsia="zh-CN"/>
        </w:rPr>
        <w:t>作出</w:t>
      </w:r>
      <w:bookmarkStart w:id="307" w:name="_GoBack"/>
      <w:bookmarkEnd w:id="307"/>
      <w:r>
        <w:rPr>
          <w:rFonts w:hint="eastAsia" w:ascii="华文仿宋" w:hAnsi="华文仿宋" w:cs="华文仿宋"/>
          <w:color w:val="000000"/>
        </w:rPr>
        <w:t>。供应商应当在规定的澄清时限内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6"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6"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50E517D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392"/>
      <w:bookmarkStart w:id="120" w:name="_Toc9626"/>
      <w:bookmarkStart w:id="121" w:name="_Toc27797"/>
      <w:bookmarkStart w:id="122" w:name="_Toc27187"/>
      <w:r>
        <w:rPr>
          <w:rFonts w:hint="eastAsia" w:ascii="华文仿宋" w:hAnsi="华文仿宋" w:cs="华文仿宋"/>
          <w:color w:val="000000"/>
        </w:rPr>
        <w:t>。</w:t>
      </w:r>
      <w:r>
        <w:rPr>
          <w:rFonts w:hint="eastAsia" w:ascii="华文仿宋" w:hAnsi="华文仿宋" w:eastAsia="华文仿宋" w:cs="华文仿宋"/>
          <w:color w:val="000000"/>
          <w:sz w:val="28"/>
          <w:szCs w:val="28"/>
          <w:lang w:val="en-US" w:eastAsia="zh-CN"/>
        </w:rPr>
        <w:t>评定内容及打分标准：总分100分，每个响应人每项评分因素得分汇</w:t>
      </w:r>
      <w:r>
        <w:rPr>
          <w:rFonts w:hint="eastAsia" w:ascii="华文仿宋" w:hAnsi="华文仿宋" w:cs="华文仿宋"/>
          <w:color w:val="000000"/>
          <w:lang w:val="en-US" w:eastAsia="zh-CN"/>
        </w:rPr>
        <w:t>总即为最后得分，各项评分因素具体内容及打分标准如下：</w:t>
      </w:r>
    </w:p>
    <w:bookmarkEnd w:id="119"/>
    <w:bookmarkEnd w:id="120"/>
    <w:bookmarkEnd w:id="121"/>
    <w:bookmarkEnd w:id="122"/>
    <w:tbl>
      <w:tblPr>
        <w:tblStyle w:val="22"/>
        <w:tblW w:w="5393"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top w:w="0" w:type="dxa"/>
          <w:left w:w="0" w:type="dxa"/>
          <w:bottom w:w="0" w:type="dxa"/>
          <w:right w:w="0" w:type="dxa"/>
        </w:tblCellMar>
      </w:tblPr>
      <w:tblGrid>
        <w:gridCol w:w="678"/>
        <w:gridCol w:w="678"/>
        <w:gridCol w:w="807"/>
        <w:gridCol w:w="7145"/>
        <w:gridCol w:w="484"/>
      </w:tblGrid>
      <w:tr w14:paraId="1C245C9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527471AD">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序号</w:t>
            </w:r>
          </w:p>
        </w:tc>
        <w:tc>
          <w:tcPr>
            <w:tcW w:w="346" w:type="pct"/>
            <w:noWrap w:val="0"/>
            <w:vAlign w:val="center"/>
          </w:tcPr>
          <w:p w14:paraId="4BEBBD8E">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名称</w:t>
            </w:r>
          </w:p>
        </w:tc>
        <w:tc>
          <w:tcPr>
            <w:tcW w:w="412" w:type="pct"/>
            <w:noWrap w:val="0"/>
            <w:vAlign w:val="center"/>
          </w:tcPr>
          <w:p w14:paraId="43C3E736">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最高分值</w:t>
            </w:r>
          </w:p>
        </w:tc>
        <w:tc>
          <w:tcPr>
            <w:tcW w:w="3647" w:type="pct"/>
            <w:noWrap w:val="0"/>
            <w:vAlign w:val="center"/>
          </w:tcPr>
          <w:p w14:paraId="5645C71D">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评审要素</w:t>
            </w:r>
          </w:p>
        </w:tc>
        <w:tc>
          <w:tcPr>
            <w:tcW w:w="246" w:type="pct"/>
            <w:noWrap w:val="0"/>
            <w:vAlign w:val="center"/>
          </w:tcPr>
          <w:p w14:paraId="67B95946">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备注</w:t>
            </w:r>
          </w:p>
        </w:tc>
      </w:tr>
      <w:tr w14:paraId="6941E38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1276B05F">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1</w:t>
            </w:r>
          </w:p>
        </w:tc>
        <w:tc>
          <w:tcPr>
            <w:tcW w:w="346" w:type="pct"/>
            <w:noWrap w:val="0"/>
            <w:vAlign w:val="center"/>
          </w:tcPr>
          <w:p w14:paraId="2F3942BF">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投标报价</w:t>
            </w:r>
          </w:p>
        </w:tc>
        <w:tc>
          <w:tcPr>
            <w:tcW w:w="412" w:type="pct"/>
            <w:noWrap w:val="0"/>
            <w:vAlign w:val="center"/>
          </w:tcPr>
          <w:p w14:paraId="5521BC3C">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b w:val="0"/>
                <w:i w:val="0"/>
                <w:color w:val="000000"/>
                <w:spacing w:val="0"/>
                <w:sz w:val="28"/>
                <w:szCs w:val="28"/>
                <w:highlight w:val="none"/>
                <w:lang w:val="en-US" w:eastAsia="zh-CN"/>
              </w:rPr>
              <w:t>20</w:t>
            </w:r>
          </w:p>
        </w:tc>
        <w:tc>
          <w:tcPr>
            <w:tcW w:w="3647" w:type="pct"/>
            <w:noWrap w:val="0"/>
            <w:vAlign w:val="center"/>
          </w:tcPr>
          <w:p w14:paraId="482A090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 xml:space="preserve">价格分统一采用低价优先法计算，即满足招标文件要求且投标价格最低的投标报价为投标基准价，其价格分为满分。其他投标人的价格分统一按照下列公式计算： </w:t>
            </w:r>
          </w:p>
          <w:p w14:paraId="74DE734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 xml:space="preserve">投标报价得分=(投标基准价／投标报价)×20         </w:t>
            </w:r>
          </w:p>
          <w:p w14:paraId="349ED4B9">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计算分数时四舍五入取小数点后两位</w:t>
            </w:r>
          </w:p>
          <w:p w14:paraId="1202DF85">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highlight w:val="none"/>
              </w:rPr>
            </w:pPr>
            <w:r>
              <w:rPr>
                <w:rFonts w:hint="eastAsia" w:ascii="华文仿宋" w:hAnsi="华文仿宋" w:eastAsia="华文仿宋" w:cs="华文仿宋"/>
                <w:sz w:val="28"/>
                <w:szCs w:val="28"/>
                <w:highlight w:val="none"/>
                <w:lang w:val="en-US" w:eastAsia="zh-CN"/>
              </w:rPr>
              <w:t>注：评标小组会认为某个投标人的报价低于成本或明显低于其他通过符合性审查投标人的报价，有可能影响产品质量或者不能诚信履约的，应当要求其在评标现场合理的时间内提供书面说明，必要时提交相关证明材料；投标人不能证明其报价合理性的，评标小组应当将其作为无效投标处理。</w:t>
            </w:r>
          </w:p>
        </w:tc>
        <w:tc>
          <w:tcPr>
            <w:tcW w:w="246" w:type="pct"/>
            <w:noWrap w:val="0"/>
            <w:vAlign w:val="center"/>
          </w:tcPr>
          <w:p w14:paraId="653D1DBD">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6D0334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77512318">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2</w:t>
            </w:r>
          </w:p>
        </w:tc>
        <w:tc>
          <w:tcPr>
            <w:tcW w:w="346" w:type="pct"/>
            <w:noWrap w:val="0"/>
            <w:vAlign w:val="center"/>
          </w:tcPr>
          <w:p w14:paraId="774DD3DB">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总体方案</w:t>
            </w:r>
          </w:p>
          <w:p w14:paraId="41CC5617">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p>
        </w:tc>
        <w:tc>
          <w:tcPr>
            <w:tcW w:w="412" w:type="pct"/>
            <w:noWrap w:val="0"/>
            <w:vAlign w:val="center"/>
          </w:tcPr>
          <w:p w14:paraId="7A2DF081">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6</w:t>
            </w:r>
          </w:p>
          <w:p w14:paraId="610C14F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c>
          <w:tcPr>
            <w:tcW w:w="3647" w:type="pct"/>
            <w:noWrap w:val="0"/>
            <w:vAlign w:val="top"/>
          </w:tcPr>
          <w:p w14:paraId="52810CC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214C33C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提出针对于本项目的总体方案，方案内容包含①服务理念及特色②重难点分析及保障措施。</w:t>
            </w:r>
          </w:p>
          <w:p w14:paraId="0931167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1BEE47A4">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1.完整性：方案须全面，对评审内容中的各项要求有详细描述及说明；</w:t>
            </w:r>
          </w:p>
          <w:p w14:paraId="795EC52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2.可实施性：切合本项目实际情况，实施步骤清晰、合理；</w:t>
            </w:r>
          </w:p>
          <w:p w14:paraId="0C694DFC">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3.针对性：方案能够紧扣项目实际情况，内容科学合理。</w:t>
            </w:r>
          </w:p>
          <w:p w14:paraId="1AA8AD9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469444D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①服务理念及特色：每完全满足一项评审标准得 1分，满分3分；</w:t>
            </w:r>
          </w:p>
          <w:p w14:paraId="4DECF8ED">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②重难点分析及保障措施：每完全满足一项评审标准得1分，满分3分。</w:t>
            </w:r>
          </w:p>
        </w:tc>
        <w:tc>
          <w:tcPr>
            <w:tcW w:w="246" w:type="pct"/>
            <w:noWrap w:val="0"/>
            <w:vAlign w:val="center"/>
          </w:tcPr>
          <w:p w14:paraId="0FBA1A90">
            <w:pPr>
              <w:pageBreakBefore w:val="0"/>
              <w:wordWrap w:val="0"/>
              <w:spacing w:before="0" w:after="0" w:line="360" w:lineRule="auto"/>
              <w:ind w:left="0" w:right="0" w:firstLine="0"/>
              <w:jc w:val="both"/>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 xml:space="preserve"> </w:t>
            </w:r>
          </w:p>
          <w:p w14:paraId="50E8602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353570F2">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1BB7F3B1">
            <w:pPr>
              <w:pageBreakBefore w:val="0"/>
              <w:wordWrap w:val="0"/>
              <w:spacing w:before="0" w:after="0" w:line="360" w:lineRule="auto"/>
              <w:ind w:left="0" w:right="0" w:firstLine="0"/>
              <w:jc w:val="center"/>
              <w:textAlignment w:val="baseline"/>
              <w:rPr>
                <w:rFonts w:hint="default"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3</w:t>
            </w:r>
          </w:p>
        </w:tc>
        <w:tc>
          <w:tcPr>
            <w:tcW w:w="346" w:type="pct"/>
            <w:noWrap w:val="0"/>
            <w:vAlign w:val="center"/>
          </w:tcPr>
          <w:p w14:paraId="39937D92">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环境卫生服务方案</w:t>
            </w:r>
          </w:p>
        </w:tc>
        <w:tc>
          <w:tcPr>
            <w:tcW w:w="412" w:type="pct"/>
            <w:noWrap w:val="0"/>
            <w:vAlign w:val="center"/>
          </w:tcPr>
          <w:p w14:paraId="314D27CC">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9</w:t>
            </w:r>
          </w:p>
        </w:tc>
        <w:tc>
          <w:tcPr>
            <w:tcW w:w="3647" w:type="pct"/>
            <w:noWrap w:val="0"/>
            <w:vAlign w:val="top"/>
          </w:tcPr>
          <w:p w14:paraId="61145E5D">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254379A9">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针对本项目提出环境卫生服务方案，方案内容包含①室外公共区域保洁服务②展览区域和办公区保洁服务③卫生间保洁服务。</w:t>
            </w:r>
          </w:p>
          <w:p w14:paraId="7F7E2788">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0546981F">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1.完整性：方案须全面，对评审内容中的各项要求有详细描述及说明；</w:t>
            </w:r>
          </w:p>
          <w:p w14:paraId="231F0BFA">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2.可实施性：切合本项目实际情况，实施步骤清晰、合理；</w:t>
            </w:r>
          </w:p>
          <w:p w14:paraId="5908DABA">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3.针对性：方案能够紧扣项目实际情况，内容科学合理。</w:t>
            </w:r>
          </w:p>
          <w:p w14:paraId="0CA52BE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6C987795">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①室外公共区域保洁服务：每完全满足一项评审标准得1分，满分3分；</w:t>
            </w:r>
          </w:p>
          <w:p w14:paraId="30221C5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②展览区域和办公区域保洁服务：每完全满足一项评审标准得1分，满分 3分；</w:t>
            </w:r>
          </w:p>
          <w:p w14:paraId="0D5DB69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③卫生间保洁服务：每完全满足一项评审标准得1分，满3分。</w:t>
            </w:r>
          </w:p>
        </w:tc>
        <w:tc>
          <w:tcPr>
            <w:tcW w:w="246" w:type="pct"/>
            <w:noWrap w:val="0"/>
            <w:vAlign w:val="center"/>
          </w:tcPr>
          <w:p w14:paraId="55162C9D">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71C4DD0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31AA1D6E">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4</w:t>
            </w:r>
          </w:p>
        </w:tc>
        <w:tc>
          <w:tcPr>
            <w:tcW w:w="346" w:type="pct"/>
            <w:noWrap w:val="0"/>
            <w:vAlign w:val="center"/>
          </w:tcPr>
          <w:p w14:paraId="342C7537">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绿化养护服务方案</w:t>
            </w:r>
          </w:p>
          <w:p w14:paraId="68F1D1D3">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p>
        </w:tc>
        <w:tc>
          <w:tcPr>
            <w:tcW w:w="412" w:type="pct"/>
            <w:noWrap w:val="0"/>
            <w:vAlign w:val="center"/>
          </w:tcPr>
          <w:p w14:paraId="0148DF20">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9</w:t>
            </w:r>
          </w:p>
          <w:p w14:paraId="322682FB">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p>
        </w:tc>
        <w:tc>
          <w:tcPr>
            <w:tcW w:w="3647" w:type="pct"/>
            <w:noWrap w:val="0"/>
            <w:vAlign w:val="top"/>
          </w:tcPr>
          <w:p w14:paraId="25B09B04">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3145737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针对本项目提出绿化养护服务方案，方案内容包含①绿化服务的工作计划②室内外绿化养护③绿化垃圾的处理。</w:t>
            </w:r>
          </w:p>
          <w:p w14:paraId="2ADE5110">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16A0771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1.完整性：方案须全面，对评审内容中的各项要求有详细描述及说明；</w:t>
            </w:r>
          </w:p>
          <w:p w14:paraId="633210D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2.可实施性：切合本项目实际情况，实施步骤清晰、合理；</w:t>
            </w:r>
          </w:p>
          <w:p w14:paraId="0539236E">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3.针对性：方案能够紧扣项目实际情况，内容科学合理。</w:t>
            </w:r>
          </w:p>
          <w:p w14:paraId="7C23FF89">
            <w:pPr>
              <w:pageBreakBefore w:val="0"/>
              <w:wordWrap w:val="0"/>
              <w:spacing w:before="0" w:after="0" w:line="360" w:lineRule="auto"/>
              <w:ind w:left="0" w:right="0" w:firstLine="0"/>
              <w:jc w:val="both"/>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三、赋分标准</w:t>
            </w:r>
          </w:p>
          <w:p w14:paraId="1EF9AF5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①绿化服务的工作计划：每完全满足一项评审标准得1分，满分3分；</w:t>
            </w:r>
          </w:p>
          <w:p w14:paraId="7E50D21F">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②室内外绿化养护：每完全满足一项评审标准得1分，满分3分；</w:t>
            </w:r>
          </w:p>
          <w:p w14:paraId="15996E5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③绿化垃圾的处理：每完全满足一项评审标准得1分，满分3分。</w:t>
            </w:r>
          </w:p>
        </w:tc>
        <w:tc>
          <w:tcPr>
            <w:tcW w:w="246" w:type="pct"/>
            <w:noWrap w:val="0"/>
            <w:vAlign w:val="center"/>
          </w:tcPr>
          <w:p w14:paraId="1D27A091">
            <w:pPr>
              <w:pageBreakBefore w:val="0"/>
              <w:wordWrap w:val="0"/>
              <w:spacing w:before="0" w:after="0" w:line="360" w:lineRule="auto"/>
              <w:ind w:left="0" w:right="0" w:firstLine="0"/>
              <w:jc w:val="both"/>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 xml:space="preserve"> </w:t>
            </w:r>
          </w:p>
          <w:p w14:paraId="1CB29D97">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165B6A7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13F0089E">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5</w:t>
            </w:r>
          </w:p>
        </w:tc>
        <w:tc>
          <w:tcPr>
            <w:tcW w:w="346" w:type="pct"/>
            <w:noWrap w:val="0"/>
            <w:vAlign w:val="center"/>
          </w:tcPr>
          <w:p w14:paraId="36837590">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安保及安防管理方案</w:t>
            </w:r>
          </w:p>
        </w:tc>
        <w:tc>
          <w:tcPr>
            <w:tcW w:w="412" w:type="pct"/>
            <w:noWrap w:val="0"/>
            <w:vAlign w:val="center"/>
          </w:tcPr>
          <w:p w14:paraId="7A3970BE">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9</w:t>
            </w:r>
          </w:p>
        </w:tc>
        <w:tc>
          <w:tcPr>
            <w:tcW w:w="3647" w:type="pct"/>
            <w:noWrap w:val="0"/>
            <w:vAlign w:val="top"/>
          </w:tcPr>
          <w:p w14:paraId="11BEA92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2682D9B5">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针对本项目提出秩序维护管理方案，方案内容包含①延安</w:t>
            </w:r>
            <w:r>
              <w:rPr>
                <w:rFonts w:hint="eastAsia" w:ascii="华文仿宋" w:hAnsi="华文仿宋" w:eastAsia="华文仿宋" w:cs="华文仿宋"/>
                <w:b w:val="0"/>
                <w:i w:val="0"/>
                <w:color w:val="000000"/>
                <w:spacing w:val="0"/>
                <w:sz w:val="28"/>
                <w:szCs w:val="28"/>
                <w:lang w:val="en-US" w:eastAsia="zh-CN"/>
              </w:rPr>
              <w:t>王家坪</w:t>
            </w:r>
            <w:r>
              <w:rPr>
                <w:rFonts w:hint="eastAsia" w:ascii="华文仿宋" w:hAnsi="华文仿宋" w:eastAsia="华文仿宋" w:cs="华文仿宋"/>
                <w:b w:val="0"/>
                <w:i w:val="0"/>
                <w:color w:val="000000"/>
                <w:spacing w:val="0"/>
                <w:sz w:val="28"/>
                <w:szCs w:val="28"/>
              </w:rPr>
              <w:t>革命旧址管理处秩序维护及安防②监控系统管理③消防报警及联动系统。</w:t>
            </w:r>
          </w:p>
          <w:p w14:paraId="2218205F">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188C0A3C">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1.完整性：方案须全面，对评审内容中的各项要求有详细描述及说明；</w:t>
            </w:r>
          </w:p>
          <w:p w14:paraId="4396F84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2.可实施性：切合本项目实际情况，实施步骤清晰、合理；</w:t>
            </w:r>
          </w:p>
          <w:p w14:paraId="7BFDA829">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3.针对性：方案能够紧扣项目实际情况，内容科学合理。</w:t>
            </w:r>
          </w:p>
          <w:p w14:paraId="44CED169">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050A2D6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①延安</w:t>
            </w:r>
            <w:r>
              <w:rPr>
                <w:rFonts w:hint="eastAsia" w:ascii="华文仿宋" w:hAnsi="华文仿宋" w:eastAsia="华文仿宋" w:cs="华文仿宋"/>
                <w:b w:val="0"/>
                <w:i w:val="0"/>
                <w:color w:val="000000"/>
                <w:spacing w:val="0"/>
                <w:sz w:val="28"/>
                <w:szCs w:val="28"/>
                <w:lang w:val="en-US" w:eastAsia="zh-CN"/>
              </w:rPr>
              <w:t>王家坪</w:t>
            </w:r>
            <w:r>
              <w:rPr>
                <w:rFonts w:hint="eastAsia" w:ascii="华文仿宋" w:hAnsi="华文仿宋" w:eastAsia="华文仿宋" w:cs="华文仿宋"/>
                <w:b w:val="0"/>
                <w:i w:val="0"/>
                <w:color w:val="000000"/>
                <w:spacing w:val="0"/>
                <w:sz w:val="28"/>
                <w:szCs w:val="28"/>
              </w:rPr>
              <w:t>革命旧址管理处秩序维护：每完全满足一项评审标准得1分，满分3分；</w:t>
            </w:r>
          </w:p>
          <w:p w14:paraId="60C093B7">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②监控系统管理：每完全满足一项评审标准得1分，满分3分</w:t>
            </w:r>
          </w:p>
          <w:p w14:paraId="17E5448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③消防报警及联动系统：每完全满足一项评审标准得1分，满分3分。</w:t>
            </w:r>
          </w:p>
        </w:tc>
        <w:tc>
          <w:tcPr>
            <w:tcW w:w="246" w:type="pct"/>
            <w:noWrap w:val="0"/>
            <w:vAlign w:val="center"/>
          </w:tcPr>
          <w:p w14:paraId="3F2DCF0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1D7BC3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3E54B209">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6</w:t>
            </w:r>
          </w:p>
        </w:tc>
        <w:tc>
          <w:tcPr>
            <w:tcW w:w="346" w:type="pct"/>
            <w:noWrap w:val="0"/>
            <w:vAlign w:val="center"/>
          </w:tcPr>
          <w:p w14:paraId="4E82A77E">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综合服务管理方案</w:t>
            </w:r>
          </w:p>
          <w:p w14:paraId="2A8DC4DD">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p>
        </w:tc>
        <w:tc>
          <w:tcPr>
            <w:tcW w:w="412" w:type="pct"/>
            <w:noWrap w:val="0"/>
            <w:vAlign w:val="center"/>
          </w:tcPr>
          <w:p w14:paraId="646F6847">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15</w:t>
            </w:r>
          </w:p>
          <w:p w14:paraId="73D53398">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p>
        </w:tc>
        <w:tc>
          <w:tcPr>
            <w:tcW w:w="3647" w:type="pct"/>
            <w:noWrap w:val="0"/>
            <w:vAlign w:val="top"/>
          </w:tcPr>
          <w:p w14:paraId="6383EFF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4A0AF31E">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针对本项目提出综合服务管理方案，方案内容包含①给排水设备设施运行维护②供电系统运行管理③空调系统运行维护管理④安防系统运行维护管理⑤会议室服务保障⑥其他设备维护管理。</w:t>
            </w:r>
          </w:p>
          <w:p w14:paraId="18C24AFF">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226C472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1.完整性：方案须全面，对评审内容中的各项要求有详细描述及说明；</w:t>
            </w:r>
          </w:p>
          <w:p w14:paraId="6882F98A">
            <w:pPr>
              <w:pageBreakBefore w:val="0"/>
              <w:wordWrap w:val="0"/>
              <w:spacing w:before="0" w:after="0" w:line="360" w:lineRule="auto"/>
              <w:ind w:left="0" w:right="0" w:firstLine="0"/>
              <w:jc w:val="both"/>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2.可实施性：切合本项目实际情况，实施步骤清晰、合理；</w:t>
            </w:r>
          </w:p>
          <w:p w14:paraId="5064D337">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3.针对性：方案能够紧扣项目实际情况，内容科学合理。</w:t>
            </w:r>
          </w:p>
          <w:p w14:paraId="01140DD8">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192C36A8">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①给排水设备设施运行维护：每完全满足一项评审标准得1分，满分3分；</w:t>
            </w:r>
          </w:p>
          <w:p w14:paraId="7C37EABC">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②供电系统运行管理：每完全满足一项评审标准得1分，满分3分；</w:t>
            </w:r>
          </w:p>
          <w:p w14:paraId="5918B09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③空调系统运行维护管理：每完全满足一项评审标准得1分，满分3分；</w:t>
            </w:r>
          </w:p>
          <w:p w14:paraId="11CA14DE">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④安防系统运行维护管理：每完全满足一项评审标准得1分，满分3分；</w:t>
            </w:r>
          </w:p>
          <w:p w14:paraId="513CDFD0">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⑤会议室服务保障：每完全满足一项评审标准得0.5分, 满分1.5分;</w:t>
            </w:r>
          </w:p>
          <w:p w14:paraId="1FF43EAC">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⑥其他设备维护管理：每完全满足一项评审标准得0.5分, 满分 1.5分。</w:t>
            </w:r>
          </w:p>
        </w:tc>
        <w:tc>
          <w:tcPr>
            <w:tcW w:w="246" w:type="pct"/>
            <w:noWrap w:val="0"/>
            <w:vAlign w:val="center"/>
          </w:tcPr>
          <w:p w14:paraId="4889C452">
            <w:pPr>
              <w:pageBreakBefore w:val="0"/>
              <w:wordWrap w:val="0"/>
              <w:spacing w:before="0" w:after="0" w:line="360" w:lineRule="auto"/>
              <w:ind w:left="0" w:right="0" w:firstLine="0"/>
              <w:jc w:val="both"/>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 xml:space="preserve"> </w:t>
            </w:r>
          </w:p>
          <w:p w14:paraId="1A9E988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18F9945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4FB0B95C">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7</w:t>
            </w:r>
          </w:p>
        </w:tc>
        <w:tc>
          <w:tcPr>
            <w:tcW w:w="346" w:type="pct"/>
            <w:noWrap w:val="0"/>
            <w:vAlign w:val="center"/>
          </w:tcPr>
          <w:p w14:paraId="1A691E61">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机构建设方案</w:t>
            </w:r>
          </w:p>
        </w:tc>
        <w:tc>
          <w:tcPr>
            <w:tcW w:w="412" w:type="pct"/>
            <w:noWrap w:val="0"/>
            <w:vAlign w:val="center"/>
          </w:tcPr>
          <w:p w14:paraId="6E98E6BC">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6</w:t>
            </w:r>
          </w:p>
        </w:tc>
        <w:tc>
          <w:tcPr>
            <w:tcW w:w="3647" w:type="pct"/>
            <w:noWrap w:val="0"/>
            <w:vAlign w:val="top"/>
          </w:tcPr>
          <w:p w14:paraId="5CA8DA2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206E097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根据办公区物业服务工作特点提供机构建设方案，方案内容包括：①人员配置②专业服务团队人员的职能分工。</w:t>
            </w:r>
          </w:p>
          <w:p w14:paraId="22C28E8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19F5BB7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1.完整性：方案必须全面，对评审内容中的各项要求有详细描述；</w:t>
            </w:r>
          </w:p>
          <w:p w14:paraId="659881B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2.可实施性：切合本项目实际情况，提出步骤清晰、合理的方案；</w:t>
            </w:r>
          </w:p>
          <w:p w14:paraId="22DA228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3.针对性：方案能够紧扣标段实际情况，内容科学合理。</w:t>
            </w:r>
          </w:p>
          <w:p w14:paraId="73220369">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32E0F51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①人员配置：每完全满足一个评审标准得1分，满分3分;</w:t>
            </w:r>
          </w:p>
          <w:p w14:paraId="31362DB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②专业服务团队人员的职能分工：每完全满足一个评审标准得1分，满分3分。</w:t>
            </w:r>
          </w:p>
        </w:tc>
        <w:tc>
          <w:tcPr>
            <w:tcW w:w="246" w:type="pct"/>
            <w:noWrap w:val="0"/>
            <w:vAlign w:val="center"/>
          </w:tcPr>
          <w:p w14:paraId="71A49A5C">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76FCA27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258F7480">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8</w:t>
            </w:r>
          </w:p>
        </w:tc>
        <w:tc>
          <w:tcPr>
            <w:tcW w:w="346" w:type="pct"/>
            <w:noWrap w:val="0"/>
            <w:vAlign w:val="center"/>
          </w:tcPr>
          <w:p w14:paraId="7DE1DE6D">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管理制度</w:t>
            </w:r>
          </w:p>
          <w:p w14:paraId="238336CD">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p>
        </w:tc>
        <w:tc>
          <w:tcPr>
            <w:tcW w:w="412" w:type="pct"/>
            <w:noWrap w:val="0"/>
            <w:vAlign w:val="center"/>
          </w:tcPr>
          <w:p w14:paraId="36781A86">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4.5</w:t>
            </w:r>
          </w:p>
        </w:tc>
        <w:tc>
          <w:tcPr>
            <w:tcW w:w="3647" w:type="pct"/>
            <w:noWrap w:val="0"/>
            <w:vAlign w:val="center"/>
          </w:tcPr>
          <w:p w14:paraId="4F80C70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62EB6948">
            <w:pPr>
              <w:pageBreakBefore w:val="0"/>
              <w:wordWrap w:val="0"/>
              <w:spacing w:before="0" w:after="0" w:line="360" w:lineRule="auto"/>
              <w:ind w:left="0" w:right="0" w:firstLine="0"/>
              <w:jc w:val="both"/>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针对本项目具有良好的管理制度，制度内容包含①岗位要求：具有岗位职责、服务质量标准、作业流程及相关记录②内控制度：具有保密制度、廉洁敬业制度、监督机制、自查制度③人员管理制度：具有员工日常</w:t>
            </w:r>
          </w:p>
          <w:p w14:paraId="11390FF7">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管理制度、请销假制度、奖惩措施、激励机制、仪容仪表制度。</w:t>
            </w:r>
          </w:p>
          <w:p w14:paraId="47E81D8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49E3BF99">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1.完整性：方案须全面，对评审内容中的各项要求有详细描述及说明；</w:t>
            </w:r>
          </w:p>
          <w:p w14:paraId="5A369375">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2.可实施性：切合本项目实际情况，步骤清晰、合理，操作性强；</w:t>
            </w:r>
          </w:p>
          <w:p w14:paraId="44C58A5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3.针对性：方案能够紧扣项目实际情况，内容科学合理。</w:t>
            </w:r>
          </w:p>
          <w:p w14:paraId="3047F67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57FCD19A">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①岗位要求：每完全满足一项评审标准得</w:t>
            </w:r>
            <w:r>
              <w:rPr>
                <w:rFonts w:hint="eastAsia" w:ascii="华文仿宋" w:hAnsi="华文仿宋" w:eastAsia="华文仿宋" w:cs="华文仿宋"/>
                <w:b w:val="0"/>
                <w:i w:val="0"/>
                <w:color w:val="000000"/>
                <w:spacing w:val="0"/>
                <w:sz w:val="28"/>
                <w:szCs w:val="28"/>
                <w:lang w:val="en-US" w:eastAsia="zh-CN"/>
              </w:rPr>
              <w:t>0.5</w:t>
            </w:r>
            <w:r>
              <w:rPr>
                <w:rFonts w:hint="eastAsia" w:ascii="华文仿宋" w:hAnsi="华文仿宋" w:eastAsia="华文仿宋" w:cs="华文仿宋"/>
                <w:b w:val="0"/>
                <w:i w:val="0"/>
                <w:color w:val="000000"/>
                <w:spacing w:val="0"/>
                <w:sz w:val="28"/>
                <w:szCs w:val="28"/>
              </w:rPr>
              <w:t>分，满分</w:t>
            </w:r>
            <w:r>
              <w:rPr>
                <w:rFonts w:hint="eastAsia" w:ascii="华文仿宋" w:hAnsi="华文仿宋" w:eastAsia="华文仿宋" w:cs="华文仿宋"/>
                <w:b w:val="0"/>
                <w:i w:val="0"/>
                <w:color w:val="000000"/>
                <w:spacing w:val="0"/>
                <w:sz w:val="28"/>
                <w:szCs w:val="28"/>
                <w:lang w:val="en-US" w:eastAsia="zh-CN"/>
              </w:rPr>
              <w:t>1.5</w:t>
            </w:r>
            <w:r>
              <w:rPr>
                <w:rFonts w:hint="eastAsia" w:ascii="华文仿宋" w:hAnsi="华文仿宋" w:eastAsia="华文仿宋" w:cs="华文仿宋"/>
                <w:b w:val="0"/>
                <w:i w:val="0"/>
                <w:color w:val="000000"/>
                <w:spacing w:val="0"/>
                <w:sz w:val="28"/>
                <w:szCs w:val="28"/>
              </w:rPr>
              <w:t>分;</w:t>
            </w:r>
          </w:p>
          <w:p w14:paraId="1F46F9D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②内控制度：每完全满足一项评审标准得</w:t>
            </w:r>
            <w:r>
              <w:rPr>
                <w:rFonts w:hint="eastAsia" w:ascii="华文仿宋" w:hAnsi="华文仿宋" w:eastAsia="华文仿宋" w:cs="华文仿宋"/>
                <w:b w:val="0"/>
                <w:i w:val="0"/>
                <w:color w:val="000000"/>
                <w:spacing w:val="0"/>
                <w:sz w:val="28"/>
                <w:szCs w:val="28"/>
                <w:lang w:val="en-US" w:eastAsia="zh-CN"/>
              </w:rPr>
              <w:t>0.5</w:t>
            </w:r>
            <w:r>
              <w:rPr>
                <w:rFonts w:hint="eastAsia" w:ascii="华文仿宋" w:hAnsi="华文仿宋" w:eastAsia="华文仿宋" w:cs="华文仿宋"/>
                <w:b w:val="0"/>
                <w:i w:val="0"/>
                <w:color w:val="000000"/>
                <w:spacing w:val="0"/>
                <w:sz w:val="28"/>
                <w:szCs w:val="28"/>
              </w:rPr>
              <w:t>分，满分</w:t>
            </w:r>
            <w:r>
              <w:rPr>
                <w:rFonts w:hint="eastAsia" w:ascii="华文仿宋" w:hAnsi="华文仿宋" w:eastAsia="华文仿宋" w:cs="华文仿宋"/>
                <w:b w:val="0"/>
                <w:i w:val="0"/>
                <w:color w:val="000000"/>
                <w:spacing w:val="0"/>
                <w:sz w:val="28"/>
                <w:szCs w:val="28"/>
                <w:lang w:val="en-US" w:eastAsia="zh-CN"/>
              </w:rPr>
              <w:t>1.5</w:t>
            </w:r>
            <w:r>
              <w:rPr>
                <w:rFonts w:hint="eastAsia" w:ascii="华文仿宋" w:hAnsi="华文仿宋" w:eastAsia="华文仿宋" w:cs="华文仿宋"/>
                <w:b w:val="0"/>
                <w:i w:val="0"/>
                <w:color w:val="000000"/>
                <w:spacing w:val="0"/>
                <w:sz w:val="28"/>
                <w:szCs w:val="28"/>
              </w:rPr>
              <w:t>分;</w:t>
            </w:r>
          </w:p>
          <w:p w14:paraId="22BE1B5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③人员管理制度：每完全满足一项评审标准得</w:t>
            </w:r>
            <w:r>
              <w:rPr>
                <w:rFonts w:hint="eastAsia" w:ascii="华文仿宋" w:hAnsi="华文仿宋" w:eastAsia="华文仿宋" w:cs="华文仿宋"/>
                <w:b w:val="0"/>
                <w:i w:val="0"/>
                <w:color w:val="000000"/>
                <w:spacing w:val="0"/>
                <w:sz w:val="28"/>
                <w:szCs w:val="28"/>
                <w:lang w:val="en-US" w:eastAsia="zh-CN"/>
              </w:rPr>
              <w:t>0.5</w:t>
            </w:r>
            <w:r>
              <w:rPr>
                <w:rFonts w:hint="eastAsia" w:ascii="华文仿宋" w:hAnsi="华文仿宋" w:eastAsia="华文仿宋" w:cs="华文仿宋"/>
                <w:b w:val="0"/>
                <w:i w:val="0"/>
                <w:color w:val="000000"/>
                <w:spacing w:val="0"/>
                <w:sz w:val="28"/>
                <w:szCs w:val="28"/>
              </w:rPr>
              <w:t>分，满分</w:t>
            </w:r>
            <w:r>
              <w:rPr>
                <w:rFonts w:hint="eastAsia" w:ascii="华文仿宋" w:hAnsi="华文仿宋" w:eastAsia="华文仿宋" w:cs="华文仿宋"/>
                <w:b w:val="0"/>
                <w:i w:val="0"/>
                <w:color w:val="000000"/>
                <w:spacing w:val="0"/>
                <w:sz w:val="28"/>
                <w:szCs w:val="28"/>
                <w:lang w:val="en-US" w:eastAsia="zh-CN"/>
              </w:rPr>
              <w:t>1.5</w:t>
            </w:r>
            <w:r>
              <w:rPr>
                <w:rFonts w:hint="eastAsia" w:ascii="华文仿宋" w:hAnsi="华文仿宋" w:eastAsia="华文仿宋" w:cs="华文仿宋"/>
                <w:b w:val="0"/>
                <w:i w:val="0"/>
                <w:color w:val="000000"/>
                <w:spacing w:val="0"/>
                <w:sz w:val="28"/>
                <w:szCs w:val="28"/>
              </w:rPr>
              <w:t>分。</w:t>
            </w:r>
          </w:p>
        </w:tc>
        <w:tc>
          <w:tcPr>
            <w:tcW w:w="246" w:type="pct"/>
            <w:noWrap w:val="0"/>
            <w:vAlign w:val="center"/>
          </w:tcPr>
          <w:p w14:paraId="1F29B64E">
            <w:pPr>
              <w:pageBreakBefore w:val="0"/>
              <w:wordWrap w:val="0"/>
              <w:spacing w:before="0" w:after="0" w:line="360" w:lineRule="auto"/>
              <w:ind w:left="0" w:right="0" w:firstLine="0"/>
              <w:jc w:val="both"/>
              <w:textAlignment w:val="baseline"/>
              <w:rPr>
                <w:rFonts w:hint="eastAsia" w:ascii="华文仿宋" w:hAnsi="华文仿宋" w:eastAsia="华文仿宋" w:cs="华文仿宋"/>
                <w:b w:val="0"/>
                <w:i w:val="0"/>
                <w:color w:val="000000"/>
                <w:spacing w:val="0"/>
                <w:sz w:val="28"/>
                <w:szCs w:val="28"/>
              </w:rPr>
            </w:pPr>
            <w:r>
              <w:rPr>
                <w:rFonts w:hint="eastAsia" w:ascii="华文仿宋" w:hAnsi="华文仿宋" w:eastAsia="华文仿宋" w:cs="华文仿宋"/>
                <w:b w:val="0"/>
                <w:i w:val="0"/>
                <w:color w:val="000000"/>
                <w:spacing w:val="0"/>
                <w:sz w:val="28"/>
                <w:szCs w:val="28"/>
              </w:rPr>
              <w:t xml:space="preserve"> </w:t>
            </w:r>
          </w:p>
          <w:p w14:paraId="4B95B6B9">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6C08E88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6FC40226">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9</w:t>
            </w:r>
          </w:p>
        </w:tc>
        <w:tc>
          <w:tcPr>
            <w:tcW w:w="346" w:type="pct"/>
            <w:noWrap w:val="0"/>
            <w:vAlign w:val="center"/>
          </w:tcPr>
          <w:p w14:paraId="397D853A">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应急预案</w:t>
            </w:r>
          </w:p>
        </w:tc>
        <w:tc>
          <w:tcPr>
            <w:tcW w:w="412" w:type="pct"/>
            <w:noWrap w:val="0"/>
            <w:vAlign w:val="center"/>
          </w:tcPr>
          <w:p w14:paraId="091D94BE">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lang w:val="en-US" w:eastAsia="zh-CN"/>
              </w:rPr>
            </w:pPr>
            <w:r>
              <w:rPr>
                <w:rFonts w:hint="eastAsia" w:ascii="华文仿宋" w:hAnsi="华文仿宋" w:eastAsia="华文仿宋" w:cs="华文仿宋"/>
                <w:b w:val="0"/>
                <w:i w:val="0"/>
                <w:color w:val="000000"/>
                <w:spacing w:val="0"/>
                <w:sz w:val="28"/>
                <w:szCs w:val="28"/>
                <w:lang w:val="en-US" w:eastAsia="zh-CN"/>
              </w:rPr>
              <w:t>4.5</w:t>
            </w:r>
          </w:p>
        </w:tc>
        <w:tc>
          <w:tcPr>
            <w:tcW w:w="3647" w:type="pct"/>
            <w:noWrap w:val="0"/>
            <w:vAlign w:val="top"/>
          </w:tcPr>
          <w:p w14:paraId="5247174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363BFF18">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针对本项目特点提供应急预案，预案内容包含①自然极端天气的预防与处置：暴雨、暴雪、雷电、冰凌、大风、大雾、地震②紧急情况的预防处置：供电系统故障、给排水系统故障、防火③突发事件的预防及处置：盗窃、寻衅滋事、违法等事件。</w:t>
            </w:r>
          </w:p>
          <w:p w14:paraId="203112C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17D9603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1.完整性：方案须全面，对评审内容中的各项要求有详细描述及说明；</w:t>
            </w:r>
          </w:p>
          <w:p w14:paraId="4272BA2A">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2.可实施性：切合本项目实际情况，步骤清晰、合理，操作性强；</w:t>
            </w:r>
          </w:p>
          <w:p w14:paraId="6A4A967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3.针对性：方案能够紧扣项目实际情况，内容科学合理。</w:t>
            </w:r>
          </w:p>
          <w:p w14:paraId="1A32494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0460E32E">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①自然极端天气的预防与处置：每完全满足一项评审标准得</w:t>
            </w:r>
            <w:r>
              <w:rPr>
                <w:rFonts w:hint="eastAsia" w:ascii="华文仿宋" w:hAnsi="华文仿宋" w:eastAsia="华文仿宋" w:cs="华文仿宋"/>
                <w:b w:val="0"/>
                <w:i w:val="0"/>
                <w:color w:val="000000"/>
                <w:spacing w:val="0"/>
                <w:sz w:val="28"/>
                <w:szCs w:val="28"/>
                <w:lang w:val="en-US" w:eastAsia="zh-CN"/>
              </w:rPr>
              <w:t>0.5</w:t>
            </w:r>
            <w:r>
              <w:rPr>
                <w:rFonts w:hint="eastAsia" w:ascii="华文仿宋" w:hAnsi="华文仿宋" w:eastAsia="华文仿宋" w:cs="华文仿宋"/>
                <w:b w:val="0"/>
                <w:i w:val="0"/>
                <w:color w:val="000000"/>
                <w:spacing w:val="0"/>
                <w:sz w:val="28"/>
                <w:szCs w:val="28"/>
              </w:rPr>
              <w:t>分，满分</w:t>
            </w:r>
            <w:r>
              <w:rPr>
                <w:rFonts w:hint="eastAsia" w:ascii="华文仿宋" w:hAnsi="华文仿宋" w:eastAsia="华文仿宋" w:cs="华文仿宋"/>
                <w:b w:val="0"/>
                <w:i w:val="0"/>
                <w:color w:val="000000"/>
                <w:spacing w:val="0"/>
                <w:sz w:val="28"/>
                <w:szCs w:val="28"/>
                <w:lang w:val="en-US" w:eastAsia="zh-CN"/>
              </w:rPr>
              <w:t>1.5</w:t>
            </w:r>
            <w:r>
              <w:rPr>
                <w:rFonts w:hint="eastAsia" w:ascii="华文仿宋" w:hAnsi="华文仿宋" w:eastAsia="华文仿宋" w:cs="华文仿宋"/>
                <w:b w:val="0"/>
                <w:i w:val="0"/>
                <w:color w:val="000000"/>
                <w:spacing w:val="0"/>
                <w:sz w:val="28"/>
                <w:szCs w:val="28"/>
              </w:rPr>
              <w:t>分；</w:t>
            </w:r>
          </w:p>
          <w:p w14:paraId="30D7E0CE">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②紧急情况的预防处置：每完全满足一项评审标准得</w:t>
            </w:r>
            <w:r>
              <w:rPr>
                <w:rFonts w:hint="eastAsia" w:ascii="华文仿宋" w:hAnsi="华文仿宋" w:eastAsia="华文仿宋" w:cs="华文仿宋"/>
                <w:b w:val="0"/>
                <w:i w:val="0"/>
                <w:color w:val="000000"/>
                <w:spacing w:val="0"/>
                <w:sz w:val="28"/>
                <w:szCs w:val="28"/>
                <w:lang w:val="en-US" w:eastAsia="zh-CN"/>
              </w:rPr>
              <w:t>0.5</w:t>
            </w:r>
            <w:r>
              <w:rPr>
                <w:rFonts w:hint="eastAsia" w:ascii="华文仿宋" w:hAnsi="华文仿宋" w:eastAsia="华文仿宋" w:cs="华文仿宋"/>
                <w:b w:val="0"/>
                <w:i w:val="0"/>
                <w:color w:val="000000"/>
                <w:spacing w:val="0"/>
                <w:sz w:val="28"/>
                <w:szCs w:val="28"/>
              </w:rPr>
              <w:t>分，满分</w:t>
            </w:r>
            <w:r>
              <w:rPr>
                <w:rFonts w:hint="eastAsia" w:ascii="华文仿宋" w:hAnsi="华文仿宋" w:eastAsia="华文仿宋" w:cs="华文仿宋"/>
                <w:b w:val="0"/>
                <w:i w:val="0"/>
                <w:color w:val="000000"/>
                <w:spacing w:val="0"/>
                <w:sz w:val="28"/>
                <w:szCs w:val="28"/>
                <w:lang w:val="en-US" w:eastAsia="zh-CN"/>
              </w:rPr>
              <w:t>1.5</w:t>
            </w:r>
            <w:r>
              <w:rPr>
                <w:rFonts w:hint="eastAsia" w:ascii="华文仿宋" w:hAnsi="华文仿宋" w:eastAsia="华文仿宋" w:cs="华文仿宋"/>
                <w:b w:val="0"/>
                <w:i w:val="0"/>
                <w:color w:val="000000"/>
                <w:spacing w:val="0"/>
                <w:sz w:val="28"/>
                <w:szCs w:val="28"/>
              </w:rPr>
              <w:t>分；</w:t>
            </w:r>
          </w:p>
          <w:p w14:paraId="1C3AFD4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③突发事件的预防及处置：每完全满足一项评审标准得</w:t>
            </w:r>
            <w:r>
              <w:rPr>
                <w:rFonts w:hint="eastAsia" w:ascii="华文仿宋" w:hAnsi="华文仿宋" w:eastAsia="华文仿宋" w:cs="华文仿宋"/>
                <w:b w:val="0"/>
                <w:i w:val="0"/>
                <w:color w:val="000000"/>
                <w:spacing w:val="0"/>
                <w:sz w:val="28"/>
                <w:szCs w:val="28"/>
                <w:lang w:val="en-US" w:eastAsia="zh-CN"/>
              </w:rPr>
              <w:t>0.5</w:t>
            </w:r>
            <w:r>
              <w:rPr>
                <w:rFonts w:hint="eastAsia" w:ascii="华文仿宋" w:hAnsi="华文仿宋" w:eastAsia="华文仿宋" w:cs="华文仿宋"/>
                <w:b w:val="0"/>
                <w:i w:val="0"/>
                <w:color w:val="000000"/>
                <w:spacing w:val="0"/>
                <w:sz w:val="28"/>
                <w:szCs w:val="28"/>
              </w:rPr>
              <w:t>分，满分</w:t>
            </w:r>
            <w:r>
              <w:rPr>
                <w:rFonts w:hint="eastAsia" w:ascii="华文仿宋" w:hAnsi="华文仿宋" w:eastAsia="华文仿宋" w:cs="华文仿宋"/>
                <w:b w:val="0"/>
                <w:i w:val="0"/>
                <w:color w:val="000000"/>
                <w:spacing w:val="0"/>
                <w:sz w:val="28"/>
                <w:szCs w:val="28"/>
                <w:lang w:val="en-US" w:eastAsia="zh-CN"/>
              </w:rPr>
              <w:t>1.5</w:t>
            </w:r>
            <w:r>
              <w:rPr>
                <w:rFonts w:hint="eastAsia" w:ascii="华文仿宋" w:hAnsi="华文仿宋" w:eastAsia="华文仿宋" w:cs="华文仿宋"/>
                <w:b w:val="0"/>
                <w:i w:val="0"/>
                <w:color w:val="000000"/>
                <w:spacing w:val="0"/>
                <w:sz w:val="28"/>
                <w:szCs w:val="28"/>
              </w:rPr>
              <w:t>分。</w:t>
            </w:r>
          </w:p>
        </w:tc>
        <w:tc>
          <w:tcPr>
            <w:tcW w:w="246" w:type="pct"/>
            <w:noWrap w:val="0"/>
            <w:vAlign w:val="center"/>
          </w:tcPr>
          <w:p w14:paraId="263AE404">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3C5F49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2D609697">
            <w:pPr>
              <w:pageBreakBefore w:val="0"/>
              <w:wordWrap w:val="0"/>
              <w:spacing w:before="0" w:after="0" w:line="360" w:lineRule="auto"/>
              <w:ind w:left="0" w:right="0" w:firstLine="0"/>
              <w:jc w:val="center"/>
              <w:textAlignment w:val="baseline"/>
              <w:rPr>
                <w:rFonts w:hint="default"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10</w:t>
            </w:r>
          </w:p>
        </w:tc>
        <w:tc>
          <w:tcPr>
            <w:tcW w:w="346" w:type="pct"/>
            <w:noWrap w:val="0"/>
            <w:vAlign w:val="center"/>
          </w:tcPr>
          <w:p w14:paraId="73ED5BD4">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培训考核方案</w:t>
            </w:r>
          </w:p>
        </w:tc>
        <w:tc>
          <w:tcPr>
            <w:tcW w:w="412" w:type="pct"/>
            <w:noWrap w:val="0"/>
            <w:vAlign w:val="center"/>
          </w:tcPr>
          <w:p w14:paraId="4A239FB7">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4.5</w:t>
            </w:r>
          </w:p>
        </w:tc>
        <w:tc>
          <w:tcPr>
            <w:tcW w:w="3647" w:type="pct"/>
            <w:noWrap w:val="0"/>
            <w:vAlign w:val="top"/>
          </w:tcPr>
          <w:p w14:paraId="6CE9783A">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125B430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根据本项目制定详细、可行的培训考核方案，保证上岗人员的专业素质、服务质量符合采购人要求，方案内容包含：①岗前培训②定期常态化培训③培训后的考核及奖惩措施。</w:t>
            </w:r>
          </w:p>
          <w:p w14:paraId="4D790A9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1CB90114">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1.完整性：方案必须全面，对评审内容中的各项要求有详细描述；</w:t>
            </w:r>
          </w:p>
          <w:p w14:paraId="36C42FE8">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2.可实施性：切合本项目实际情况，提出步骤清晰、合理的方案；</w:t>
            </w:r>
          </w:p>
          <w:p w14:paraId="09B0BC18">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3.针对性：方案能够紧扣本项目实际情况，内容科学合理。</w:t>
            </w:r>
          </w:p>
          <w:p w14:paraId="62494E6C">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3678A8EF">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①岗前培训：每完全满足一个评审标准得0.5分，满分1.5分;</w:t>
            </w:r>
          </w:p>
          <w:p w14:paraId="76797079">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②定期常态化培训：每完全满足一个评审标准得0.5分, 满分1.5分;</w:t>
            </w:r>
          </w:p>
          <w:p w14:paraId="304F009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③培训后的考核及奖惩措施：每完全满足一个评审标准得0.5分, 满分1.5分。</w:t>
            </w:r>
          </w:p>
        </w:tc>
        <w:tc>
          <w:tcPr>
            <w:tcW w:w="246" w:type="pct"/>
            <w:noWrap w:val="0"/>
            <w:vAlign w:val="center"/>
          </w:tcPr>
          <w:p w14:paraId="548C6B95">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7DE7CE7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35D50168">
            <w:pPr>
              <w:pageBreakBefore w:val="0"/>
              <w:wordWrap w:val="0"/>
              <w:spacing w:before="0" w:after="0" w:line="360" w:lineRule="auto"/>
              <w:ind w:left="0" w:right="0" w:firstLine="0"/>
              <w:jc w:val="center"/>
              <w:textAlignment w:val="baseline"/>
              <w:rPr>
                <w:rFonts w:hint="default"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11</w:t>
            </w:r>
          </w:p>
        </w:tc>
        <w:tc>
          <w:tcPr>
            <w:tcW w:w="346" w:type="pct"/>
            <w:noWrap w:val="0"/>
            <w:vAlign w:val="center"/>
          </w:tcPr>
          <w:p w14:paraId="49199934">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节能降耗方案</w:t>
            </w:r>
          </w:p>
        </w:tc>
        <w:tc>
          <w:tcPr>
            <w:tcW w:w="412" w:type="pct"/>
            <w:noWrap w:val="0"/>
            <w:vAlign w:val="center"/>
          </w:tcPr>
          <w:p w14:paraId="0F1A3636">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w:t>
            </w:r>
          </w:p>
        </w:tc>
        <w:tc>
          <w:tcPr>
            <w:tcW w:w="3647" w:type="pct"/>
            <w:noWrap w:val="0"/>
            <w:vAlign w:val="top"/>
          </w:tcPr>
          <w:p w14:paraId="1F37B24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16B56E08">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根据本项目提出详细的水电等节能降耗方案，内容包括：①节能降耗原则②节能降耗的具体措施。</w:t>
            </w:r>
          </w:p>
          <w:p w14:paraId="089FD6FA">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7FE5AC2A">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1.完整性：方案须全面，对评审内容中的各项要求有详细描述；</w:t>
            </w:r>
          </w:p>
          <w:p w14:paraId="46AF54B3">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2.可实施性：切合本项目实际情况，实施步骤清晰、合理；</w:t>
            </w:r>
          </w:p>
          <w:p w14:paraId="749671A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3.针对性：方案能够紧扣项目实际情况，内容科学合理。</w:t>
            </w:r>
          </w:p>
          <w:p w14:paraId="4472BA6E">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5C9753B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①节能降耗原则：每完全满足一个评审标准得0.5分, 满分1.5分;</w:t>
            </w:r>
          </w:p>
          <w:p w14:paraId="3C48A172">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②节能降耗的具体措施：每完全满足一个评审标准得0.5分, 满分1.5分。</w:t>
            </w:r>
          </w:p>
        </w:tc>
        <w:tc>
          <w:tcPr>
            <w:tcW w:w="246" w:type="pct"/>
            <w:noWrap w:val="0"/>
            <w:vAlign w:val="center"/>
          </w:tcPr>
          <w:p w14:paraId="01B26E1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3AED12C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603CB6DD">
            <w:pPr>
              <w:pageBreakBefore w:val="0"/>
              <w:wordWrap w:val="0"/>
              <w:spacing w:before="0" w:after="0" w:line="360" w:lineRule="auto"/>
              <w:ind w:left="0" w:right="0" w:firstLine="0"/>
              <w:jc w:val="center"/>
              <w:textAlignment w:val="baseline"/>
              <w:rPr>
                <w:rFonts w:hint="default"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12</w:t>
            </w:r>
          </w:p>
        </w:tc>
        <w:tc>
          <w:tcPr>
            <w:tcW w:w="346" w:type="pct"/>
            <w:noWrap w:val="0"/>
            <w:vAlign w:val="center"/>
          </w:tcPr>
          <w:p w14:paraId="0BD0E6B6">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物料配备</w:t>
            </w:r>
          </w:p>
        </w:tc>
        <w:tc>
          <w:tcPr>
            <w:tcW w:w="412" w:type="pct"/>
            <w:noWrap w:val="0"/>
            <w:vAlign w:val="center"/>
          </w:tcPr>
          <w:p w14:paraId="632AFBD8">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w:t>
            </w:r>
          </w:p>
        </w:tc>
        <w:tc>
          <w:tcPr>
            <w:tcW w:w="3647" w:type="pct"/>
            <w:noWrap w:val="0"/>
            <w:vAlign w:val="top"/>
          </w:tcPr>
          <w:p w14:paraId="3E0A4B85">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一、评审内容</w:t>
            </w:r>
          </w:p>
          <w:p w14:paraId="33FF4DA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成交人提供本项目所需要的物料配备清单，应包含：①工作服装和办公设备②清洁工具、劳保用品和消耗品。</w:t>
            </w:r>
          </w:p>
          <w:p w14:paraId="746016A5">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二、评审标准</w:t>
            </w:r>
          </w:p>
          <w:p w14:paraId="1588380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1.完整性：清单必须全面，对评审内容中的各项服装、设备、工具、耗材配置合理；</w:t>
            </w:r>
          </w:p>
          <w:p w14:paraId="12BEC0B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2.实用性：所配备的物料能够切合本项目实际情况，提供质量有保障、使用率高、环保性强、服装统一。</w:t>
            </w:r>
          </w:p>
          <w:p w14:paraId="7ED76F3E">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三、赋分标准</w:t>
            </w:r>
          </w:p>
          <w:p w14:paraId="741B281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①工作服装和办公设备：每完全满足一个评审标准得0.5分, 满分1分;</w:t>
            </w:r>
          </w:p>
          <w:p w14:paraId="5453EC15">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②清洁工具、劳保用品和消耗品：每完全满足一个评审标准得0.5分，满分1分。</w:t>
            </w:r>
          </w:p>
        </w:tc>
        <w:tc>
          <w:tcPr>
            <w:tcW w:w="246" w:type="pct"/>
            <w:noWrap w:val="0"/>
            <w:vAlign w:val="center"/>
          </w:tcPr>
          <w:p w14:paraId="52BED98B">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3CD11BD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20B3F1D6">
            <w:pPr>
              <w:pageBreakBefore w:val="0"/>
              <w:wordWrap w:val="0"/>
              <w:spacing w:before="0" w:after="0" w:line="360" w:lineRule="auto"/>
              <w:ind w:left="0" w:right="0" w:firstLine="0"/>
              <w:jc w:val="center"/>
              <w:textAlignment w:val="baseline"/>
              <w:rPr>
                <w:rFonts w:hint="default"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13</w:t>
            </w:r>
          </w:p>
        </w:tc>
        <w:tc>
          <w:tcPr>
            <w:tcW w:w="346" w:type="pct"/>
            <w:noWrap w:val="0"/>
            <w:vAlign w:val="center"/>
          </w:tcPr>
          <w:p w14:paraId="60DF10A1">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企业业绩</w:t>
            </w:r>
          </w:p>
        </w:tc>
        <w:tc>
          <w:tcPr>
            <w:tcW w:w="412" w:type="pct"/>
            <w:noWrap w:val="0"/>
            <w:vAlign w:val="center"/>
          </w:tcPr>
          <w:p w14:paraId="40D80BD6">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lang w:eastAsia="zh-CN"/>
              </w:rPr>
            </w:pPr>
            <w:r>
              <w:rPr>
                <w:rFonts w:hint="eastAsia" w:ascii="华文仿宋" w:hAnsi="华文仿宋" w:eastAsia="华文仿宋" w:cs="华文仿宋"/>
                <w:b w:val="0"/>
                <w:i w:val="0"/>
                <w:color w:val="000000"/>
                <w:spacing w:val="0"/>
                <w:sz w:val="28"/>
                <w:szCs w:val="28"/>
                <w:lang w:val="en-US" w:eastAsia="zh-CN"/>
              </w:rPr>
              <w:t>4</w:t>
            </w:r>
          </w:p>
        </w:tc>
        <w:tc>
          <w:tcPr>
            <w:tcW w:w="3647" w:type="pct"/>
            <w:noWrap w:val="0"/>
            <w:vAlign w:val="center"/>
          </w:tcPr>
          <w:p w14:paraId="04339B0E">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企业业绩：提供202</w:t>
            </w:r>
            <w:r>
              <w:rPr>
                <w:rFonts w:hint="eastAsia" w:ascii="华文仿宋" w:hAnsi="华文仿宋" w:eastAsia="华文仿宋" w:cs="华文仿宋"/>
                <w:b w:val="0"/>
                <w:i w:val="0"/>
                <w:color w:val="000000"/>
                <w:spacing w:val="0"/>
                <w:sz w:val="28"/>
                <w:szCs w:val="28"/>
                <w:lang w:val="en-US" w:eastAsia="zh-CN"/>
              </w:rPr>
              <w:t>3</w:t>
            </w:r>
            <w:r>
              <w:rPr>
                <w:rFonts w:hint="eastAsia" w:ascii="华文仿宋" w:hAnsi="华文仿宋" w:eastAsia="华文仿宋" w:cs="华文仿宋"/>
                <w:b w:val="0"/>
                <w:i w:val="0"/>
                <w:color w:val="000000"/>
                <w:spacing w:val="0"/>
                <w:sz w:val="28"/>
                <w:szCs w:val="28"/>
              </w:rPr>
              <w:t>年1月1日至今类似项目业绩，以完整合同为准，每提供一份得1分，最多得</w:t>
            </w:r>
            <w:r>
              <w:rPr>
                <w:rFonts w:hint="eastAsia" w:ascii="华文仿宋" w:hAnsi="华文仿宋" w:eastAsia="华文仿宋" w:cs="华文仿宋"/>
                <w:b w:val="0"/>
                <w:i w:val="0"/>
                <w:color w:val="000000"/>
                <w:spacing w:val="0"/>
                <w:sz w:val="28"/>
                <w:szCs w:val="28"/>
                <w:lang w:val="en-US" w:eastAsia="zh-CN"/>
              </w:rPr>
              <w:t>4</w:t>
            </w:r>
            <w:r>
              <w:rPr>
                <w:rFonts w:hint="eastAsia" w:ascii="华文仿宋" w:hAnsi="华文仿宋" w:eastAsia="华文仿宋" w:cs="华文仿宋"/>
                <w:b w:val="0"/>
                <w:i w:val="0"/>
                <w:color w:val="000000"/>
                <w:spacing w:val="0"/>
                <w:sz w:val="28"/>
                <w:szCs w:val="28"/>
              </w:rPr>
              <w:t>分。备注：须提供加盖投标人公章原件的扫描件。</w:t>
            </w:r>
          </w:p>
        </w:tc>
        <w:tc>
          <w:tcPr>
            <w:tcW w:w="246" w:type="pct"/>
            <w:noWrap w:val="0"/>
            <w:vAlign w:val="center"/>
          </w:tcPr>
          <w:p w14:paraId="50A0D805">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51D561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0B4A50AF">
            <w:pPr>
              <w:pageBreakBefore w:val="0"/>
              <w:wordWrap w:val="0"/>
              <w:spacing w:before="0" w:after="0" w:line="360" w:lineRule="auto"/>
              <w:ind w:left="0" w:right="0" w:firstLine="0"/>
              <w:jc w:val="center"/>
              <w:textAlignment w:val="baseline"/>
              <w:rPr>
                <w:rFonts w:hint="default"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14</w:t>
            </w:r>
          </w:p>
        </w:tc>
        <w:tc>
          <w:tcPr>
            <w:tcW w:w="346" w:type="pct"/>
            <w:noWrap w:val="0"/>
            <w:vAlign w:val="center"/>
          </w:tcPr>
          <w:p w14:paraId="5483FFD6">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服务承诺</w:t>
            </w:r>
          </w:p>
        </w:tc>
        <w:tc>
          <w:tcPr>
            <w:tcW w:w="412" w:type="pct"/>
            <w:noWrap w:val="0"/>
            <w:vAlign w:val="center"/>
          </w:tcPr>
          <w:p w14:paraId="5EE7AFB2">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1.5</w:t>
            </w:r>
          </w:p>
        </w:tc>
        <w:tc>
          <w:tcPr>
            <w:tcW w:w="3647" w:type="pct"/>
            <w:noWrap w:val="0"/>
            <w:vAlign w:val="top"/>
          </w:tcPr>
          <w:p w14:paraId="4E5608A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1.承诺：接受采购人对服务的考核、监督及管理，并对服务质量加以改进，确保服务工作的优质高效，得0.5分。无承诺不得分；</w:t>
            </w:r>
          </w:p>
          <w:p w14:paraId="3A8FC1B0">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2.承诺：若人员因事、病不能及时上岗时，请调其他服务人员补充，确保各项服务工作正常进行，得0.5分。无承诺不得分；</w:t>
            </w:r>
          </w:p>
          <w:p w14:paraId="579E8516">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3.承诺：成交人具有足够的可调度人员储备，以应对重大、突发事件等的保洁任务，得0.5分，无承诺不得分。</w:t>
            </w:r>
          </w:p>
        </w:tc>
        <w:tc>
          <w:tcPr>
            <w:tcW w:w="246" w:type="pct"/>
            <w:noWrap w:val="0"/>
            <w:vAlign w:val="center"/>
          </w:tcPr>
          <w:p w14:paraId="224EFD64">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7C20243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14C1CE13">
            <w:pPr>
              <w:pageBreakBefore w:val="0"/>
              <w:wordWrap w:val="0"/>
              <w:spacing w:before="0" w:after="0" w:line="360" w:lineRule="auto"/>
              <w:ind w:left="0" w:right="0" w:firstLine="0"/>
              <w:jc w:val="center"/>
              <w:textAlignment w:val="baseline"/>
              <w:rPr>
                <w:rFonts w:hint="default" w:ascii="华文仿宋" w:hAnsi="华文仿宋" w:eastAsia="华文仿宋" w:cs="华文仿宋"/>
                <w:b w:val="0"/>
                <w:i w:val="0"/>
                <w:color w:val="000000"/>
                <w:spacing w:val="0"/>
                <w:sz w:val="28"/>
                <w:szCs w:val="28"/>
                <w:lang w:val="en-US" w:eastAsia="zh-CN"/>
              </w:rPr>
            </w:pPr>
            <w:r>
              <w:rPr>
                <w:rFonts w:hint="eastAsia" w:ascii="华文仿宋" w:hAnsi="华文仿宋" w:cs="华文仿宋"/>
                <w:b w:val="0"/>
                <w:i w:val="0"/>
                <w:color w:val="000000"/>
                <w:spacing w:val="0"/>
                <w:sz w:val="28"/>
                <w:szCs w:val="28"/>
                <w:lang w:val="en-US" w:eastAsia="zh-CN"/>
              </w:rPr>
              <w:t>15</w:t>
            </w:r>
          </w:p>
        </w:tc>
        <w:tc>
          <w:tcPr>
            <w:tcW w:w="346" w:type="pct"/>
            <w:noWrap w:val="0"/>
            <w:vAlign w:val="center"/>
          </w:tcPr>
          <w:p w14:paraId="07C6F978">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合理化建议</w:t>
            </w:r>
          </w:p>
        </w:tc>
        <w:tc>
          <w:tcPr>
            <w:tcW w:w="412" w:type="pct"/>
            <w:noWrap w:val="0"/>
            <w:vAlign w:val="center"/>
          </w:tcPr>
          <w:p w14:paraId="0B1DA767">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2</w:t>
            </w:r>
          </w:p>
        </w:tc>
        <w:tc>
          <w:tcPr>
            <w:tcW w:w="3647" w:type="pct"/>
            <w:noWrap w:val="0"/>
            <w:vAlign w:val="center"/>
          </w:tcPr>
          <w:p w14:paraId="6E01FF4A">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合理化建议：投标单位针对本项目在服务方面的优势及对本项目的合理化建议，根据投标人提出的建议的实用性、可操作性等进行比较，每个0.5分，最多得2分。</w:t>
            </w:r>
          </w:p>
        </w:tc>
        <w:tc>
          <w:tcPr>
            <w:tcW w:w="246" w:type="pct"/>
            <w:noWrap w:val="0"/>
            <w:vAlign w:val="center"/>
          </w:tcPr>
          <w:p w14:paraId="460EEE41">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r w14:paraId="28B8C87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0" w:hRule="atLeast"/>
        </w:trPr>
        <w:tc>
          <w:tcPr>
            <w:tcW w:w="346" w:type="pct"/>
            <w:noWrap w:val="0"/>
            <w:vAlign w:val="center"/>
          </w:tcPr>
          <w:p w14:paraId="5C1A7D2C">
            <w:pPr>
              <w:pageBreakBefore w:val="0"/>
              <w:wordWrap w:val="0"/>
              <w:spacing w:before="0" w:after="0" w:line="360" w:lineRule="auto"/>
              <w:ind w:left="0" w:right="0" w:firstLine="0"/>
              <w:jc w:val="center"/>
              <w:textAlignment w:val="baseline"/>
              <w:rPr>
                <w:rFonts w:hint="eastAsia" w:ascii="华文仿宋" w:hAnsi="华文仿宋" w:eastAsia="华文仿宋" w:cs="华文仿宋"/>
                <w:b w:val="0"/>
                <w:i w:val="0"/>
                <w:color w:val="000000"/>
                <w:spacing w:val="0"/>
                <w:sz w:val="28"/>
                <w:szCs w:val="28"/>
              </w:rPr>
            </w:pPr>
          </w:p>
        </w:tc>
        <w:tc>
          <w:tcPr>
            <w:tcW w:w="346" w:type="pct"/>
            <w:noWrap w:val="0"/>
            <w:vAlign w:val="center"/>
          </w:tcPr>
          <w:p w14:paraId="4CE28B6F">
            <w:pPr>
              <w:pageBreakBefore w:val="0"/>
              <w:wordWrap w:val="0"/>
              <w:spacing w:before="0" w:after="0" w:line="360" w:lineRule="auto"/>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说明</w:t>
            </w:r>
          </w:p>
        </w:tc>
        <w:tc>
          <w:tcPr>
            <w:tcW w:w="4306" w:type="pct"/>
            <w:gridSpan w:val="3"/>
            <w:noWrap w:val="0"/>
            <w:vAlign w:val="center"/>
          </w:tcPr>
          <w:p w14:paraId="6452726D">
            <w:pPr>
              <w:pageBreakBefore w:val="0"/>
              <w:wordWrap w:val="0"/>
              <w:spacing w:before="0" w:after="0" w:line="360" w:lineRule="auto"/>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磋商小组成员须按照本评审要素据实打分。</w:t>
            </w:r>
          </w:p>
        </w:tc>
      </w:tr>
    </w:tbl>
    <w:p w14:paraId="230218C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17612"/>
      <w:bookmarkStart w:id="124" w:name="_Toc4670"/>
      <w:bookmarkStart w:id="125" w:name="_Toc22712"/>
      <w:bookmarkStart w:id="126" w:name="_Toc30924"/>
      <w:bookmarkStart w:id="127" w:name="_Toc28384"/>
      <w:bookmarkStart w:id="128" w:name="_Toc25855"/>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 xml:space="preserve">1 </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28870"/>
      <w:bookmarkStart w:id="130" w:name="_Toc14009"/>
      <w:bookmarkStart w:id="131" w:name="_Toc10386"/>
      <w:bookmarkStart w:id="132" w:name="_Toc3100"/>
      <w:bookmarkStart w:id="133" w:name="_Toc31537"/>
      <w:bookmarkStart w:id="134" w:name="_Toc20049"/>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1272"/>
      <w:bookmarkStart w:id="136" w:name="_Toc3153"/>
      <w:bookmarkStart w:id="137" w:name="_Toc21906"/>
      <w:bookmarkStart w:id="138" w:name="_Toc864"/>
      <w:bookmarkStart w:id="139" w:name="_Toc16965"/>
      <w:bookmarkStart w:id="140" w:name="_Toc23346"/>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7FA4C120">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3DC9CB46">
      <w:pPr>
        <w:pStyle w:val="5"/>
        <w:rPr>
          <w:rFonts w:hint="eastAsia" w:ascii="华文仿宋" w:hAnsi="华文仿宋" w:cs="华文仿宋"/>
          <w:b w:val="0"/>
          <w:bCs w:val="0"/>
          <w:color w:val="000000"/>
          <w:sz w:val="28"/>
          <w:szCs w:val="28"/>
        </w:rPr>
      </w:pPr>
    </w:p>
    <w:p w14:paraId="5844F85A">
      <w:pPr>
        <w:rPr>
          <w:rFonts w:hint="eastAsia" w:ascii="华文仿宋" w:hAnsi="华文仿宋" w:cs="华文仿宋"/>
          <w:b w:val="0"/>
          <w:bCs w:val="0"/>
          <w:color w:val="000000"/>
          <w:sz w:val="28"/>
          <w:szCs w:val="28"/>
        </w:rPr>
      </w:pPr>
    </w:p>
    <w:p w14:paraId="65765FE6">
      <w:pPr>
        <w:rPr>
          <w:rFonts w:hint="eastAsia" w:ascii="华文仿宋" w:hAnsi="华文仿宋" w:cs="华文仿宋"/>
          <w:b w:val="0"/>
          <w:bCs w:val="0"/>
          <w:color w:val="000000"/>
          <w:sz w:val="28"/>
          <w:szCs w:val="28"/>
        </w:rPr>
      </w:pPr>
    </w:p>
    <w:p w14:paraId="4F8C134B">
      <w:pPr>
        <w:rPr>
          <w:rFonts w:hint="eastAsia" w:ascii="华文仿宋" w:hAnsi="华文仿宋" w:cs="华文仿宋"/>
          <w:b w:val="0"/>
          <w:bCs w:val="0"/>
          <w:color w:val="000000"/>
          <w:sz w:val="28"/>
          <w:szCs w:val="28"/>
        </w:rPr>
      </w:pPr>
    </w:p>
    <w:p w14:paraId="5B9DC863">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ascii="黑体" w:hAnsi="黑体"/>
          <w:b w:val="0"/>
          <w:color w:val="000000"/>
          <w:szCs w:val="32"/>
        </w:rPr>
      </w:pPr>
      <w:bookmarkStart w:id="141" w:name="_Toc10476_WPSOffice_Level1"/>
      <w:bookmarkStart w:id="142" w:name="_Toc10627"/>
      <w:bookmarkStart w:id="143" w:name="_Toc24433"/>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4510BC57">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0D0CEEDB">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采购项目清单</w:t>
      </w:r>
    </w:p>
    <w:tbl>
      <w:tblPr>
        <w:tblStyle w:val="22"/>
        <w:tblW w:w="0" w:type="auto"/>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1120"/>
        <w:gridCol w:w="3780"/>
        <w:gridCol w:w="1720"/>
        <w:gridCol w:w="1620"/>
      </w:tblGrid>
      <w:tr w14:paraId="185170D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480" w:hRule="atLeast"/>
          <w:jc w:val="center"/>
        </w:trPr>
        <w:tc>
          <w:tcPr>
            <w:tcW w:w="1120" w:type="dxa"/>
            <w:noWrap w:val="0"/>
            <w:vAlign w:val="center"/>
          </w:tcPr>
          <w:p w14:paraId="0B4C3D08">
            <w:pPr>
              <w:keepNext w:val="0"/>
              <w:keepLines w:val="0"/>
              <w:pageBreakBefore w:val="0"/>
              <w:widowControl/>
              <w:kinsoku/>
              <w:wordWrap w:val="0"/>
              <w:overflowPunct/>
              <w:topLinePunct w:val="0"/>
              <w:autoSpaceDE/>
              <w:autoSpaceDN/>
              <w:bidi w:val="0"/>
              <w:adjustRightInd/>
              <w:snapToGrid/>
              <w:spacing w:before="0" w:after="0" w:line="560" w:lineRule="exact"/>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序号</w:t>
            </w:r>
          </w:p>
        </w:tc>
        <w:tc>
          <w:tcPr>
            <w:tcW w:w="3780" w:type="dxa"/>
            <w:noWrap w:val="0"/>
            <w:vAlign w:val="center"/>
          </w:tcPr>
          <w:p w14:paraId="3469167A">
            <w:pPr>
              <w:keepNext w:val="0"/>
              <w:keepLines w:val="0"/>
              <w:pageBreakBefore w:val="0"/>
              <w:widowControl/>
              <w:kinsoku/>
              <w:wordWrap w:val="0"/>
              <w:overflowPunct/>
              <w:topLinePunct w:val="0"/>
              <w:autoSpaceDE/>
              <w:autoSpaceDN/>
              <w:bidi w:val="0"/>
              <w:adjustRightInd/>
              <w:snapToGrid/>
              <w:spacing w:before="0" w:after="0" w:line="560" w:lineRule="exact"/>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品名</w:t>
            </w:r>
          </w:p>
        </w:tc>
        <w:tc>
          <w:tcPr>
            <w:tcW w:w="1720" w:type="dxa"/>
            <w:noWrap w:val="0"/>
            <w:vAlign w:val="center"/>
          </w:tcPr>
          <w:p w14:paraId="41CF6121">
            <w:pPr>
              <w:keepNext w:val="0"/>
              <w:keepLines w:val="0"/>
              <w:pageBreakBefore w:val="0"/>
              <w:widowControl/>
              <w:kinsoku/>
              <w:wordWrap w:val="0"/>
              <w:overflowPunct/>
              <w:topLinePunct w:val="0"/>
              <w:autoSpaceDE/>
              <w:autoSpaceDN/>
              <w:bidi w:val="0"/>
              <w:adjustRightInd/>
              <w:snapToGrid/>
              <w:spacing w:before="0" w:after="0" w:line="560" w:lineRule="exact"/>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数量(单位)</w:t>
            </w:r>
          </w:p>
        </w:tc>
        <w:tc>
          <w:tcPr>
            <w:tcW w:w="1620" w:type="dxa"/>
            <w:noWrap w:val="0"/>
            <w:vAlign w:val="center"/>
          </w:tcPr>
          <w:p w14:paraId="5C7B253A">
            <w:pPr>
              <w:keepNext w:val="0"/>
              <w:keepLines w:val="0"/>
              <w:pageBreakBefore w:val="0"/>
              <w:widowControl/>
              <w:kinsoku/>
              <w:wordWrap w:val="0"/>
              <w:overflowPunct/>
              <w:topLinePunct w:val="0"/>
              <w:autoSpaceDE/>
              <w:autoSpaceDN/>
              <w:bidi w:val="0"/>
              <w:adjustRightInd/>
              <w:snapToGrid/>
              <w:spacing w:before="0" w:after="0" w:line="560" w:lineRule="exact"/>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备注</w:t>
            </w:r>
          </w:p>
        </w:tc>
      </w:tr>
      <w:tr w14:paraId="56E111B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1420" w:hRule="atLeast"/>
          <w:jc w:val="center"/>
        </w:trPr>
        <w:tc>
          <w:tcPr>
            <w:tcW w:w="1120" w:type="dxa"/>
            <w:noWrap w:val="0"/>
            <w:vAlign w:val="center"/>
          </w:tcPr>
          <w:p w14:paraId="334D623C">
            <w:pPr>
              <w:keepNext w:val="0"/>
              <w:keepLines w:val="0"/>
              <w:pageBreakBefore w:val="0"/>
              <w:widowControl/>
              <w:kinsoku/>
              <w:wordWrap w:val="0"/>
              <w:overflowPunct/>
              <w:topLinePunct w:val="0"/>
              <w:autoSpaceDE/>
              <w:autoSpaceDN/>
              <w:bidi w:val="0"/>
              <w:adjustRightInd/>
              <w:snapToGrid/>
              <w:spacing w:before="0" w:after="0" w:line="560" w:lineRule="exact"/>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w:t>
            </w:r>
          </w:p>
        </w:tc>
        <w:tc>
          <w:tcPr>
            <w:tcW w:w="3780" w:type="dxa"/>
            <w:noWrap w:val="0"/>
            <w:vAlign w:val="center"/>
          </w:tcPr>
          <w:p w14:paraId="6ABB2DD2">
            <w:pPr>
              <w:keepNext w:val="0"/>
              <w:keepLines w:val="0"/>
              <w:pageBreakBefore w:val="0"/>
              <w:widowControl/>
              <w:kinsoku/>
              <w:wordWrap w:val="0"/>
              <w:overflowPunct/>
              <w:topLinePunct w:val="0"/>
              <w:autoSpaceDE/>
              <w:autoSpaceDN/>
              <w:bidi w:val="0"/>
              <w:adjustRightInd/>
              <w:snapToGrid/>
              <w:spacing w:before="0" w:after="0" w:line="560" w:lineRule="exact"/>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延安</w:t>
            </w:r>
            <w:r>
              <w:rPr>
                <w:rFonts w:hint="eastAsia" w:ascii="华文仿宋" w:hAnsi="华文仿宋" w:eastAsia="华文仿宋" w:cs="华文仿宋"/>
                <w:b w:val="0"/>
                <w:i w:val="0"/>
                <w:color w:val="000000"/>
                <w:spacing w:val="0"/>
                <w:sz w:val="28"/>
                <w:szCs w:val="28"/>
                <w:lang w:val="en-US" w:eastAsia="zh-CN"/>
              </w:rPr>
              <w:t>王家坪</w:t>
            </w:r>
            <w:r>
              <w:rPr>
                <w:rFonts w:hint="eastAsia" w:ascii="华文仿宋" w:hAnsi="华文仿宋" w:eastAsia="华文仿宋" w:cs="华文仿宋"/>
                <w:b w:val="0"/>
                <w:i w:val="0"/>
                <w:color w:val="000000"/>
                <w:spacing w:val="0"/>
                <w:sz w:val="28"/>
                <w:szCs w:val="28"/>
              </w:rPr>
              <w:t>革命旧址管理处物业管理服务项目</w:t>
            </w:r>
          </w:p>
        </w:tc>
        <w:tc>
          <w:tcPr>
            <w:tcW w:w="1720" w:type="dxa"/>
            <w:noWrap w:val="0"/>
            <w:vAlign w:val="center"/>
          </w:tcPr>
          <w:p w14:paraId="0C8EC2C9">
            <w:pPr>
              <w:keepNext w:val="0"/>
              <w:keepLines w:val="0"/>
              <w:pageBreakBefore w:val="0"/>
              <w:widowControl/>
              <w:kinsoku/>
              <w:wordWrap w:val="0"/>
              <w:overflowPunct/>
              <w:topLinePunct w:val="0"/>
              <w:autoSpaceDE/>
              <w:autoSpaceDN/>
              <w:bidi w:val="0"/>
              <w:adjustRightInd/>
              <w:snapToGrid/>
              <w:spacing w:before="0" w:after="0" w:line="560" w:lineRule="exact"/>
              <w:ind w:left="0" w:right="0" w:firstLine="0"/>
              <w:jc w:val="center"/>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1 项</w:t>
            </w:r>
          </w:p>
        </w:tc>
        <w:tc>
          <w:tcPr>
            <w:tcW w:w="1620" w:type="dxa"/>
            <w:noWrap w:val="0"/>
            <w:vAlign w:val="center"/>
          </w:tcPr>
          <w:p w14:paraId="4BF87776">
            <w:pPr>
              <w:keepNext w:val="0"/>
              <w:keepLines w:val="0"/>
              <w:pageBreakBefore w:val="0"/>
              <w:widowControl/>
              <w:kinsoku/>
              <w:wordWrap w:val="0"/>
              <w:overflowPunct/>
              <w:topLinePunct w:val="0"/>
              <w:autoSpaceDE/>
              <w:autoSpaceDN/>
              <w:bidi w:val="0"/>
              <w:adjustRightInd/>
              <w:snapToGrid/>
              <w:spacing w:before="0" w:after="0" w:line="560" w:lineRule="exact"/>
              <w:ind w:left="0" w:right="0" w:firstLine="0"/>
              <w:jc w:val="both"/>
              <w:textAlignment w:val="baseline"/>
              <w:rPr>
                <w:rFonts w:hint="eastAsia" w:ascii="华文仿宋" w:hAnsi="华文仿宋" w:eastAsia="华文仿宋" w:cs="华文仿宋"/>
                <w:sz w:val="28"/>
                <w:szCs w:val="28"/>
              </w:rPr>
            </w:pPr>
            <w:r>
              <w:rPr>
                <w:rFonts w:hint="eastAsia" w:ascii="华文仿宋" w:hAnsi="华文仿宋" w:eastAsia="华文仿宋" w:cs="华文仿宋"/>
                <w:b w:val="0"/>
                <w:i w:val="0"/>
                <w:color w:val="000000"/>
                <w:spacing w:val="0"/>
                <w:sz w:val="28"/>
                <w:szCs w:val="28"/>
              </w:rPr>
              <w:t xml:space="preserve"> </w:t>
            </w:r>
          </w:p>
        </w:tc>
      </w:tr>
    </w:tbl>
    <w:p w14:paraId="4B8B8C4B">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一、服务内容</w:t>
      </w:r>
    </w:p>
    <w:p w14:paraId="566A9E86">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王家坪革命旧址位于延安城西北方向1.5公里处。这里是是中共中央革命军事委员会和八路军总部1937年8月至1947年3月的所在地，总面积约36000平方米。</w:t>
      </w:r>
    </w:p>
    <w:p w14:paraId="4A085FF5">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王家坪革命旧址以沟为界分成两个大院，左为总参谋部院，右为总政治部院，毛泽东、周恩来、朱德、彭德怀、叶剑英、王稼祥曾在这里居住，当年设在这里的单位有军委秘书厅、总政治部、总参谋部、总后勤部等。1947年3月18日黄昏，毛泽东、周恩来等由此撤离延安，踏上转战陕北的征途。</w:t>
      </w:r>
    </w:p>
    <w:p w14:paraId="0A824844">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王家坪革命旧址1959年修复，1960年正式对外开放。1961年被评为第一批全国重点文物保护单位，1997年被评为全国爱国主义教育基地，2011年被评为国家3A级景区。2018年被评为中国华侨国际文化交流基地。</w:t>
      </w:r>
    </w:p>
    <w:p w14:paraId="74597CD3">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现在开放的有中央军委大礼堂、总政治部会议室和毛泽东、朱德、彭德怀、王稼祥、叶剑英的旧居、华侨救国联合会旧址、毛泽东和毛岸英谈话的地方、桃林公园等。旧址现对外免费开放。</w:t>
      </w:r>
    </w:p>
    <w:p w14:paraId="0FCA43E2">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(1)保洁服务：中央军委大礼堂、总政治部会议室和毛泽东、朱德、彭德怀、王稼祥、叶剑英的旧居、华侨救国联合会旧址、毛泽东和毛岸英谈话的地方、桃林公园所辖区域内的日常清洁保养等。</w:t>
      </w:r>
    </w:p>
    <w:p w14:paraId="691C9F69">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(2)安保服务：来人登记检验，门卫守护、展馆巡逻、维护公共秩序及处理安全突发事件等所辖区域内的所有保卫安全工作。</w:t>
      </w:r>
    </w:p>
    <w:p w14:paraId="1B68BF39">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(3)绿化服务：王家坪旧址所辖区域内的草坪及绿篱日常养护管理等。</w:t>
      </w:r>
    </w:p>
    <w:p w14:paraId="184B5F88">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二、服务要求</w:t>
      </w:r>
    </w:p>
    <w:p w14:paraId="31C05F42">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1.门岗执勤：负责所辖区域内的值守、查验、登记及车辆管理，维护所辖区域内的秩序；</w:t>
      </w:r>
    </w:p>
    <w:p w14:paraId="172C3C6D">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2.馆内巡逻：负责所辖区域内 24 小时巡逻，及时发现报告各类安全隐患，及时消除潜在风险；</w:t>
      </w:r>
    </w:p>
    <w:p w14:paraId="7CDD464D">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3.保洁范围、标准及完成时间：</w:t>
      </w:r>
    </w:p>
    <w:p w14:paraId="389A2ACA">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保洁范围：延安王家坪革命旧址管理处所辖区域内的保洁服务</w:t>
      </w:r>
    </w:p>
    <w:p w14:paraId="77D1056D">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保洁标准：</w:t>
      </w:r>
    </w:p>
    <w:p w14:paraId="65A34905">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(1)玻璃门无广告、无蜘蛛网、无明显灰尘、手印，地面无灰尘污渍、痰迹，墙面设施无明显灰尘、手印。</w:t>
      </w:r>
    </w:p>
    <w:p w14:paraId="6DB053D7">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(2)垃圾箱、宣传栏、标识标牌无灰尘、无污渍。</w:t>
      </w:r>
    </w:p>
    <w:p w14:paraId="491C3955">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(3)路面无明显泥沙污垢，50平方米内烟头、纸屑平均不超过两个，无碎石子等。</w:t>
      </w:r>
    </w:p>
    <w:p w14:paraId="230E358C">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(4)卫生间便池、地面、墙壁无污渍、无脚印、无异味、无涂画，设施完好，玻璃镜面无灰尘、无水渍。</w:t>
      </w:r>
    </w:p>
    <w:p w14:paraId="506AABDB">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保洁完成时间：每天早晨 8：</w:t>
      </w:r>
      <w:r>
        <w:rPr>
          <w:rFonts w:hint="eastAsia" w:ascii="华文仿宋" w:hAnsi="华文仿宋" w:eastAsia="华文仿宋" w:cs="华文仿宋"/>
          <w:sz w:val="28"/>
          <w:szCs w:val="28"/>
          <w:lang w:val="en-US" w:eastAsia="zh-CN"/>
        </w:rPr>
        <w:t>0</w:t>
      </w:r>
      <w:r>
        <w:rPr>
          <w:rFonts w:hint="eastAsia" w:ascii="华文仿宋" w:hAnsi="华文仿宋" w:eastAsia="华文仿宋" w:cs="华文仿宋"/>
          <w:sz w:val="28"/>
          <w:szCs w:val="28"/>
        </w:rPr>
        <w:t>0前。</w:t>
      </w:r>
    </w:p>
    <w:p w14:paraId="7AAB5F8D">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4.部分绿化服务：</w:t>
      </w:r>
    </w:p>
    <w:p w14:paraId="643F3E2C">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(1)绿篱每年修剪 2-3次，绿篱修剪边齐、面平，无死树、死枝。</w:t>
      </w:r>
    </w:p>
    <w:p w14:paraId="735EC1BF">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(2)草坪修剪为每年 6-10 次，草坪无杂物和死草。</w:t>
      </w:r>
    </w:p>
    <w:p w14:paraId="49DFAB82">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(3)浇灌草坪，最主要是春灌、冬灌，其余根据天气及草坪需要。</w:t>
      </w:r>
    </w:p>
    <w:p w14:paraId="6C60AE2D">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(4)病虫害防治，冬季灭卵，春季灭幼虫，夏季灭成虫，根据病虫害实际发展情况。</w:t>
      </w:r>
    </w:p>
    <w:p w14:paraId="07F53303">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三、纪律要求</w:t>
      </w:r>
    </w:p>
    <w:p w14:paraId="21A2D900">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1.遵守国家法律及采购人规章制度，服从采购人单位安全管理部门管理；</w:t>
      </w:r>
    </w:p>
    <w:p w14:paraId="1F984F8C">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2.遵守行业标准和采购人单位管理规定，落实采购人制定的服务方案，建立健全消防灭火、防灾减灾、暴力恐怖事件应急预案；</w:t>
      </w:r>
    </w:p>
    <w:p w14:paraId="608B065E">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3.树立“以游客为中心”的服务意识，切实维护采购人服务范围的安全工作；</w:t>
      </w:r>
    </w:p>
    <w:p w14:paraId="4F2D50B9">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4.依法办事、文明执勤，杜绝与游客发生冲突；</w:t>
      </w:r>
    </w:p>
    <w:p w14:paraId="4EE4B26C">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5.保安、保洁在岗正式着装，器材齐全、仪表端庄、精神饱满、行为规范；</w:t>
      </w:r>
    </w:p>
    <w:p w14:paraId="528F0B8C">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6.执勤场所卫生内务整洁干净；</w:t>
      </w:r>
    </w:p>
    <w:p w14:paraId="760C4BE8">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7.上岗人员“六不”。即：不擅离岗位、不打瞌睡、不闲聊嬉闹、不打牌下棋、不酒后上岗、不干私活会客；</w:t>
      </w:r>
    </w:p>
    <w:p w14:paraId="44D3DE04">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8. 岗位执勤、巡逻、门岗值守做好登记、保存原始记录、完善日常换班手续、交接清楚；</w:t>
      </w:r>
    </w:p>
    <w:p w14:paraId="0A204374">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rPr>
        <w:t>四、队伍管理及人员配置</w:t>
      </w:r>
    </w:p>
    <w:p w14:paraId="71A628F5">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1.王家坪旧址人员数量需满足工作要求，共需要配置主管1人</w:t>
      </w:r>
      <w:r>
        <w:rPr>
          <w:rFonts w:hint="eastAsia" w:ascii="华文仿宋" w:hAnsi="华文仿宋" w:eastAsia="华文仿宋" w:cs="华文仿宋"/>
          <w:sz w:val="28"/>
          <w:szCs w:val="28"/>
          <w:lang w:eastAsia="zh-CN"/>
        </w:rPr>
        <w:t>，</w:t>
      </w:r>
      <w:r>
        <w:rPr>
          <w:rFonts w:hint="eastAsia" w:ascii="华文仿宋" w:hAnsi="华文仿宋" w:eastAsia="华文仿宋" w:cs="华文仿宋"/>
          <w:sz w:val="28"/>
          <w:szCs w:val="28"/>
        </w:rPr>
        <w:t>保安人员4人，监控值班人员2人，保洁人员4人，绿化1人，保安员需持保安员证、无犯罪记录等证件上岗，所有人员均需身体健康、具有爱岗敬业、吃苦耐劳的精神。</w:t>
      </w:r>
    </w:p>
    <w:p w14:paraId="64F327FA">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队伍建设和管理</w:t>
      </w:r>
    </w:p>
    <w:p w14:paraId="1BA5591F">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(1)投标人成立保安队伍，配备专职队长，长期从事管理职业</w:t>
      </w:r>
      <w:r>
        <w:rPr>
          <w:rFonts w:hint="eastAsia" w:ascii="华文仿宋" w:hAnsi="华文仿宋" w:eastAsia="华文仿宋" w:cs="华文仿宋"/>
          <w:sz w:val="28"/>
          <w:szCs w:val="28"/>
          <w:lang w:eastAsia="zh-CN"/>
        </w:rPr>
        <w:t>，有</w:t>
      </w:r>
      <w:r>
        <w:rPr>
          <w:rFonts w:hint="eastAsia" w:ascii="华文仿宋" w:hAnsi="华文仿宋" w:eastAsia="华文仿宋" w:cs="华文仿宋"/>
          <w:sz w:val="28"/>
          <w:szCs w:val="28"/>
        </w:rPr>
        <w:t>管理团队经历，有较好的协调配合能力，退伍军人优先，保证队伍管理规范化和保安服务工作组织实施到位；</w:t>
      </w:r>
    </w:p>
    <w:p w14:paraId="7815A84C">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(2)依法聘用保安，在组织工作中符合国家相关法律法规、符合采购人各项规章制度；</w:t>
      </w:r>
    </w:p>
    <w:p w14:paraId="2B2D3A40">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(3)派驻人员应得到采购人同意，采购人在对服务过程中不满的有权要求更换人员，投标人应立即更换；</w:t>
      </w:r>
    </w:p>
    <w:p w14:paraId="5F120179">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(4)派驻人员入职、离职及个人档案管理规范，手续齐全，相关资料报送安全管理科室保管；</w:t>
      </w:r>
    </w:p>
    <w:p w14:paraId="00BE768E">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(5)严格控制保安轮换比例，轮换保安需提前一周内向采购人报备，并做好保安储备工作，保障采购人保安工作有序进行；</w:t>
      </w:r>
    </w:p>
    <w:p w14:paraId="39242854">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(6)严格岗位管理，落实定人定岗，不得随意抽调人员；</w:t>
      </w:r>
    </w:p>
    <w:p w14:paraId="0640F5FC">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(7)遇到重大活动或紧急事件，保安人数不足，投标人有义务临时无偿增派保安援助；</w:t>
      </w:r>
    </w:p>
    <w:p w14:paraId="16208BE9">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(8)严禁脱岗、缺岗、寻衅滋事，否则采购人按照违约进行处罚，情节严重将终止合同；</w:t>
      </w:r>
    </w:p>
    <w:p w14:paraId="5C7F2147">
      <w:pPr>
        <w:keepNext w:val="0"/>
        <w:keepLines w:val="0"/>
        <w:pageBreakBefore w:val="0"/>
        <w:widowControl/>
        <w:kinsoku/>
        <w:overflowPunct/>
        <w:topLinePunct w:val="0"/>
        <w:autoSpaceDE/>
        <w:autoSpaceDN/>
        <w:bidi w:val="0"/>
        <w:adjustRightInd/>
        <w:snapToGrid/>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(9)所有人员上岗前经过专业培训，需具备与岗位相适应的观察、处置、汇报问题的能力，具备使用消防、技防及保安相关器材的能力。</w:t>
      </w:r>
    </w:p>
    <w:p w14:paraId="4460829E">
      <w:pPr>
        <w:pStyle w:val="11"/>
        <w:rPr>
          <w:rFonts w:hint="eastAsia" w:ascii="华文仿宋" w:hAnsi="华文仿宋" w:eastAsia="华文仿宋" w:cs="华文仿宋"/>
          <w:sz w:val="28"/>
          <w:szCs w:val="28"/>
          <w:lang w:val="en-US" w:eastAsia="zh-CN"/>
        </w:rPr>
      </w:pPr>
    </w:p>
    <w:p w14:paraId="175212DF">
      <w:pPr>
        <w:spacing w:line="240" w:lineRule="auto"/>
        <w:ind w:firstLine="566"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注：该项目技术参数由采购人提供。</w:t>
      </w:r>
    </w:p>
    <w:p w14:paraId="32C4B642">
      <w:pPr>
        <w:pStyle w:val="11"/>
        <w:rPr>
          <w:rFonts w:hint="eastAsia" w:ascii="华文仿宋" w:hAnsi="华文仿宋" w:eastAsia="华文仿宋" w:cs="华文仿宋"/>
          <w:b/>
          <w:bCs/>
          <w:color w:val="auto"/>
          <w:kern w:val="2"/>
          <w:sz w:val="28"/>
          <w:szCs w:val="28"/>
          <w:highlight w:val="none"/>
          <w:lang w:val="en-US" w:eastAsia="zh-CN" w:bidi="ar-SA"/>
        </w:rPr>
      </w:pPr>
    </w:p>
    <w:p w14:paraId="70956F55">
      <w:pPr>
        <w:pStyle w:val="11"/>
        <w:rPr>
          <w:rFonts w:hint="eastAsia" w:ascii="仿宋" w:hAnsi="仿宋" w:eastAsia="仿宋" w:cs="仿宋"/>
          <w:b/>
          <w:bCs/>
          <w:color w:val="auto"/>
          <w:kern w:val="2"/>
          <w:sz w:val="28"/>
          <w:szCs w:val="28"/>
          <w:highlight w:val="none"/>
          <w:lang w:val="en-US" w:eastAsia="zh-CN" w:bidi="ar-SA"/>
        </w:rPr>
      </w:pP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3"/>
          <w:rFonts w:ascii="黑体" w:hAnsi="黑体" w:eastAsia="黑体" w:cs="黑体"/>
          <w:b w:val="0"/>
          <w:bCs/>
          <w:color w:val="000000"/>
          <w:sz w:val="32"/>
          <w:szCs w:val="32"/>
        </w:rPr>
      </w:pPr>
      <w:r>
        <w:rPr>
          <w:rStyle w:val="33"/>
          <w:rFonts w:hint="eastAsia" w:ascii="黑体" w:hAnsi="黑体" w:eastAsia="黑体" w:cs="黑体"/>
          <w:b w:val="0"/>
          <w:bCs/>
          <w:color w:val="000000"/>
          <w:sz w:val="32"/>
          <w:szCs w:val="32"/>
        </w:rPr>
        <w:t>第四章  合同草案条款</w:t>
      </w:r>
    </w:p>
    <w:p w14:paraId="647C3FEA">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一、合同内容及金额：</w:t>
      </w:r>
      <w:r>
        <w:rPr>
          <w:rFonts w:hint="eastAsia" w:ascii="华文仿宋" w:hAnsi="华文仿宋" w:cs="华文仿宋"/>
          <w:b w:val="0"/>
          <w:bCs w:val="0"/>
          <w:kern w:val="0"/>
          <w:sz w:val="28"/>
          <w:szCs w:val="28"/>
          <w:lang w:val="en-US" w:eastAsia="zh-CN"/>
        </w:rPr>
        <w:t xml:space="preserve"> 即成交人的投标内容及其成交总金额；其金额不受市场和工作量变化的影响。因政策原因造成物业权属发生变化，物业委托合同自动废止，相关费用由采购人、成交人协商解决。</w:t>
      </w:r>
    </w:p>
    <w:p w14:paraId="408BCCFB">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二、合同总价：</w:t>
      </w:r>
      <w:r>
        <w:rPr>
          <w:rFonts w:hint="eastAsia" w:ascii="华文仿宋" w:hAnsi="华文仿宋" w:cs="华文仿宋"/>
          <w:b w:val="0"/>
          <w:bCs w:val="0"/>
          <w:kern w:val="0"/>
          <w:sz w:val="28"/>
          <w:szCs w:val="28"/>
          <w:lang w:val="en-US" w:eastAsia="zh-CN"/>
        </w:rPr>
        <w:t>合同总价即成交价格，包括：服务费用、税费、其他费用等相关的全部费用，在合同执行过程中不因其他因素进行变更。</w:t>
      </w:r>
    </w:p>
    <w:p w14:paraId="668AD6EB">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三、服务期限：</w:t>
      </w:r>
      <w:r>
        <w:rPr>
          <w:rFonts w:hint="eastAsia" w:ascii="华文仿宋" w:hAnsi="华文仿宋" w:cs="华文仿宋"/>
          <w:b w:val="0"/>
          <w:bCs w:val="0"/>
          <w:kern w:val="0"/>
          <w:sz w:val="28"/>
          <w:szCs w:val="28"/>
          <w:lang w:val="en-US" w:eastAsia="zh-CN"/>
        </w:rPr>
        <w:t>自签订合同之日起二年。</w:t>
      </w:r>
    </w:p>
    <w:p w14:paraId="7FBDAC5E">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cs="华文仿宋"/>
          <w:b w:val="0"/>
          <w:bCs w:val="0"/>
          <w:kern w:val="0"/>
          <w:sz w:val="28"/>
          <w:szCs w:val="28"/>
          <w:lang w:val="en-US" w:eastAsia="zh-CN"/>
        </w:rPr>
      </w:pPr>
      <w:r>
        <w:rPr>
          <w:rFonts w:hint="eastAsia" w:ascii="华文仿宋" w:hAnsi="华文仿宋" w:cs="华文仿宋"/>
          <w:b/>
          <w:bCs/>
          <w:kern w:val="0"/>
          <w:sz w:val="28"/>
          <w:szCs w:val="28"/>
          <w:lang w:val="en-US" w:eastAsia="zh-CN"/>
        </w:rPr>
        <w:t>四、服务地点：</w:t>
      </w:r>
      <w:r>
        <w:rPr>
          <w:rFonts w:hint="eastAsia" w:ascii="华文仿宋" w:hAnsi="华文仿宋" w:cs="华文仿宋"/>
          <w:b w:val="0"/>
          <w:bCs w:val="0"/>
          <w:kern w:val="0"/>
          <w:sz w:val="28"/>
          <w:szCs w:val="28"/>
          <w:lang w:val="en-US" w:eastAsia="zh-CN"/>
        </w:rPr>
        <w:t>采购人指定地点。</w:t>
      </w:r>
    </w:p>
    <w:p w14:paraId="1C850C8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五、付款方式</w:t>
      </w:r>
    </w:p>
    <w:p w14:paraId="668D13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采购资金由采购人直接结算，具体参考付款方式如下：</w:t>
      </w:r>
    </w:p>
    <w:p w14:paraId="7B03A3D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实行按季度支付，每季度按实际服务工作量完成，成交人向采购人开具和交付发票后，采购人在10个工作日内支付本季度的服务费(即合同价款的25%)，最后一个季度工作完成后，成交人向采购人开具和交付发票，采购人需在10个工作日内支付全部剩余款项。</w:t>
      </w:r>
    </w:p>
    <w:p w14:paraId="6A980C2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注：采购人除以上服务费用之外不再承担其它任何费用，清洁人员、保安人员的薪金、福利、休假日补贴、医疗费用等均由成交人负责，与采购人无关。</w:t>
      </w:r>
    </w:p>
    <w:p w14:paraId="5476046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六、采购人的权利和义务</w:t>
      </w:r>
    </w:p>
    <w:p w14:paraId="649D2D4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1.采购人对成交人进行统一管理，对成交人的经营活动享有管理、考核、检查、监督和处罚的权利；</w:t>
      </w:r>
    </w:p>
    <w:p w14:paraId="1F61BB2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2.合同期内，因成交人管理不善且负主要责任，造成重大损失和影响，有下列情况之一的，采购人有权随时终止合同并收回服务权，经济损失和法律责任由成交人承担：</w:t>
      </w:r>
    </w:p>
    <w:p w14:paraId="043618A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(1)成交人进行转包或分包的；</w:t>
      </w:r>
    </w:p>
    <w:p w14:paraId="6D80795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(2)成交人超出服务范围或从事与物业无关的服务活动的；</w:t>
      </w:r>
    </w:p>
    <w:p w14:paraId="57AF039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(3)成交人有在超出指定区域安排从业人员；</w:t>
      </w:r>
    </w:p>
    <w:p w14:paraId="57B3275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(4)成交人违反相关管理规定或合同条款约定。</w:t>
      </w:r>
    </w:p>
    <w:p w14:paraId="04C90EC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七、成交人的权利与义务</w:t>
      </w:r>
    </w:p>
    <w:p w14:paraId="377EBA9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1.成交人享有责任范围内和合同期限内的服务权；</w:t>
      </w:r>
    </w:p>
    <w:p w14:paraId="2B620C4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2.成交人必须服从管理，保证所有办公工作场所顺利开展。服务标准按照采购人要求执行；</w:t>
      </w:r>
    </w:p>
    <w:p w14:paraId="5E724FE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3.成交人的物业服务活动必须做到遵纪守法，诚信服</w:t>
      </w:r>
    </w:p>
    <w:p w14:paraId="6201959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务，科学管理，文明优质服务；严格执行法律法规及相关部门的规章制度；</w:t>
      </w:r>
    </w:p>
    <w:p w14:paraId="076EA22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4.成交人如有达不到服务要求或有不服从管理的现象，采购人有权随时解除合同。</w:t>
      </w:r>
    </w:p>
    <w:p w14:paraId="0A65B9D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八、质量管理和监督措施</w:t>
      </w:r>
    </w:p>
    <w:p w14:paraId="4DB9352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1.合同期内，因成交人管理不善且负主要责任，造成重大损失和影响，采购人有权终止合同，经济损失和法律责任由成交人承担；</w:t>
      </w:r>
    </w:p>
    <w:p w14:paraId="53DB6F7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质量目标：以采购人满意度为核心导向，全面承接采购人各项物业服务要求，物业服务合格率100%、服务响应及时率100%、采购人有效投诉处理办结率100%，全力保障服务区域环境整洁、设施完好、秩序稳定、运行安全，全方位满足采购人办公运营、场地使用、后勤保障的全部需求，打造规范、高效、优质、稳定的物业服务体系。</w:t>
      </w:r>
    </w:p>
    <w:p w14:paraId="48B1123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九、服务缺陷的补救措施和索赔</w:t>
      </w:r>
    </w:p>
    <w:p w14:paraId="7BE1BF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如果成交人提供的服务不符合本合同约定以及招标文件、投标文件关于服务的要求和承诺，成交人应按照采购人同意的下列一种或几种方式结合起来解决索赔事宜：</w:t>
      </w:r>
    </w:p>
    <w:p w14:paraId="4941EB8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1.成交人同意将服务款项目退还给采购人，由此发生的一切费用和损失由成交人承担。如采购人以适当的条件和方法购买与未履约标的相类似的服务，成交人应负担新购买类似服务所超出的费用；</w:t>
      </w:r>
    </w:p>
    <w:p w14:paraId="45E6440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如果在采购人发出索赔通知后30日内成交人未作答复，上述索赔应视为已被成交人接受。如果成交人未能在采购人发出索赔通知后30日内或采购人同意延长的期限内，按照上述规定的任何一种方法采取补救措施，采购人有权从应付服务款中扣除索赔金额，如不足以弥补采购人损失的，采购人有权进一步要求成交人赔偿。</w:t>
      </w:r>
    </w:p>
    <w:p w14:paraId="3123383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bCs/>
          <w:kern w:val="0"/>
          <w:sz w:val="28"/>
          <w:szCs w:val="28"/>
          <w:lang w:val="en-US" w:eastAsia="zh-CN"/>
        </w:rPr>
      </w:pPr>
      <w:r>
        <w:rPr>
          <w:rFonts w:hint="eastAsia" w:ascii="华文仿宋" w:hAnsi="华文仿宋" w:cs="华文仿宋"/>
          <w:b/>
          <w:bCs/>
          <w:kern w:val="0"/>
          <w:sz w:val="28"/>
          <w:szCs w:val="28"/>
          <w:lang w:val="en-US" w:eastAsia="zh-CN"/>
        </w:rPr>
        <w:t>十、违约责任</w:t>
      </w:r>
    </w:p>
    <w:p w14:paraId="77EC42F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1.按《中华人民共和国民法典》中的相关条款执行；</w:t>
      </w:r>
    </w:p>
    <w:p w14:paraId="3E54CF0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2.未按合同要求提供服务或服务质量不能满足合同要求，采购人有权依据《中华人民共和国民法典》、《中华人民共和国政府采购法》有关条款及合同约定终止合同，并要求成交人承担违约责任；</w:t>
      </w:r>
    </w:p>
    <w:p w14:paraId="3D2B9E5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3.成交人未能达到采购项目的技术参数及要求，采购人有权要求成交人限期整改，逾期不整改的采购人有权终止合同，造成采购人经济损失的，成交人应给予采购人经济赔偿；</w:t>
      </w:r>
    </w:p>
    <w:p w14:paraId="32DC4CB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4.成交人在服务期内，若发生争执、滋事、劳资纠纷、债务索赔安全事故，造成违法、违规和其它违犯社会治安条例，影响采购人稳定大局的事件，均由成交人自行承担一切责任与费用；</w:t>
      </w:r>
    </w:p>
    <w:p w14:paraId="7351685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cs="华文仿宋"/>
          <w:b w:val="0"/>
          <w:bCs w:val="0"/>
          <w:kern w:val="0"/>
          <w:sz w:val="28"/>
          <w:szCs w:val="28"/>
          <w:lang w:val="en-US" w:eastAsia="zh-CN"/>
        </w:rPr>
      </w:pPr>
      <w:r>
        <w:rPr>
          <w:rFonts w:hint="eastAsia" w:ascii="华文仿宋" w:hAnsi="华文仿宋" w:cs="华文仿宋"/>
          <w:b w:val="0"/>
          <w:bCs w:val="0"/>
          <w:kern w:val="0"/>
          <w:sz w:val="28"/>
          <w:szCs w:val="28"/>
          <w:lang w:val="en-US" w:eastAsia="zh-CN"/>
        </w:rPr>
        <w:t>5.因采购人原因导致成交人未能达到服务标准，成交人有权要求采购人在一定期限内解决，逾期未解决造成成交人经济损失的，采购人应给予成交人经济赔偿。</w:t>
      </w:r>
    </w:p>
    <w:p w14:paraId="2202E5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十一、</w:t>
      </w:r>
      <w:r>
        <w:rPr>
          <w:rFonts w:hint="eastAsia" w:ascii="华文仿宋" w:hAnsi="华文仿宋" w:eastAsia="华文仿宋" w:cs="华文仿宋"/>
          <w:b/>
          <w:bCs/>
          <w:sz w:val="28"/>
          <w:szCs w:val="28"/>
          <w:lang w:val="zh-CN" w:eastAsia="zh-CN"/>
        </w:rPr>
        <w:t>合同争议的解决</w:t>
      </w:r>
    </w:p>
    <w:p w14:paraId="69A421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zh-CN" w:eastAsia="zh-CN"/>
        </w:rPr>
      </w:pPr>
      <w:r>
        <w:rPr>
          <w:rFonts w:hint="eastAsia" w:ascii="华文仿宋" w:hAnsi="华文仿宋" w:eastAsia="华文仿宋" w:cs="华文仿宋"/>
          <w:sz w:val="28"/>
          <w:szCs w:val="28"/>
          <w:lang w:val="zh-CN" w:eastAsia="zh-CN"/>
        </w:rPr>
        <w:t>合同执行中发生争议的，采购人和成交供应商应协商解决，协商达不成一致时，可向采购人</w:t>
      </w:r>
      <w:r>
        <w:rPr>
          <w:rFonts w:hint="eastAsia" w:ascii="华文仿宋" w:hAnsi="华文仿宋" w:eastAsia="华文仿宋" w:cs="华文仿宋"/>
          <w:sz w:val="28"/>
          <w:szCs w:val="28"/>
          <w:lang w:val="en-US" w:eastAsia="zh-CN"/>
        </w:rPr>
        <w:t>所在地的人民法院提请诉讼</w:t>
      </w:r>
      <w:r>
        <w:rPr>
          <w:rFonts w:hint="eastAsia" w:ascii="华文仿宋" w:hAnsi="华文仿宋" w:eastAsia="华文仿宋" w:cs="华文仿宋"/>
          <w:sz w:val="28"/>
          <w:szCs w:val="28"/>
          <w:lang w:val="zh-CN" w:eastAsia="zh-CN"/>
        </w:rPr>
        <w:t>。</w:t>
      </w:r>
    </w:p>
    <w:p w14:paraId="759726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十二、</w:t>
      </w:r>
      <w:r>
        <w:rPr>
          <w:rFonts w:hint="eastAsia" w:ascii="华文仿宋" w:hAnsi="华文仿宋" w:eastAsia="华文仿宋" w:cs="华文仿宋"/>
          <w:b/>
          <w:bCs/>
          <w:sz w:val="28"/>
          <w:szCs w:val="28"/>
          <w:lang w:val="zh-CN" w:eastAsia="zh-CN"/>
        </w:rPr>
        <w:t>合同一经签订，不得擅自变更、中止或者终止合同。对确需变更、调整或者中止、终止合同的，应按规定履行相应的手续。</w:t>
      </w:r>
    </w:p>
    <w:p w14:paraId="429D8AE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十三、本合同从签订之日起生效，合同规定的全部事宜和程序结束后终止。合同份数不低于四份，具体份数由采购人和成交人依需商定。 </w:t>
      </w:r>
    </w:p>
    <w:p w14:paraId="18A96960">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十四、未尽事宜由双方在签订合同时具体明确，但不得超出磋商文件合同草案规定。 </w:t>
      </w:r>
    </w:p>
    <w:p w14:paraId="74EC9E4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本合同须经延安市公共资源交易中心（延安市市直单位政府采购中心 ）确认，否则无效。</w:t>
      </w:r>
    </w:p>
    <w:p w14:paraId="16552726">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eastAsia="华文仿宋" w:cs="华文仿宋"/>
          <w:b w:val="0"/>
          <w:bCs w:val="0"/>
          <w:kern w:val="0"/>
          <w:sz w:val="28"/>
          <w:szCs w:val="28"/>
          <w:lang w:val="en-US" w:eastAsia="zh-CN"/>
        </w:rPr>
      </w:pPr>
    </w:p>
    <w:p w14:paraId="6255AB3A">
      <w:pPr>
        <w:rPr>
          <w:rFonts w:hint="eastAsia" w:ascii="华文仿宋" w:hAnsi="华文仿宋" w:cs="华文仿宋"/>
          <w:b w:val="0"/>
          <w:bCs w:val="0"/>
          <w:color w:val="000000"/>
          <w:sz w:val="28"/>
          <w:szCs w:val="28"/>
        </w:rPr>
      </w:pPr>
    </w:p>
    <w:p w14:paraId="231EB13A">
      <w:pPr>
        <w:rPr>
          <w:rFonts w:hint="eastAsia" w:ascii="华文仿宋" w:hAnsi="华文仿宋" w:cs="华文仿宋"/>
          <w:b w:val="0"/>
          <w:bCs w:val="0"/>
          <w:color w:val="000000"/>
          <w:sz w:val="28"/>
          <w:szCs w:val="28"/>
        </w:rPr>
      </w:pPr>
    </w:p>
    <w:p w14:paraId="3CA76111">
      <w:pPr>
        <w:pStyle w:val="4"/>
        <w:rPr>
          <w:rFonts w:hint="eastAsia" w:ascii="华文仿宋" w:hAnsi="华文仿宋" w:cs="华文仿宋"/>
          <w:b w:val="0"/>
          <w:bCs w:val="0"/>
          <w:color w:val="000000"/>
          <w:sz w:val="28"/>
          <w:szCs w:val="28"/>
        </w:rPr>
      </w:pPr>
    </w:p>
    <w:p w14:paraId="4B84D7B8">
      <w:pPr>
        <w:rPr>
          <w:rFonts w:hint="eastAsia" w:ascii="华文仿宋" w:hAnsi="华文仿宋" w:cs="华文仿宋"/>
          <w:b w:val="0"/>
          <w:bCs w:val="0"/>
          <w:color w:val="000000"/>
          <w:sz w:val="28"/>
          <w:szCs w:val="28"/>
        </w:rPr>
      </w:pPr>
    </w:p>
    <w:p w14:paraId="1963C583">
      <w:pPr>
        <w:pStyle w:val="4"/>
        <w:rPr>
          <w:rFonts w:hint="eastAsia" w:ascii="华文仿宋" w:hAnsi="华文仿宋" w:cs="华文仿宋"/>
          <w:b w:val="0"/>
          <w:bCs w:val="0"/>
          <w:color w:val="000000"/>
          <w:sz w:val="28"/>
          <w:szCs w:val="28"/>
        </w:rPr>
      </w:pPr>
    </w:p>
    <w:p w14:paraId="543928FB">
      <w:pPr>
        <w:rPr>
          <w:rFonts w:hint="eastAsia" w:ascii="华文仿宋" w:hAnsi="华文仿宋" w:cs="华文仿宋"/>
          <w:b w:val="0"/>
          <w:bCs w:val="0"/>
          <w:color w:val="000000"/>
          <w:sz w:val="28"/>
          <w:szCs w:val="28"/>
        </w:rPr>
      </w:pPr>
    </w:p>
    <w:p w14:paraId="68B4722A">
      <w:pPr>
        <w:pStyle w:val="4"/>
        <w:rPr>
          <w:rFonts w:hint="eastAsia" w:ascii="华文仿宋" w:hAnsi="华文仿宋" w:cs="华文仿宋"/>
          <w:b w:val="0"/>
          <w:bCs w:val="0"/>
          <w:color w:val="000000"/>
          <w:sz w:val="28"/>
          <w:szCs w:val="28"/>
        </w:rPr>
      </w:pPr>
    </w:p>
    <w:p w14:paraId="23A5B3B8">
      <w:pPr>
        <w:rPr>
          <w:rFonts w:hint="eastAsia" w:ascii="华文仿宋" w:hAnsi="华文仿宋" w:cs="华文仿宋"/>
          <w:b w:val="0"/>
          <w:bCs w:val="0"/>
          <w:color w:val="000000"/>
          <w:sz w:val="28"/>
          <w:szCs w:val="28"/>
        </w:rPr>
      </w:pPr>
    </w:p>
    <w:p w14:paraId="23D42B86">
      <w:pPr>
        <w:pStyle w:val="4"/>
        <w:rPr>
          <w:rFonts w:hint="eastAsia" w:ascii="华文仿宋" w:hAnsi="华文仿宋" w:cs="华文仿宋"/>
          <w:b w:val="0"/>
          <w:bCs w:val="0"/>
          <w:color w:val="000000"/>
          <w:sz w:val="28"/>
          <w:szCs w:val="28"/>
        </w:rPr>
      </w:pPr>
    </w:p>
    <w:p w14:paraId="1CC5D936">
      <w:pPr>
        <w:rPr>
          <w:rFonts w:hint="eastAsia" w:ascii="华文仿宋" w:hAnsi="华文仿宋" w:cs="华文仿宋"/>
          <w:b w:val="0"/>
          <w:bCs w:val="0"/>
          <w:color w:val="000000"/>
          <w:sz w:val="28"/>
          <w:szCs w:val="28"/>
        </w:rPr>
      </w:pPr>
    </w:p>
    <w:p w14:paraId="5FEFA38B">
      <w:pPr>
        <w:pStyle w:val="4"/>
        <w:rPr>
          <w:rFonts w:hint="eastAsia" w:ascii="华文仿宋" w:hAnsi="华文仿宋" w:cs="华文仿宋"/>
          <w:b w:val="0"/>
          <w:bCs w:val="0"/>
          <w:color w:val="000000"/>
          <w:sz w:val="28"/>
          <w:szCs w:val="28"/>
        </w:rPr>
      </w:pPr>
    </w:p>
    <w:p w14:paraId="03F88286">
      <w:pPr>
        <w:rPr>
          <w:rFonts w:hint="eastAsia" w:ascii="华文仿宋" w:hAnsi="华文仿宋" w:cs="华文仿宋"/>
          <w:b w:val="0"/>
          <w:bCs w:val="0"/>
          <w:color w:val="000000"/>
          <w:sz w:val="28"/>
          <w:szCs w:val="28"/>
        </w:rPr>
      </w:pPr>
    </w:p>
    <w:p w14:paraId="11EE7656">
      <w:pPr>
        <w:pStyle w:val="4"/>
        <w:rPr>
          <w:rFonts w:hint="eastAsia" w:ascii="华文仿宋" w:hAnsi="华文仿宋" w:cs="华文仿宋"/>
          <w:b w:val="0"/>
          <w:bCs w:val="0"/>
          <w:color w:val="000000"/>
          <w:sz w:val="28"/>
          <w:szCs w:val="28"/>
        </w:rPr>
      </w:pPr>
    </w:p>
    <w:p w14:paraId="294BB0A1">
      <w:pPr>
        <w:rPr>
          <w:rFonts w:hint="eastAsia" w:ascii="华文仿宋" w:hAnsi="华文仿宋" w:cs="华文仿宋"/>
          <w:b w:val="0"/>
          <w:bCs w:val="0"/>
          <w:color w:val="000000"/>
          <w:sz w:val="28"/>
          <w:szCs w:val="28"/>
        </w:rPr>
      </w:pPr>
    </w:p>
    <w:p w14:paraId="66841B3B">
      <w:pPr>
        <w:pStyle w:val="4"/>
        <w:rPr>
          <w:rFonts w:hint="eastAsia" w:ascii="华文仿宋" w:hAnsi="华文仿宋" w:cs="华文仿宋"/>
          <w:b w:val="0"/>
          <w:bCs w:val="0"/>
          <w:color w:val="000000"/>
          <w:sz w:val="28"/>
          <w:szCs w:val="28"/>
        </w:rPr>
      </w:pPr>
    </w:p>
    <w:p w14:paraId="365B2D07">
      <w:pPr>
        <w:rPr>
          <w:rFonts w:hint="eastAsia" w:ascii="华文仿宋" w:hAnsi="华文仿宋" w:cs="华文仿宋"/>
          <w:b w:val="0"/>
          <w:bCs w:val="0"/>
          <w:color w:val="000000"/>
          <w:sz w:val="28"/>
          <w:szCs w:val="28"/>
        </w:rPr>
      </w:pPr>
    </w:p>
    <w:p w14:paraId="3B099590">
      <w:pPr>
        <w:pStyle w:val="4"/>
        <w:rPr>
          <w:rFonts w:hint="eastAsia" w:ascii="华文仿宋" w:hAnsi="华文仿宋" w:cs="华文仿宋"/>
          <w:b w:val="0"/>
          <w:bCs w:val="0"/>
          <w:color w:val="000000"/>
          <w:sz w:val="28"/>
          <w:szCs w:val="28"/>
        </w:rPr>
      </w:pPr>
    </w:p>
    <w:p w14:paraId="4E6F1E45">
      <w:pPr>
        <w:rPr>
          <w:rFonts w:hint="eastAsia"/>
        </w:rPr>
      </w:pPr>
    </w:p>
    <w:p w14:paraId="792198F9">
      <w:pPr>
        <w:rPr>
          <w:rFonts w:hint="eastAsia" w:ascii="华文仿宋" w:hAnsi="华文仿宋" w:cs="华文仿宋"/>
          <w:b w:val="0"/>
          <w:bCs w:val="0"/>
          <w:color w:val="000000"/>
          <w:sz w:val="28"/>
          <w:szCs w:val="28"/>
        </w:rPr>
      </w:pPr>
    </w:p>
    <w:p w14:paraId="1A70F96F">
      <w:pPr>
        <w:rPr>
          <w:rFonts w:hint="eastAsia" w:ascii="华文仿宋" w:hAnsi="华文仿宋" w:cs="华文仿宋"/>
          <w:b w:val="0"/>
          <w:bCs w:val="0"/>
          <w:color w:val="000000"/>
          <w:sz w:val="28"/>
          <w:szCs w:val="28"/>
        </w:rPr>
      </w:pPr>
    </w:p>
    <w:p w14:paraId="20A15379">
      <w:pPr>
        <w:rPr>
          <w:rFonts w:hint="eastAsia" w:ascii="华文仿宋" w:hAnsi="华文仿宋" w:cs="华文仿宋"/>
          <w:b w:val="0"/>
          <w:bCs w:val="0"/>
          <w:color w:val="000000"/>
          <w:sz w:val="28"/>
          <w:szCs w:val="28"/>
        </w:rPr>
      </w:pPr>
    </w:p>
    <w:p w14:paraId="081C4675">
      <w:pPr>
        <w:pStyle w:val="2"/>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4"/>
        <w:rPr>
          <w:color w:val="000000"/>
        </w:rPr>
      </w:pPr>
    </w:p>
    <w:p w14:paraId="00B4211B">
      <w:pPr>
        <w:pStyle w:val="34"/>
        <w:rPr>
          <w:color w:val="000000"/>
        </w:rPr>
      </w:pPr>
    </w:p>
    <w:p w14:paraId="406E5026">
      <w:pPr>
        <w:pStyle w:val="34"/>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4"/>
        <w:rPr>
          <w:color w:val="000000"/>
          <w:sz w:val="20"/>
        </w:rPr>
      </w:pPr>
    </w:p>
    <w:p w14:paraId="44F47F5A">
      <w:pPr>
        <w:pStyle w:val="31"/>
        <w:spacing w:line="240" w:lineRule="auto"/>
        <w:ind w:firstLine="253" w:firstLineChars="70"/>
        <w:jc w:val="center"/>
        <w:rPr>
          <w:rFonts w:ascii="宋体" w:hAnsi="宋体" w:eastAsia="宋体"/>
          <w:color w:val="000000"/>
          <w:sz w:val="36"/>
          <w:szCs w:val="36"/>
        </w:rPr>
      </w:pPr>
    </w:p>
    <w:p w14:paraId="37259556">
      <w:pPr>
        <w:pStyle w:val="31"/>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31"/>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4" w:name="_Toc10248"/>
      <w:bookmarkStart w:id="145" w:name="_Toc6132"/>
      <w:bookmarkStart w:id="146" w:name="_Toc257"/>
      <w:bookmarkStart w:id="147" w:name="_Toc20830"/>
      <w:bookmarkStart w:id="148" w:name="_Toc26293"/>
      <w:bookmarkStart w:id="149" w:name="_Toc24786"/>
      <w:bookmarkStart w:id="150" w:name="_Toc23235"/>
      <w:bookmarkStart w:id="151" w:name="_Toc26349"/>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7D703E59">
      <w:pPr>
        <w:pStyle w:val="31"/>
        <w:spacing w:line="240" w:lineRule="auto"/>
        <w:ind w:firstLine="310" w:firstLineChars="70"/>
        <w:jc w:val="center"/>
        <w:rPr>
          <w:rFonts w:ascii="华文仿宋" w:hAnsi="华文仿宋" w:cs="华文仿宋"/>
          <w:color w:val="000000"/>
          <w:sz w:val="44"/>
          <w:szCs w:val="44"/>
        </w:rPr>
      </w:pPr>
    </w:p>
    <w:p w14:paraId="33B01BD2">
      <w:pPr>
        <w:pStyle w:val="31"/>
        <w:spacing w:line="240" w:lineRule="auto"/>
        <w:ind w:firstLine="253" w:firstLineChars="70"/>
        <w:jc w:val="center"/>
        <w:rPr>
          <w:rFonts w:ascii="华文仿宋" w:hAnsi="华文仿宋" w:cs="华文仿宋"/>
          <w:color w:val="000000"/>
          <w:sz w:val="36"/>
          <w:szCs w:val="36"/>
        </w:rPr>
      </w:pPr>
    </w:p>
    <w:p w14:paraId="698198C2">
      <w:pPr>
        <w:pStyle w:val="31"/>
        <w:spacing w:line="240" w:lineRule="auto"/>
        <w:ind w:firstLine="0" w:firstLineChars="0"/>
        <w:jc w:val="center"/>
        <w:rPr>
          <w:rFonts w:ascii="华文仿宋" w:hAnsi="华文仿宋" w:cs="华文仿宋"/>
          <w:color w:val="000000"/>
          <w:kern w:val="0"/>
          <w:sz w:val="96"/>
          <w:szCs w:val="96"/>
        </w:rPr>
      </w:pPr>
      <w:bookmarkStart w:id="152" w:name="_Toc16362"/>
      <w:bookmarkStart w:id="153" w:name="_Toc19569"/>
      <w:bookmarkStart w:id="154" w:name="_Toc26378"/>
      <w:bookmarkStart w:id="155" w:name="_Toc17700"/>
      <w:bookmarkStart w:id="156" w:name="_Toc20481"/>
      <w:bookmarkStart w:id="157" w:name="_Toc76"/>
      <w:bookmarkStart w:id="158" w:name="_Toc13950"/>
      <w:bookmarkStart w:id="159" w:name="_Toc8257"/>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2ADCB4B5">
      <w:pPr>
        <w:pStyle w:val="31"/>
        <w:spacing w:line="240" w:lineRule="auto"/>
        <w:ind w:firstLine="0" w:firstLineChars="0"/>
        <w:jc w:val="center"/>
        <w:rPr>
          <w:rFonts w:ascii="华文仿宋" w:hAnsi="华文仿宋" w:cs="华文仿宋"/>
          <w:color w:val="000000"/>
          <w:sz w:val="36"/>
          <w:szCs w:val="36"/>
        </w:rPr>
      </w:pPr>
    </w:p>
    <w:p w14:paraId="26A6CD33">
      <w:pPr>
        <w:pStyle w:val="31"/>
        <w:spacing w:line="240" w:lineRule="auto"/>
        <w:ind w:firstLine="0" w:firstLineChars="0"/>
        <w:jc w:val="center"/>
        <w:rPr>
          <w:rFonts w:ascii="华文仿宋" w:hAnsi="华文仿宋" w:cs="华文仿宋"/>
          <w:color w:val="000000"/>
          <w:sz w:val="36"/>
          <w:szCs w:val="36"/>
        </w:rPr>
      </w:pPr>
    </w:p>
    <w:p w14:paraId="29B3B128">
      <w:pPr>
        <w:pStyle w:val="31"/>
        <w:spacing w:line="240" w:lineRule="auto"/>
        <w:ind w:firstLine="0" w:firstLineChars="0"/>
        <w:jc w:val="center"/>
        <w:rPr>
          <w:rFonts w:ascii="华文仿宋" w:hAnsi="华文仿宋" w:cs="华文仿宋"/>
          <w:color w:val="000000"/>
          <w:sz w:val="36"/>
          <w:szCs w:val="36"/>
        </w:rPr>
      </w:pPr>
    </w:p>
    <w:p w14:paraId="4DABFD41">
      <w:pPr>
        <w:pStyle w:val="31"/>
        <w:spacing w:line="240" w:lineRule="auto"/>
        <w:ind w:firstLine="0" w:firstLineChars="0"/>
        <w:jc w:val="center"/>
        <w:rPr>
          <w:rFonts w:ascii="华文仿宋" w:hAnsi="华文仿宋" w:cs="华文仿宋"/>
          <w:color w:val="000000"/>
          <w:sz w:val="36"/>
          <w:szCs w:val="36"/>
        </w:rPr>
      </w:pPr>
    </w:p>
    <w:p w14:paraId="77F7F5F4">
      <w:pPr>
        <w:pStyle w:val="31"/>
        <w:spacing w:line="240" w:lineRule="auto"/>
        <w:ind w:firstLine="0" w:firstLineChars="0"/>
        <w:jc w:val="center"/>
        <w:rPr>
          <w:rFonts w:ascii="华文仿宋" w:hAnsi="华文仿宋" w:cs="华文仿宋"/>
          <w:color w:val="000000"/>
          <w:sz w:val="36"/>
        </w:rPr>
      </w:pPr>
    </w:p>
    <w:p w14:paraId="5B5C0DD1">
      <w:pPr>
        <w:pStyle w:val="31"/>
        <w:spacing w:line="240" w:lineRule="auto"/>
        <w:ind w:firstLine="1452" w:firstLineChars="400"/>
        <w:rPr>
          <w:rFonts w:hint="default" w:ascii="仿宋" w:hAnsi="仿宋" w:eastAsia="仿宋" w:cs="仿宋"/>
          <w:b/>
          <w:color w:val="000000"/>
          <w:sz w:val="36"/>
          <w:szCs w:val="36"/>
          <w:u w:val="single"/>
          <w:lang w:val="en-US" w:eastAsia="zh-CN"/>
        </w:rPr>
      </w:pPr>
      <w:bookmarkStart w:id="160" w:name="_Toc12627"/>
      <w:bookmarkStart w:id="161" w:name="_Toc23171"/>
      <w:bookmarkStart w:id="162" w:name="_Toc15354"/>
      <w:bookmarkStart w:id="163" w:name="_Toc24457"/>
      <w:bookmarkStart w:id="164" w:name="_Toc21212"/>
      <w:bookmarkStart w:id="165" w:name="_Toc2030"/>
      <w:bookmarkStart w:id="166" w:name="_Toc22280"/>
      <w:bookmarkStart w:id="167" w:name="_Toc24486"/>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383331CB">
      <w:pPr>
        <w:pStyle w:val="31"/>
        <w:spacing w:line="240" w:lineRule="auto"/>
        <w:ind w:firstLine="1452" w:firstLineChars="400"/>
        <w:rPr>
          <w:rFonts w:hint="default" w:ascii="仿宋" w:hAnsi="仿宋" w:eastAsia="仿宋" w:cs="仿宋"/>
          <w:color w:val="000000"/>
          <w:sz w:val="36"/>
          <w:szCs w:val="36"/>
          <w:u w:val="single"/>
        </w:rPr>
      </w:pPr>
      <w:bookmarkStart w:id="168" w:name="_Toc12638"/>
      <w:bookmarkStart w:id="169" w:name="_Toc346"/>
      <w:bookmarkStart w:id="170" w:name="_Toc10738"/>
      <w:bookmarkStart w:id="171" w:name="_Toc3140"/>
      <w:bookmarkStart w:id="172" w:name="_Toc13586"/>
      <w:bookmarkStart w:id="173" w:name="_Toc27644"/>
      <w:bookmarkStart w:id="174" w:name="_Toc4485"/>
      <w:bookmarkStart w:id="175" w:name="_Toc6740"/>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3787610E">
      <w:pPr>
        <w:pStyle w:val="31"/>
        <w:spacing w:line="240" w:lineRule="auto"/>
        <w:ind w:firstLine="1452" w:firstLineChars="400"/>
        <w:rPr>
          <w:rFonts w:ascii="仿宋" w:hAnsi="仿宋" w:eastAsia="仿宋" w:cs="仿宋"/>
          <w:color w:val="000000"/>
          <w:sz w:val="36"/>
        </w:rPr>
      </w:pPr>
      <w:bookmarkStart w:id="176" w:name="_Toc5428"/>
      <w:bookmarkStart w:id="177" w:name="_Toc29966"/>
      <w:bookmarkStart w:id="178" w:name="_Toc11267"/>
      <w:bookmarkStart w:id="179" w:name="_Toc15987"/>
      <w:bookmarkStart w:id="180" w:name="_Toc22519"/>
      <w:bookmarkStart w:id="181" w:name="_Toc1120"/>
      <w:bookmarkStart w:id="182" w:name="_Toc7640"/>
      <w:bookmarkStart w:id="183" w:name="_Toc21054"/>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23334FD4">
      <w:pPr>
        <w:pStyle w:val="31"/>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880"/>
      <w:bookmarkStart w:id="185" w:name="_Toc24294"/>
      <w:bookmarkStart w:id="186" w:name="_Toc7734"/>
      <w:bookmarkStart w:id="187" w:name="_Toc26250"/>
      <w:bookmarkStart w:id="188" w:name="_Toc5243"/>
      <w:bookmarkStart w:id="189" w:name="_Toc2899"/>
      <w:bookmarkStart w:id="190" w:name="_Toc21702"/>
      <w:bookmarkStart w:id="191" w:name="_Toc15429"/>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29E59F5D">
      <w:pPr>
        <w:pStyle w:val="31"/>
        <w:spacing w:line="240" w:lineRule="auto"/>
        <w:ind w:firstLine="1452" w:firstLineChars="400"/>
        <w:jc w:val="left"/>
        <w:rPr>
          <w:rFonts w:ascii="仿宋" w:hAnsi="仿宋" w:eastAsia="仿宋" w:cs="仿宋"/>
          <w:color w:val="000000"/>
          <w:sz w:val="36"/>
          <w:szCs w:val="36"/>
          <w:u w:val="single"/>
        </w:rPr>
      </w:pPr>
    </w:p>
    <w:p w14:paraId="71FFB00B">
      <w:pPr>
        <w:pStyle w:val="35"/>
        <w:ind w:firstLine="888"/>
        <w:outlineLvl w:val="9"/>
        <w:rPr>
          <w:rFonts w:ascii="Calibri Light" w:hAnsi="Calibri Light"/>
          <w:color w:val="000000"/>
          <w:sz w:val="36"/>
          <w:szCs w:val="36"/>
        </w:rPr>
      </w:pPr>
      <w:bookmarkStart w:id="192" w:name="_Toc2071_WPSOffice_Level1"/>
      <w:bookmarkStart w:id="193" w:name="_Toc22476_WPSOffice_Level1"/>
      <w:bookmarkStart w:id="194" w:name="_Toc31082_WPSOffice_Level1"/>
      <w:bookmarkStart w:id="195" w:name="_Toc10193"/>
      <w:bookmarkStart w:id="196" w:name="_Toc11156"/>
      <w:bookmarkStart w:id="197" w:name="_Toc23450"/>
      <w:bookmarkStart w:id="198" w:name="_Toc21571_WPSOffice_Level1"/>
      <w:bookmarkStart w:id="199" w:name="_Toc24906"/>
      <w:bookmarkStart w:id="200" w:name="_Toc3838"/>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25537_WPSOffice_Level1"/>
      <w:bookmarkStart w:id="203" w:name="_Toc8294_WPSOffice_Level1"/>
      <w:bookmarkStart w:id="204" w:name="_Toc19993_WPSOffice_Level1"/>
      <w:bookmarkStart w:id="205" w:name="_Toc26192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6" w:name="_Toc31082_WPSOffice_Level2"/>
      <w:bookmarkStart w:id="207" w:name="_Toc19993_WPSOffice_Level2"/>
      <w:bookmarkStart w:id="208" w:name="_Toc25969_WPSOffice_Level2"/>
      <w:bookmarkStart w:id="209" w:name="_Toc14464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411713C2">
      <w:pPr>
        <w:tabs>
          <w:tab w:val="right" w:leader="hyphen" w:pos="8504"/>
        </w:tabs>
        <w:spacing w:line="500" w:lineRule="exact"/>
        <w:ind w:right="849" w:rightChars="300" w:firstLine="1415" w:firstLineChars="500"/>
        <w:rPr>
          <w:color w:val="000000"/>
        </w:rPr>
      </w:pPr>
      <w:bookmarkStart w:id="210" w:name="_Toc27026_WPSOffice_Level2"/>
      <w:bookmarkStart w:id="211" w:name="_Toc25537_WPSOffice_Level2"/>
      <w:bookmarkStart w:id="212" w:name="_Toc10078_WPSOffice_Level2"/>
      <w:bookmarkStart w:id="213" w:name="_Toc5830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4F27D419">
      <w:pPr>
        <w:tabs>
          <w:tab w:val="right" w:leader="hyphen" w:pos="8504"/>
        </w:tabs>
        <w:spacing w:line="500" w:lineRule="exact"/>
        <w:ind w:right="849" w:rightChars="300" w:firstLine="1415" w:firstLineChars="500"/>
        <w:rPr>
          <w:rFonts w:hint="default"/>
          <w:color w:val="000000"/>
          <w:lang w:val="en-US" w:eastAsia="zh-CN"/>
        </w:rPr>
      </w:pPr>
      <w:r>
        <w:rPr>
          <w:rFonts w:hint="eastAsia"/>
          <w:color w:val="000000"/>
          <w:lang w:val="en-US" w:eastAsia="zh-CN"/>
        </w:rPr>
        <w:t>八、特定资格要求</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4" w:name="_Toc5795_WPSOffice_Level2"/>
      <w:bookmarkStart w:id="215" w:name="_Toc183_WPSOffice_Level2"/>
      <w:bookmarkStart w:id="216" w:name="_Toc28631_WPSOffice_Level2"/>
      <w:bookmarkStart w:id="217" w:name="_Toc7348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0486DC73">
      <w:pPr>
        <w:tabs>
          <w:tab w:val="right" w:leader="hyphen" w:pos="8504"/>
        </w:tabs>
        <w:spacing w:line="500" w:lineRule="exact"/>
        <w:ind w:right="849" w:rightChars="300" w:firstLine="1415" w:firstLineChars="500"/>
        <w:rPr>
          <w:rFonts w:hint="eastAsia"/>
          <w:color w:val="000000"/>
        </w:rPr>
      </w:pPr>
      <w:bookmarkStart w:id="218" w:name="_Toc1168_WPSOffice_Level2"/>
      <w:bookmarkStart w:id="219" w:name="_Toc27223_WPSOffice_Level2"/>
      <w:bookmarkStart w:id="220" w:name="_Toc9021_WPSOffice_Level2"/>
      <w:bookmarkStart w:id="221" w:name="_Toc8116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2" w:name="_Toc3525_WPSOffice_Level2"/>
      <w:bookmarkStart w:id="223" w:name="_Toc11630_WPSOffice_Level2"/>
      <w:bookmarkStart w:id="224" w:name="_Toc27170_WPSOffice_Level2"/>
      <w:bookmarkStart w:id="225" w:name="_Toc29414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0E468E6A">
      <w:pPr>
        <w:tabs>
          <w:tab w:val="right" w:leader="hyphen" w:pos="8504"/>
        </w:tabs>
        <w:spacing w:line="480" w:lineRule="exact"/>
        <w:ind w:right="849" w:rightChars="300" w:firstLine="1415" w:firstLineChars="500"/>
        <w:rPr>
          <w:color w:val="000000"/>
        </w:rPr>
      </w:pPr>
      <w:bookmarkStart w:id="226" w:name="_Toc20504_WPSOffice_Level2"/>
      <w:bookmarkStart w:id="227" w:name="_Toc1782_WPSOffice_Level2"/>
      <w:bookmarkStart w:id="228" w:name="_Toc18811_WPSOffice_Level2"/>
      <w:bookmarkStart w:id="229" w:name="_Toc31457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0" w:name="_Toc17428_WPSOffice_Level2"/>
      <w:bookmarkStart w:id="231" w:name="_Toc19486_WPSOffice_Level2"/>
      <w:bookmarkStart w:id="232" w:name="_Toc28279_WPSOffice_Level2"/>
      <w:bookmarkStart w:id="233" w:name="_Toc1325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4" w:name="_Toc23092_WPSOffice_Level1"/>
      <w:bookmarkStart w:id="235" w:name="_Toc27464_WPSOffice_Level1"/>
      <w:bookmarkStart w:id="236" w:name="_Toc22808_WPSOffice_Level1"/>
      <w:bookmarkStart w:id="237" w:name="_Toc21905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980_WPSOffice_Level2"/>
      <w:bookmarkStart w:id="240" w:name="_Toc7544_WPSOffice_Level2"/>
      <w:bookmarkStart w:id="241" w:name="_Toc8316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5A27765E">
      <w:pPr>
        <w:tabs>
          <w:tab w:val="right" w:leader="hyphen" w:pos="8504"/>
        </w:tabs>
        <w:spacing w:line="500" w:lineRule="exact"/>
        <w:ind w:left="849" w:leftChars="300" w:right="849" w:rightChars="300" w:firstLine="566" w:firstLineChars="200"/>
        <w:rPr>
          <w:color w:val="000000"/>
        </w:rPr>
      </w:pPr>
      <w:bookmarkStart w:id="242" w:name="_Toc2987_WPSOffice_Level2"/>
      <w:bookmarkStart w:id="243" w:name="_Toc15474_WPSOffice_Level2"/>
      <w:bookmarkStart w:id="244" w:name="_Toc2999_WPSOffice_Level2"/>
      <w:bookmarkStart w:id="245" w:name="_Toc10127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40CA49D7">
      <w:pPr>
        <w:numPr>
          <w:ilvl w:val="0"/>
          <w:numId w:val="5"/>
        </w:numPr>
        <w:tabs>
          <w:tab w:val="right" w:leader="hyphen" w:pos="8504"/>
        </w:tabs>
        <w:spacing w:line="500" w:lineRule="exact"/>
        <w:ind w:left="1981" w:leftChars="500" w:right="849" w:rightChars="300" w:hanging="566" w:hangingChars="200"/>
        <w:rPr>
          <w:color w:val="000000"/>
        </w:rPr>
      </w:pPr>
      <w:bookmarkStart w:id="246" w:name="_Toc13401_WPSOffice_Level2"/>
      <w:bookmarkStart w:id="247" w:name="_Toc15492_WPSOffice_Level2"/>
      <w:bookmarkStart w:id="248" w:name="_Toc28542_WPSOffice_Level2"/>
      <w:bookmarkStart w:id="249" w:name="_Toc22913_WPSOffice_Level2"/>
      <w:r>
        <w:rPr>
          <w:rFonts w:hint="eastAsia"/>
          <w:color w:val="000000"/>
        </w:rPr>
        <w:t>参考样表</w:t>
      </w:r>
      <w:r>
        <w:rPr>
          <w:color w:val="000000"/>
        </w:rPr>
        <w:tab/>
      </w:r>
      <w:r>
        <w:rPr>
          <w:color w:val="000000"/>
        </w:rPr>
        <w:t>X</w:t>
      </w:r>
      <w:bookmarkEnd w:id="246"/>
      <w:bookmarkEnd w:id="247"/>
      <w:bookmarkEnd w:id="248"/>
      <w:bookmarkEnd w:id="249"/>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31057"/>
      <w:bookmarkStart w:id="251" w:name="_Toc13654"/>
      <w:bookmarkStart w:id="252" w:name="_Toc1807"/>
      <w:r>
        <w:rPr>
          <w:rStyle w:val="36"/>
          <w:rFonts w:hint="eastAsia" w:ascii="黑体" w:hAnsi="黑体" w:eastAsia="黑体"/>
          <w:b w:val="0"/>
          <w:bCs w:val="0"/>
          <w:color w:val="000000"/>
        </w:rPr>
        <w:t>第一部分  资格证明文件</w:t>
      </w:r>
      <w:bookmarkEnd w:id="250"/>
      <w:bookmarkEnd w:id="251"/>
      <w:bookmarkEnd w:id="252"/>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9"/>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7"/>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802"/>
        <w:gridCol w:w="1837"/>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802"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837"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9"/>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9"/>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7"/>
        <w:spacing w:line="500" w:lineRule="atLeast"/>
        <w:ind w:firstLine="607"/>
        <w:jc w:val="center"/>
        <w:outlineLvl w:val="9"/>
        <w:rPr>
          <w:rFonts w:cs="Times New Roman"/>
          <w:color w:val="000000"/>
          <w:szCs w:val="30"/>
        </w:rPr>
      </w:pPr>
      <w:bookmarkStart w:id="253" w:name="_Toc18044"/>
      <w:bookmarkStart w:id="254" w:name="_Toc15591"/>
      <w:bookmarkStart w:id="255" w:name="_Toc19326"/>
      <w:bookmarkStart w:id="256" w:name="_Toc29822"/>
      <w:bookmarkStart w:id="257" w:name="_Toc17482"/>
      <w:bookmarkStart w:id="258" w:name="_Toc12408"/>
      <w:bookmarkStart w:id="259" w:name="_Toc9004"/>
      <w:bookmarkStart w:id="260" w:name="_Toc13312"/>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6"/>
    </w:p>
    <w:bookmarkEnd w:id="257"/>
    <w:bookmarkEnd w:id="258"/>
    <w:bookmarkEnd w:id="259"/>
    <w:bookmarkEnd w:id="260"/>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 ）</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0320D949">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4AC14BF5">
      <w:pPr>
        <w:pStyle w:val="35"/>
        <w:ind w:firstLine="0" w:firstLineChars="0"/>
        <w:rPr>
          <w:rFonts w:hint="eastAsia" w:ascii="黑体" w:hAnsi="黑体" w:eastAsia="黑体"/>
          <w:b w:val="0"/>
          <w:color w:val="000000"/>
        </w:rPr>
      </w:pPr>
      <w:bookmarkStart w:id="261" w:name="_Toc28770"/>
      <w:bookmarkStart w:id="262" w:name="_Toc16881"/>
    </w:p>
    <w:p w14:paraId="3FA7B3E6">
      <w:pPr>
        <w:pStyle w:val="35"/>
        <w:ind w:firstLine="0" w:firstLineChars="0"/>
        <w:rPr>
          <w:rFonts w:hint="eastAsia" w:ascii="黑体" w:hAnsi="黑体" w:eastAsia="黑体"/>
          <w:b w:val="0"/>
          <w:color w:val="000000"/>
        </w:rPr>
      </w:pPr>
    </w:p>
    <w:p w14:paraId="539CB749">
      <w:pPr>
        <w:pStyle w:val="35"/>
        <w:ind w:firstLine="0" w:firstLineChars="0"/>
        <w:rPr>
          <w:rFonts w:hint="eastAsia" w:ascii="黑体" w:hAnsi="黑体" w:eastAsia="黑体"/>
          <w:b w:val="0"/>
          <w:color w:val="000000"/>
        </w:rPr>
      </w:pPr>
    </w:p>
    <w:p w14:paraId="71DE320D">
      <w:pPr>
        <w:pStyle w:val="35"/>
        <w:ind w:firstLine="0" w:firstLineChars="0"/>
        <w:rPr>
          <w:rFonts w:hint="eastAsia" w:ascii="黑体" w:hAnsi="黑体" w:eastAsia="黑体"/>
          <w:b w:val="0"/>
          <w:color w:val="000000"/>
        </w:rPr>
      </w:pPr>
    </w:p>
    <w:p w14:paraId="73FFCD0E">
      <w:pPr>
        <w:pStyle w:val="35"/>
        <w:ind w:firstLine="0" w:firstLineChars="0"/>
        <w:rPr>
          <w:rFonts w:hint="eastAsia" w:ascii="黑体" w:hAnsi="黑体" w:eastAsia="黑体"/>
          <w:b w:val="0"/>
          <w:color w:val="000000"/>
        </w:rPr>
      </w:pPr>
    </w:p>
    <w:p w14:paraId="3331C5B7">
      <w:pPr>
        <w:pStyle w:val="27"/>
        <w:numPr>
          <w:ilvl w:val="0"/>
          <w:numId w:val="0"/>
        </w:numPr>
        <w:ind w:leftChars="0" w:firstLine="566" w:firstLineChars="200"/>
        <w:rPr>
          <w:rFonts w:hint="default"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八、特定资格要求：</w:t>
      </w:r>
      <w:r>
        <w:rPr>
          <w:rFonts w:hint="eastAsia" w:ascii="华文仿宋" w:hAnsi="华文仿宋" w:eastAsia="华文仿宋" w:cs="华文仿宋"/>
          <w:color w:val="auto"/>
          <w:kern w:val="2"/>
          <w:sz w:val="28"/>
          <w:szCs w:val="28"/>
          <w:highlight w:val="none"/>
          <w:lang w:val="en-US" w:eastAsia="zh-CN" w:bidi="ar-SA"/>
        </w:rPr>
        <w:t>无。</w:t>
      </w:r>
    </w:p>
    <w:p w14:paraId="6399A65E">
      <w:pPr>
        <w:pStyle w:val="35"/>
        <w:ind w:firstLine="0" w:firstLineChars="0"/>
        <w:rPr>
          <w:rFonts w:hint="eastAsia" w:ascii="黑体" w:hAnsi="黑体" w:eastAsia="黑体"/>
          <w:b w:val="0"/>
          <w:color w:val="000000"/>
        </w:rPr>
      </w:pPr>
    </w:p>
    <w:p w14:paraId="00D20356">
      <w:pPr>
        <w:pStyle w:val="35"/>
        <w:ind w:firstLine="0" w:firstLineChars="0"/>
        <w:rPr>
          <w:rFonts w:hint="eastAsia" w:ascii="黑体" w:hAnsi="黑体" w:eastAsia="黑体"/>
          <w:b w:val="0"/>
          <w:color w:val="000000"/>
        </w:rPr>
      </w:pPr>
    </w:p>
    <w:p w14:paraId="61FF7EF7">
      <w:pPr>
        <w:pStyle w:val="35"/>
        <w:ind w:firstLine="0" w:firstLineChars="0"/>
        <w:rPr>
          <w:rFonts w:hint="eastAsia" w:ascii="黑体" w:hAnsi="黑体" w:eastAsia="黑体"/>
          <w:b w:val="0"/>
          <w:color w:val="000000"/>
        </w:rPr>
      </w:pPr>
    </w:p>
    <w:p w14:paraId="0BC3C38C">
      <w:pPr>
        <w:pStyle w:val="35"/>
        <w:ind w:firstLine="0" w:firstLineChars="0"/>
        <w:rPr>
          <w:rFonts w:hint="eastAsia" w:ascii="黑体" w:hAnsi="黑体" w:eastAsia="黑体"/>
          <w:b w:val="0"/>
          <w:color w:val="000000"/>
        </w:rPr>
      </w:pPr>
    </w:p>
    <w:p w14:paraId="21EFEA36">
      <w:pPr>
        <w:pStyle w:val="35"/>
        <w:keepNext w:val="0"/>
        <w:keepLines/>
        <w:pageBreakBefore/>
        <w:widowControl/>
        <w:kinsoku/>
        <w:wordWrap/>
        <w:overflowPunct/>
        <w:topLinePunct w:val="0"/>
        <w:autoSpaceDE/>
        <w:autoSpaceDN/>
        <w:bidi w:val="0"/>
        <w:adjustRightInd/>
        <w:snapToGrid/>
        <w:ind w:firstLine="0" w:firstLineChars="0"/>
        <w:textAlignment w:val="auto"/>
        <w:rPr>
          <w:rFonts w:ascii="黑体" w:hAnsi="黑体" w:eastAsia="黑体"/>
          <w:b w:val="0"/>
          <w:color w:val="000000"/>
        </w:rPr>
      </w:pPr>
      <w:bookmarkStart w:id="263" w:name="_Toc29074"/>
      <w:r>
        <w:rPr>
          <w:rFonts w:hint="eastAsia" w:ascii="黑体" w:hAnsi="黑体" w:eastAsia="黑体"/>
          <w:b w:val="0"/>
          <w:color w:val="000000"/>
        </w:rPr>
        <w:t>第二部分  符合性证明文件</w:t>
      </w:r>
      <w:bookmarkEnd w:id="261"/>
      <w:bookmarkEnd w:id="262"/>
      <w:bookmarkEnd w:id="263"/>
    </w:p>
    <w:p w14:paraId="4249899B">
      <w:pPr>
        <w:pStyle w:val="35"/>
        <w:ind w:firstLine="609"/>
        <w:jc w:val="both"/>
        <w:outlineLvl w:val="2"/>
        <w:rPr>
          <w:rFonts w:ascii="仿宋" w:hAnsi="仿宋" w:eastAsia="仿宋" w:cs="仿宋"/>
          <w:bCs w:val="0"/>
          <w:color w:val="000000"/>
        </w:rPr>
      </w:pPr>
      <w:bookmarkStart w:id="264" w:name="_Toc19195"/>
      <w:bookmarkStart w:id="265" w:name="_Toc19788"/>
      <w:bookmarkStart w:id="266" w:name="_Toc2230"/>
      <w:bookmarkStart w:id="267" w:name="_Toc14262"/>
      <w:r>
        <w:rPr>
          <w:rFonts w:hint="eastAsia" w:ascii="仿宋" w:hAnsi="仿宋" w:eastAsia="仿宋" w:cs="仿宋"/>
          <w:bCs w:val="0"/>
          <w:color w:val="000000"/>
        </w:rPr>
        <w:t>一、响应函格式</w:t>
      </w:r>
      <w:bookmarkEnd w:id="264"/>
      <w:bookmarkEnd w:id="265"/>
      <w:bookmarkEnd w:id="266"/>
      <w:bookmarkEnd w:id="267"/>
    </w:p>
    <w:p w14:paraId="58D43A13">
      <w:pPr>
        <w:pStyle w:val="31"/>
        <w:ind w:firstLine="0" w:firstLineChars="0"/>
        <w:jc w:val="center"/>
        <w:rPr>
          <w:rFonts w:ascii="黑体" w:hAnsi="黑体" w:eastAsia="黑体" w:cs="黑体"/>
          <w:color w:val="000000"/>
          <w:sz w:val="32"/>
          <w:szCs w:val="32"/>
        </w:rPr>
      </w:pPr>
      <w:bookmarkStart w:id="268" w:name="_Toc23334"/>
      <w:bookmarkStart w:id="269" w:name="_Toc22777"/>
      <w:bookmarkStart w:id="270" w:name="_Toc10617"/>
      <w:r>
        <w:rPr>
          <w:rFonts w:hint="eastAsia" w:ascii="黑体" w:hAnsi="黑体" w:eastAsia="黑体" w:cs="黑体"/>
          <w:color w:val="000000"/>
          <w:sz w:val="32"/>
          <w:szCs w:val="32"/>
        </w:rPr>
        <w:t>响应函</w:t>
      </w:r>
      <w:bookmarkEnd w:id="268"/>
      <w:bookmarkEnd w:id="269"/>
      <w:bookmarkEnd w:id="270"/>
    </w:p>
    <w:p w14:paraId="282EA6BA">
      <w:pPr>
        <w:pStyle w:val="31"/>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31"/>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31"/>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31"/>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电子磋商文件作出</w:t>
      </w:r>
      <w:r>
        <w:rPr>
          <w:rFonts w:hint="eastAsia" w:ascii="华文仿宋" w:hAnsi="华文仿宋" w:cs="华文仿宋"/>
          <w:color w:val="000000"/>
        </w:rPr>
        <w:t>的修改或澄清、答疑纪要，以及项目暂停、重启、延期、终止等）。</w:t>
      </w:r>
    </w:p>
    <w:p w14:paraId="0592A1D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31"/>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31"/>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31"/>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31"/>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31"/>
        <w:spacing w:line="500" w:lineRule="exact"/>
        <w:ind w:firstLine="567"/>
        <w:rPr>
          <w:rFonts w:ascii="华文仿宋" w:hAnsi="华文仿宋" w:cs="华文仿宋"/>
          <w:color w:val="000000"/>
        </w:rPr>
      </w:pPr>
    </w:p>
    <w:p w14:paraId="209525BA">
      <w:pPr>
        <w:pStyle w:val="31"/>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31"/>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31"/>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31"/>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31"/>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31"/>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31"/>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31"/>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31"/>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31"/>
        <w:ind w:firstLine="0" w:firstLineChars="0"/>
        <w:rPr>
          <w:rFonts w:ascii="华文仿宋" w:hAnsi="华文仿宋" w:cs="华文仿宋"/>
          <w:color w:val="000000"/>
          <w:sz w:val="36"/>
        </w:rPr>
      </w:pPr>
    </w:p>
    <w:p w14:paraId="4C6D3F6B">
      <w:pPr>
        <w:pStyle w:val="31"/>
        <w:ind w:firstLine="0" w:firstLineChars="0"/>
        <w:rPr>
          <w:color w:val="000000"/>
          <w:sz w:val="36"/>
        </w:rPr>
      </w:pPr>
    </w:p>
    <w:p w14:paraId="70C7C9DE">
      <w:pPr>
        <w:pStyle w:val="31"/>
        <w:ind w:firstLine="0" w:firstLineChars="0"/>
        <w:rPr>
          <w:color w:val="000000"/>
          <w:sz w:val="24"/>
          <w:szCs w:val="24"/>
        </w:rPr>
      </w:pPr>
    </w:p>
    <w:p w14:paraId="1EE38841">
      <w:pPr>
        <w:pStyle w:val="31"/>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31"/>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5"/>
        <w:ind w:firstLine="609"/>
        <w:jc w:val="both"/>
        <w:outlineLvl w:val="9"/>
        <w:rPr>
          <w:rFonts w:ascii="仿宋" w:hAnsi="仿宋" w:eastAsia="仿宋" w:cs="仿宋"/>
          <w:bCs w:val="0"/>
          <w:color w:val="000000"/>
        </w:rPr>
      </w:pPr>
      <w:bookmarkStart w:id="271" w:name="_Toc23660"/>
      <w:bookmarkStart w:id="272" w:name="_Toc24876"/>
      <w:bookmarkStart w:id="273" w:name="_Toc6921"/>
    </w:p>
    <w:p w14:paraId="1AF40D03">
      <w:pPr>
        <w:pStyle w:val="35"/>
        <w:ind w:firstLine="609"/>
        <w:jc w:val="both"/>
        <w:outlineLvl w:val="9"/>
        <w:rPr>
          <w:rFonts w:ascii="仿宋" w:hAnsi="仿宋" w:eastAsia="仿宋" w:cs="仿宋"/>
          <w:bCs w:val="0"/>
          <w:color w:val="000000"/>
        </w:rPr>
      </w:pPr>
    </w:p>
    <w:p w14:paraId="12E6B8AB">
      <w:pPr>
        <w:pStyle w:val="35"/>
        <w:ind w:firstLine="609"/>
        <w:jc w:val="both"/>
        <w:outlineLvl w:val="9"/>
        <w:rPr>
          <w:rFonts w:ascii="仿宋" w:hAnsi="仿宋" w:eastAsia="仿宋" w:cs="仿宋"/>
          <w:bCs w:val="0"/>
          <w:color w:val="000000"/>
        </w:rPr>
      </w:pPr>
    </w:p>
    <w:p w14:paraId="65D75D7C">
      <w:pPr>
        <w:pStyle w:val="35"/>
        <w:ind w:firstLine="609"/>
        <w:jc w:val="both"/>
        <w:outlineLvl w:val="9"/>
        <w:rPr>
          <w:rFonts w:ascii="仿宋" w:hAnsi="仿宋" w:eastAsia="仿宋" w:cs="仿宋"/>
          <w:bCs w:val="0"/>
          <w:color w:val="000000"/>
        </w:rPr>
      </w:pPr>
    </w:p>
    <w:p w14:paraId="33FAB430">
      <w:pPr>
        <w:pStyle w:val="35"/>
        <w:ind w:firstLine="609"/>
        <w:jc w:val="both"/>
        <w:outlineLvl w:val="9"/>
        <w:rPr>
          <w:rFonts w:ascii="仿宋" w:hAnsi="仿宋" w:eastAsia="仿宋" w:cs="仿宋"/>
          <w:bCs w:val="0"/>
          <w:color w:val="000000"/>
        </w:rPr>
      </w:pPr>
    </w:p>
    <w:p w14:paraId="7E6641E9">
      <w:pPr>
        <w:pStyle w:val="35"/>
        <w:ind w:firstLine="609"/>
        <w:jc w:val="both"/>
        <w:outlineLvl w:val="9"/>
        <w:rPr>
          <w:rFonts w:ascii="仿宋" w:hAnsi="仿宋" w:eastAsia="仿宋" w:cs="仿宋"/>
          <w:bCs w:val="0"/>
          <w:color w:val="000000"/>
        </w:rPr>
      </w:pPr>
    </w:p>
    <w:p w14:paraId="32D911F3">
      <w:pPr>
        <w:pStyle w:val="35"/>
        <w:ind w:firstLine="609"/>
        <w:jc w:val="both"/>
        <w:outlineLvl w:val="9"/>
        <w:rPr>
          <w:rFonts w:ascii="仿宋" w:hAnsi="仿宋" w:eastAsia="仿宋" w:cs="仿宋"/>
          <w:bCs w:val="0"/>
          <w:color w:val="000000"/>
        </w:rPr>
      </w:pPr>
    </w:p>
    <w:p w14:paraId="0306B5D9">
      <w:pPr>
        <w:pStyle w:val="35"/>
        <w:ind w:firstLine="609"/>
        <w:jc w:val="both"/>
        <w:outlineLvl w:val="9"/>
        <w:rPr>
          <w:rFonts w:ascii="仿宋" w:hAnsi="仿宋" w:eastAsia="仿宋" w:cs="仿宋"/>
          <w:bCs w:val="0"/>
          <w:color w:val="000000"/>
        </w:rPr>
      </w:pPr>
    </w:p>
    <w:bookmarkEnd w:id="271"/>
    <w:bookmarkEnd w:id="272"/>
    <w:bookmarkEnd w:id="273"/>
    <w:p w14:paraId="52129943">
      <w:pPr>
        <w:spacing w:line="500" w:lineRule="exact"/>
        <w:ind w:firstLine="6460" w:firstLineChars="2000"/>
        <w:rPr>
          <w:rFonts w:ascii="宋体" w:hAnsi="宋体"/>
          <w:b/>
          <w:bCs/>
          <w:color w:val="000000"/>
          <w:sz w:val="32"/>
          <w:szCs w:val="32"/>
        </w:rPr>
      </w:pPr>
    </w:p>
    <w:p w14:paraId="6E5D5EC2">
      <w:pPr>
        <w:spacing w:line="500" w:lineRule="exact"/>
        <w:rPr>
          <w:rFonts w:ascii="宋体" w:hAnsi="宋体"/>
          <w:b/>
          <w:bCs/>
          <w:color w:val="000000"/>
          <w:sz w:val="32"/>
          <w:szCs w:val="32"/>
        </w:rPr>
        <w:sectPr>
          <w:footerReference r:id="rId9" w:type="first"/>
          <w:headerReference r:id="rId7" w:type="default"/>
          <w:footerReference r:id="rId8" w:type="default"/>
          <w:pgSz w:w="11906" w:h="16838"/>
          <w:pgMar w:top="1304" w:right="1417" w:bottom="1304" w:left="1417" w:header="850" w:footer="624" w:gutter="0"/>
          <w:pgNumType w:fmt="decimal" w:start="1"/>
          <w:cols w:space="720" w:num="1"/>
          <w:docGrid w:type="linesAndChars" w:linePitch="381" w:charSpace="704"/>
        </w:sectPr>
      </w:pPr>
    </w:p>
    <w:p w14:paraId="78866ED1">
      <w:pPr>
        <w:pStyle w:val="35"/>
        <w:numPr>
          <w:ilvl w:val="0"/>
          <w:numId w:val="6"/>
        </w:numPr>
        <w:ind w:firstLine="609"/>
        <w:jc w:val="both"/>
        <w:outlineLvl w:val="2"/>
        <w:rPr>
          <w:rFonts w:hint="eastAsia" w:eastAsia="华文仿宋"/>
          <w:b/>
          <w:bCs/>
          <w:color w:val="000000"/>
          <w:sz w:val="30"/>
          <w:szCs w:val="30"/>
          <w:lang w:eastAsia="zh-CN"/>
        </w:rPr>
      </w:pPr>
      <w:bookmarkStart w:id="274" w:name="_Toc10520"/>
      <w:r>
        <w:rPr>
          <w:rFonts w:hint="eastAsia" w:ascii="仿宋" w:hAnsi="仿宋" w:eastAsia="仿宋" w:cs="仿宋"/>
          <w:color w:val="000000"/>
          <w:lang w:val="en-US" w:eastAsia="zh-CN"/>
        </w:rPr>
        <w:t>落实的政府采购政策</w:t>
      </w:r>
    </w:p>
    <w:p w14:paraId="0832D672">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val="0"/>
          <w:bCs w:val="0"/>
          <w:color w:val="auto"/>
          <w:sz w:val="28"/>
          <w:szCs w:val="28"/>
          <w:u w:val="single"/>
          <w:lang w:val="en-US" w:eastAsia="zh-CN"/>
        </w:rPr>
        <w:t>物业管理</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物业管理</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 ）</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5"/>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4"/>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9233D04">
      <w:pPr>
        <w:pStyle w:val="9"/>
        <w:ind w:firstLine="5377" w:firstLineChars="1900"/>
        <w:rPr>
          <w:color w:val="000000"/>
        </w:rPr>
        <w:sectPr>
          <w:pgSz w:w="11906" w:h="16838"/>
          <w:pgMar w:top="1417" w:right="1417" w:bottom="1417" w:left="1417" w:header="850" w:footer="992" w:gutter="0"/>
          <w:pgNumType w:fmt="decimal"/>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1EAD5FC8">
      <w:pPr>
        <w:spacing w:beforeLines="50" w:afterLines="50" w:line="500" w:lineRule="exact"/>
        <w:jc w:val="center"/>
        <w:rPr>
          <w:rFonts w:ascii="华文仿宋" w:hAnsi="华文仿宋" w:cs="华文仿宋"/>
          <w:b/>
          <w:color w:val="000000"/>
        </w:rPr>
        <w:sectPr>
          <w:footerReference r:id="rId10" w:type="default"/>
          <w:type w:val="continuous"/>
          <w:pgSz w:w="11906" w:h="16838"/>
          <w:pgMar w:top="1417" w:right="1417" w:bottom="1417" w:left="1417" w:header="850" w:footer="992" w:gutter="0"/>
          <w:pgNumType w:fmt="decimal"/>
          <w:cols w:space="720" w:num="1"/>
          <w:docGrid w:type="linesAndChars" w:linePitch="381" w:charSpace="704"/>
        </w:sectPr>
      </w:pPr>
    </w:p>
    <w:p w14:paraId="3D00C3C2">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3ABBD222">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7D0C96D0">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4FF662A8">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7FA836D1">
            <w:pPr>
              <w:pStyle w:val="35"/>
              <w:widowControl w:val="0"/>
              <w:spacing w:line="240" w:lineRule="auto"/>
              <w:ind w:firstLine="0" w:firstLineChars="0"/>
              <w:rPr>
                <w:rFonts w:ascii="仿宋" w:hAnsi="仿宋" w:eastAsia="仿宋" w:cs="仿宋"/>
                <w:b w:val="0"/>
                <w:bCs w:val="0"/>
                <w:color w:val="000000"/>
                <w:kern w:val="0"/>
                <w:sz w:val="24"/>
                <w:szCs w:val="24"/>
              </w:rPr>
            </w:pPr>
            <w:bookmarkStart w:id="275" w:name="_Toc28616"/>
            <w:bookmarkStart w:id="276" w:name="_Toc32559"/>
            <w:bookmarkStart w:id="277" w:name="_Toc16359"/>
            <w:bookmarkStart w:id="278" w:name="_Toc16202"/>
            <w:r>
              <w:rPr>
                <w:rFonts w:hint="eastAsia" w:ascii="仿宋" w:hAnsi="仿宋" w:eastAsia="仿宋" w:cs="仿宋"/>
                <w:bCs w:val="0"/>
                <w:color w:val="000000"/>
                <w:sz w:val="24"/>
                <w:szCs w:val="24"/>
              </w:rPr>
              <w:t>计量单位</w:t>
            </w:r>
            <w:bookmarkEnd w:id="275"/>
            <w:bookmarkEnd w:id="276"/>
            <w:bookmarkEnd w:id="277"/>
            <w:bookmarkEnd w:id="278"/>
          </w:p>
        </w:tc>
        <w:tc>
          <w:tcPr>
            <w:tcW w:w="1265" w:type="dxa"/>
            <w:tcBorders>
              <w:top w:val="single" w:color="000000" w:sz="8" w:space="0"/>
              <w:left w:val="single" w:color="000000" w:sz="6" w:space="0"/>
              <w:bottom w:val="single" w:color="000000" w:sz="6" w:space="0"/>
              <w:right w:val="single" w:color="000000" w:sz="6" w:space="0"/>
            </w:tcBorders>
            <w:vAlign w:val="center"/>
          </w:tcPr>
          <w:p w14:paraId="680415F9">
            <w:pPr>
              <w:pStyle w:val="35"/>
              <w:widowControl w:val="0"/>
              <w:spacing w:line="240" w:lineRule="auto"/>
              <w:ind w:firstLine="0" w:firstLineChars="0"/>
              <w:rPr>
                <w:rFonts w:ascii="仿宋" w:hAnsi="仿宋" w:eastAsia="仿宋" w:cs="仿宋"/>
                <w:b w:val="0"/>
                <w:bCs w:val="0"/>
                <w:color w:val="000000"/>
                <w:kern w:val="0"/>
                <w:sz w:val="24"/>
                <w:szCs w:val="24"/>
                <w:lang w:val="zh-CN"/>
              </w:rPr>
            </w:pPr>
            <w:bookmarkStart w:id="279" w:name="_Toc4371"/>
            <w:bookmarkStart w:id="280" w:name="_Toc29236"/>
            <w:bookmarkStart w:id="281" w:name="_Toc26417"/>
            <w:bookmarkStart w:id="282" w:name="_Toc5340"/>
            <w:r>
              <w:rPr>
                <w:rFonts w:hint="eastAsia" w:ascii="仿宋" w:hAnsi="仿宋" w:eastAsia="仿宋" w:cs="仿宋"/>
                <w:bCs w:val="0"/>
                <w:color w:val="000000"/>
                <w:sz w:val="24"/>
                <w:szCs w:val="24"/>
              </w:rPr>
              <w:t>具体要求说明</w:t>
            </w:r>
            <w:bookmarkEnd w:id="279"/>
            <w:bookmarkEnd w:id="280"/>
            <w:bookmarkEnd w:id="281"/>
            <w:bookmarkEnd w:id="282"/>
          </w:p>
        </w:tc>
        <w:tc>
          <w:tcPr>
            <w:tcW w:w="1124" w:type="dxa"/>
            <w:tcBorders>
              <w:top w:val="single" w:color="000000" w:sz="8" w:space="0"/>
              <w:left w:val="single" w:color="000000" w:sz="6" w:space="0"/>
              <w:bottom w:val="single" w:color="000000" w:sz="6" w:space="0"/>
              <w:right w:val="single" w:color="auto" w:sz="4" w:space="0"/>
            </w:tcBorders>
            <w:vAlign w:val="center"/>
          </w:tcPr>
          <w:p w14:paraId="2D2D5D42">
            <w:pPr>
              <w:pStyle w:val="35"/>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16C99D9D">
            <w:pPr>
              <w:pStyle w:val="35"/>
              <w:widowControl w:val="0"/>
              <w:spacing w:line="240" w:lineRule="auto"/>
              <w:ind w:firstLine="0" w:firstLineChars="0"/>
              <w:rPr>
                <w:rFonts w:ascii="仿宋" w:hAnsi="仿宋" w:eastAsia="仿宋" w:cs="仿宋"/>
                <w:bCs w:val="0"/>
                <w:color w:val="000000"/>
                <w:sz w:val="24"/>
                <w:szCs w:val="24"/>
              </w:rPr>
            </w:pPr>
            <w:bookmarkStart w:id="283" w:name="_Toc9206"/>
            <w:bookmarkStart w:id="284" w:name="_Toc14670"/>
            <w:bookmarkStart w:id="285" w:name="_Toc24317"/>
            <w:bookmarkStart w:id="286" w:name="_Toc18908"/>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6C8D1C77">
            <w:pPr>
              <w:pStyle w:val="35"/>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6961289B">
            <w:pPr>
              <w:pStyle w:val="35"/>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3"/>
            <w:bookmarkEnd w:id="284"/>
            <w:bookmarkEnd w:id="285"/>
            <w:bookmarkEnd w:id="286"/>
          </w:p>
        </w:tc>
      </w:tr>
      <w:tr w14:paraId="68E095E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3AB80DA">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5ED8960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5A6A3B6C">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B01848D">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4F14D99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35A32A0">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3392934C">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58821A8E">
            <w:pPr>
              <w:autoSpaceDE w:val="0"/>
              <w:autoSpaceDN w:val="0"/>
              <w:spacing w:line="240" w:lineRule="auto"/>
              <w:jc w:val="center"/>
              <w:rPr>
                <w:rFonts w:ascii="仿宋" w:hAnsi="仿宋" w:eastAsia="仿宋" w:cs="仿宋"/>
                <w:color w:val="000000"/>
                <w:kern w:val="0"/>
                <w:sz w:val="24"/>
                <w:szCs w:val="24"/>
                <w:lang w:val="zh-CN"/>
              </w:rPr>
            </w:pPr>
          </w:p>
        </w:tc>
      </w:tr>
      <w:tr w14:paraId="72390AB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DAC014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23454C1A">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A780459">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8BED415">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9D7CB8F">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1D208B5">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3EDF50F">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8C86313">
            <w:pPr>
              <w:autoSpaceDE w:val="0"/>
              <w:autoSpaceDN w:val="0"/>
              <w:spacing w:line="240" w:lineRule="auto"/>
              <w:jc w:val="center"/>
              <w:rPr>
                <w:rFonts w:ascii="仿宋" w:hAnsi="仿宋" w:eastAsia="仿宋" w:cs="仿宋"/>
                <w:color w:val="000000"/>
                <w:kern w:val="0"/>
                <w:sz w:val="24"/>
                <w:szCs w:val="24"/>
                <w:lang w:val="zh-CN"/>
              </w:rPr>
            </w:pPr>
          </w:p>
        </w:tc>
      </w:tr>
      <w:tr w14:paraId="2691176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9A3540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3EC1CA86">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59348D">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534C8E">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6138DB">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A5D5E4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0B2AE66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C54EABB">
            <w:pPr>
              <w:autoSpaceDE w:val="0"/>
              <w:autoSpaceDN w:val="0"/>
              <w:spacing w:line="240" w:lineRule="auto"/>
              <w:jc w:val="center"/>
              <w:rPr>
                <w:rFonts w:ascii="仿宋" w:hAnsi="仿宋" w:eastAsia="仿宋" w:cs="仿宋"/>
                <w:color w:val="000000"/>
                <w:kern w:val="0"/>
                <w:sz w:val="24"/>
                <w:szCs w:val="24"/>
                <w:lang w:val="zh-CN"/>
              </w:rPr>
            </w:pPr>
          </w:p>
        </w:tc>
      </w:tr>
      <w:tr w14:paraId="5F269E5F">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B41C85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A20A56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6F033A5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1114652A">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1FAA23A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大写：</w:t>
            </w:r>
          </w:p>
          <w:p w14:paraId="54EE4450">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16FD8DA7">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74504EF4">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1AFDDCFF">
      <w:pPr>
        <w:pStyle w:val="9"/>
        <w:spacing w:after="190"/>
        <w:rPr>
          <w:rFonts w:eastAsia="宋体"/>
          <w:color w:val="000000"/>
        </w:rPr>
      </w:pPr>
    </w:p>
    <w:p w14:paraId="2A698C27">
      <w:pPr>
        <w:widowControl w:val="0"/>
        <w:autoSpaceDE w:val="0"/>
        <w:autoSpaceDN w:val="0"/>
        <w:spacing w:line="240" w:lineRule="auto"/>
        <w:ind w:firstLine="1065" w:firstLineChars="500"/>
        <w:rPr>
          <w:rFonts w:ascii="宋体" w:hAnsi="宋体" w:eastAsia="宋体" w:cs="宋体"/>
          <w:color w:val="000000"/>
          <w:kern w:val="0"/>
          <w:sz w:val="21"/>
          <w:szCs w:val="21"/>
        </w:rPr>
      </w:pPr>
    </w:p>
    <w:p w14:paraId="71722AC3">
      <w:pPr>
        <w:spacing w:line="500" w:lineRule="exact"/>
        <w:ind w:firstLine="566" w:firstLineChars="200"/>
        <w:rPr>
          <w:rFonts w:ascii="仿宋" w:hAnsi="仿宋" w:eastAsia="仿宋" w:cs="Calibri"/>
          <w:b/>
          <w:bCs/>
          <w:color w:val="000000"/>
        </w:rPr>
      </w:pPr>
    </w:p>
    <w:p w14:paraId="4B29338A">
      <w:pPr>
        <w:pStyle w:val="9"/>
        <w:rPr>
          <w:color w:val="000000"/>
        </w:rPr>
      </w:pPr>
    </w:p>
    <w:p w14:paraId="10481BDF">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79777F7C">
      <w:pPr>
        <w:spacing w:line="500" w:lineRule="exact"/>
        <w:ind w:firstLine="5377" w:firstLineChars="1900"/>
        <w:rPr>
          <w:rFonts w:ascii="宋体" w:hAnsi="宋体"/>
          <w:b/>
          <w:bCs/>
          <w:color w:val="000000"/>
          <w:sz w:val="32"/>
          <w:szCs w:val="32"/>
        </w:rPr>
        <w:sectPr>
          <w:headerReference r:id="rId11" w:type="default"/>
          <w:footerReference r:id="rId12" w:type="default"/>
          <w:type w:val="continuous"/>
          <w:pgSz w:w="11906" w:h="16838"/>
          <w:pgMar w:top="1417" w:right="1417" w:bottom="1417" w:left="1417" w:header="850" w:footer="992" w:gutter="0"/>
          <w:pgNumType w:fmt="decimal"/>
          <w:cols w:space="720" w:num="1"/>
          <w:docGrid w:type="linesAndChars" w:linePitch="381" w:charSpace="704"/>
        </w:sectPr>
      </w:pPr>
      <w:r>
        <w:rPr>
          <w:color w:val="000000"/>
        </w:rPr>
        <w:t>日期：　年　月　</w:t>
      </w:r>
      <w:r>
        <w:rPr>
          <w:rFonts w:hint="eastAsia"/>
          <w:color w:val="000000"/>
        </w:rPr>
        <w:t xml:space="preserve"> 日</w:t>
      </w:r>
    </w:p>
    <w:p w14:paraId="402CD936">
      <w:pPr>
        <w:pStyle w:val="9"/>
        <w:spacing w:line="500" w:lineRule="exact"/>
        <w:ind w:firstLine="5094" w:firstLineChars="1800"/>
        <w:rPr>
          <w:rFonts w:ascii="仿宋" w:hAnsi="仿宋" w:eastAsia="仿宋"/>
          <w:bCs/>
          <w:color w:val="000000"/>
        </w:rPr>
      </w:pPr>
      <w:r>
        <w:rPr>
          <w:rFonts w:hint="eastAsia" w:ascii="仿宋" w:hAnsi="仿宋" w:eastAsia="仿宋" w:cs="仿宋"/>
          <w:color w:val="000000"/>
        </w:rPr>
        <w:br w:type="page"/>
      </w:r>
    </w:p>
    <w:p w14:paraId="071719C9">
      <w:pPr>
        <w:pStyle w:val="35"/>
        <w:ind w:firstLine="609"/>
        <w:jc w:val="both"/>
        <w:outlineLvl w:val="2"/>
        <w:rPr>
          <w:rFonts w:ascii="仿宋" w:hAnsi="仿宋" w:eastAsia="仿宋" w:cs="仿宋"/>
          <w:bCs w:val="0"/>
          <w:color w:val="000000"/>
        </w:rPr>
      </w:pPr>
      <w:bookmarkStart w:id="287" w:name="_Toc19377"/>
      <w:bookmarkStart w:id="288" w:name="_Toc27738"/>
      <w:bookmarkStart w:id="289" w:name="_Toc31382"/>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0" w:name="_Toc20905"/>
      <w:r>
        <w:rPr>
          <w:rFonts w:hint="eastAsia" w:ascii="仿宋" w:hAnsi="仿宋" w:eastAsia="仿宋" w:cs="仿宋"/>
          <w:bCs w:val="0"/>
          <w:color w:val="000000"/>
        </w:rPr>
        <w:t>供应商</w:t>
      </w:r>
      <w:bookmarkEnd w:id="287"/>
      <w:bookmarkEnd w:id="288"/>
      <w:bookmarkEnd w:id="289"/>
      <w:r>
        <w:rPr>
          <w:rFonts w:hint="eastAsia" w:ascii="仿宋" w:hAnsi="仿宋" w:eastAsia="仿宋" w:cs="仿宋"/>
          <w:bCs w:val="0"/>
          <w:color w:val="000000"/>
        </w:rPr>
        <w:t>承诺书</w:t>
      </w:r>
      <w:bookmarkEnd w:id="290"/>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8"/>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“是否完全响应”一栏根据“投标文件响应条款”与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9"/>
        <w:spacing w:line="500" w:lineRule="exact"/>
        <w:rPr>
          <w:rFonts w:ascii="华文仿宋" w:hAnsi="华文仿宋" w:cs="华文仿宋"/>
          <w:color w:val="auto"/>
        </w:rPr>
      </w:pPr>
    </w:p>
    <w:p w14:paraId="1FF89DEB">
      <w:pPr>
        <w:pStyle w:val="9"/>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9"/>
        <w:spacing w:after="190"/>
        <w:rPr>
          <w:color w:val="auto"/>
        </w:rPr>
      </w:pPr>
    </w:p>
    <w:p w14:paraId="442F3DEA">
      <w:pPr>
        <w:pStyle w:val="9"/>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5"/>
        <w:ind w:firstLine="0" w:firstLineChars="0"/>
        <w:rPr>
          <w:rFonts w:ascii="黑体" w:hAnsi="黑体" w:eastAsia="黑体"/>
          <w:b w:val="0"/>
          <w:color w:val="000000"/>
        </w:rPr>
      </w:pPr>
      <w:r>
        <w:rPr>
          <w:rFonts w:ascii="黑体" w:hAnsi="黑体" w:eastAsia="黑体"/>
          <w:b w:val="0"/>
          <w:color w:val="000000"/>
        </w:rPr>
        <w:br w:type="page"/>
      </w:r>
      <w:bookmarkStart w:id="291" w:name="_Toc18795"/>
      <w:bookmarkStart w:id="292" w:name="_Toc11295"/>
      <w:bookmarkStart w:id="293" w:name="_Toc15586"/>
      <w:bookmarkStart w:id="294" w:name="_Toc12899"/>
      <w:bookmarkStart w:id="295" w:name="_Toc525"/>
      <w:r>
        <w:rPr>
          <w:rFonts w:hint="eastAsia" w:ascii="黑体" w:hAnsi="黑体" w:eastAsia="黑体"/>
          <w:b w:val="0"/>
          <w:color w:val="000000"/>
          <w:sz w:val="32"/>
          <w:szCs w:val="36"/>
        </w:rPr>
        <w:t>第三部分  响应方案</w:t>
      </w:r>
      <w:bookmarkEnd w:id="291"/>
      <w:bookmarkEnd w:id="292"/>
      <w:bookmarkEnd w:id="293"/>
      <w:bookmarkEnd w:id="294"/>
      <w:bookmarkEnd w:id="295"/>
    </w:p>
    <w:p w14:paraId="397633A1">
      <w:pPr>
        <w:pStyle w:val="35"/>
        <w:ind w:firstLine="609"/>
        <w:jc w:val="both"/>
        <w:outlineLvl w:val="2"/>
        <w:rPr>
          <w:rFonts w:ascii="仿宋" w:hAnsi="仿宋" w:eastAsia="仿宋" w:cs="仿宋"/>
          <w:bCs w:val="0"/>
          <w:color w:val="000000"/>
        </w:rPr>
      </w:pPr>
      <w:bookmarkStart w:id="296" w:name="_Toc28702"/>
      <w:bookmarkStart w:id="297" w:name="_Toc11555"/>
      <w:bookmarkStart w:id="298" w:name="_Toc9337_WPSOffice_Level2"/>
      <w:bookmarkStart w:id="299" w:name="_Toc29975_WPSOffice_Level2"/>
      <w:bookmarkStart w:id="300" w:name="_Toc15660_WPSOffice_Level2"/>
      <w:bookmarkStart w:id="301" w:name="_Toc7732"/>
      <w:bookmarkStart w:id="302" w:name="_Toc9079"/>
      <w:bookmarkStart w:id="303" w:name="_Toc17621"/>
      <w:bookmarkStart w:id="304" w:name="_Toc7989"/>
      <w:bookmarkStart w:id="305" w:name="_Toc17062_WPSOffice_Level2"/>
      <w:bookmarkStart w:id="306" w:name="_Toc24887"/>
      <w:r>
        <w:rPr>
          <w:rFonts w:hint="eastAsia" w:ascii="仿宋" w:hAnsi="仿宋" w:eastAsia="仿宋" w:cs="仿宋"/>
          <w:bCs w:val="0"/>
          <w:color w:val="000000"/>
        </w:rPr>
        <w:t>一、供应商概况</w:t>
      </w:r>
      <w:bookmarkEnd w:id="296"/>
      <w:bookmarkEnd w:id="297"/>
      <w:bookmarkEnd w:id="298"/>
      <w:bookmarkEnd w:id="299"/>
      <w:bookmarkEnd w:id="300"/>
      <w:bookmarkEnd w:id="301"/>
      <w:bookmarkEnd w:id="302"/>
      <w:bookmarkEnd w:id="303"/>
      <w:bookmarkEnd w:id="304"/>
      <w:bookmarkEnd w:id="305"/>
      <w:bookmarkEnd w:id="306"/>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5"/>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headerReference r:id="rId13" w:type="default"/>
      <w:footerReference r:id="rId14" w:type="default"/>
      <w:type w:val="continuous"/>
      <w:pgSz w:w="11906" w:h="16838"/>
      <w:pgMar w:top="1417" w:right="1417" w:bottom="1417" w:left="1417" w:header="850" w:footer="992" w:gutter="0"/>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78C5">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3"/>
      <w:tabs>
        <w:tab w:val="left" w:pos="368"/>
      </w:tabs>
      <w:jc w:val="center"/>
      <w:rPr>
        <w:rFonts w:hint="eastAsia" w:eastAsia="宋体"/>
        <w:lang w:eastAsia="zh-CN"/>
      </w:rPr>
    </w:pPr>
    <w:r>
      <w:rPr>
        <w:rFonts w:hint="eastAsia"/>
        <w:b w:val="0"/>
        <w:bCs w:val="0"/>
        <w:color w:val="auto"/>
        <w:lang w:eastAsia="zh-CN"/>
      </w:rPr>
      <w:t>延安王家坪革命旧址管理处物业服务</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eastAsia"/>
        <w:color w:val="000000"/>
        <w:lang w:val="en-US" w:eastAsia="zh-CN"/>
      </w:rPr>
      <w:t>延安王家坪革命旧址管理处物业服务</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2E9D">
    <w:pPr>
      <w:pStyle w:val="13"/>
    </w:pPr>
    <w:r>
      <w:rPr>
        <w:rFonts w:hint="eastAsia"/>
        <w:color w:val="000000"/>
        <w:lang w:val="en-US" w:eastAsia="zh-CN"/>
      </w:rPr>
      <w:t>延安王家坪革命旧址管理处物业服务</w:t>
    </w:r>
    <w:r>
      <w:rPr>
        <w:rFonts w:hint="default"/>
        <w:color w:val="00000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eastAsia"/>
        <w:b w:val="0"/>
        <w:bCs w:val="0"/>
        <w:color w:val="auto"/>
        <w:lang w:eastAsia="zh-CN"/>
      </w:rPr>
      <w:t>延安王家坪革命旧址管理处物业服务</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E74408BC"/>
    <w:multiLevelType w:val="singleLevel"/>
    <w:tmpl w:val="E74408BC"/>
    <w:lvl w:ilvl="0" w:tentative="0">
      <w:start w:val="2"/>
      <w:numFmt w:val="chineseCounting"/>
      <w:suff w:val="nothing"/>
      <w:lvlText w:val="（%1）"/>
      <w:lvlJc w:val="left"/>
      <w:rPr>
        <w:rFonts w:hint="eastAsia"/>
      </w:rPr>
    </w:lvl>
  </w:abstractNum>
  <w:abstractNum w:abstractNumId="2">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5">
    <w:nsid w:val="700C5CB2"/>
    <w:multiLevelType w:val="singleLevel"/>
    <w:tmpl w:val="700C5CB2"/>
    <w:lvl w:ilvl="0" w:tentative="0">
      <w:start w:val="2"/>
      <w:numFmt w:val="chineseCounting"/>
      <w:suff w:val="nothing"/>
      <w:lvlText w:val="%1、"/>
      <w:lvlJc w:val="left"/>
      <w:rPr>
        <w:rFonts w:hint="eastAsia"/>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836D3"/>
    <w:rsid w:val="007C717F"/>
    <w:rsid w:val="007E1154"/>
    <w:rsid w:val="00885B23"/>
    <w:rsid w:val="008C6C96"/>
    <w:rsid w:val="008E0C60"/>
    <w:rsid w:val="00B22BA0"/>
    <w:rsid w:val="00B708C9"/>
    <w:rsid w:val="00C77375"/>
    <w:rsid w:val="00CD79DA"/>
    <w:rsid w:val="00FD6FFF"/>
    <w:rsid w:val="0106590A"/>
    <w:rsid w:val="01161381"/>
    <w:rsid w:val="011A24F4"/>
    <w:rsid w:val="0153724B"/>
    <w:rsid w:val="017165B7"/>
    <w:rsid w:val="017E6B98"/>
    <w:rsid w:val="018B236D"/>
    <w:rsid w:val="018E1CDD"/>
    <w:rsid w:val="01995B0E"/>
    <w:rsid w:val="01A422D2"/>
    <w:rsid w:val="01E6443F"/>
    <w:rsid w:val="01E90844"/>
    <w:rsid w:val="01EE19B6"/>
    <w:rsid w:val="020A0DA8"/>
    <w:rsid w:val="02183E82"/>
    <w:rsid w:val="022B570E"/>
    <w:rsid w:val="02457A2C"/>
    <w:rsid w:val="026B3007"/>
    <w:rsid w:val="027D2D3A"/>
    <w:rsid w:val="029562D6"/>
    <w:rsid w:val="02CB0CA2"/>
    <w:rsid w:val="02CD1F13"/>
    <w:rsid w:val="02D13556"/>
    <w:rsid w:val="02D768EE"/>
    <w:rsid w:val="02E80AFB"/>
    <w:rsid w:val="02F6579D"/>
    <w:rsid w:val="032F5083"/>
    <w:rsid w:val="03351867"/>
    <w:rsid w:val="03767EB5"/>
    <w:rsid w:val="03AE3AF3"/>
    <w:rsid w:val="03D42E2E"/>
    <w:rsid w:val="03E33071"/>
    <w:rsid w:val="03FB660C"/>
    <w:rsid w:val="04115E30"/>
    <w:rsid w:val="041B2BA7"/>
    <w:rsid w:val="041E4679"/>
    <w:rsid w:val="04471852"/>
    <w:rsid w:val="045301F6"/>
    <w:rsid w:val="045C7680"/>
    <w:rsid w:val="047162A0"/>
    <w:rsid w:val="047D34C5"/>
    <w:rsid w:val="0482288A"/>
    <w:rsid w:val="04867C52"/>
    <w:rsid w:val="0490144A"/>
    <w:rsid w:val="04AD3DAA"/>
    <w:rsid w:val="04B663D0"/>
    <w:rsid w:val="04B74C29"/>
    <w:rsid w:val="04B90AB9"/>
    <w:rsid w:val="04C46E30"/>
    <w:rsid w:val="04CB4231"/>
    <w:rsid w:val="04ED064B"/>
    <w:rsid w:val="04FD0162"/>
    <w:rsid w:val="053C0609"/>
    <w:rsid w:val="05465EBB"/>
    <w:rsid w:val="055374D6"/>
    <w:rsid w:val="05597B30"/>
    <w:rsid w:val="055B7A87"/>
    <w:rsid w:val="057C1CC2"/>
    <w:rsid w:val="05950780"/>
    <w:rsid w:val="05985572"/>
    <w:rsid w:val="059C797B"/>
    <w:rsid w:val="05A0746B"/>
    <w:rsid w:val="05CA26AE"/>
    <w:rsid w:val="05CC0260"/>
    <w:rsid w:val="05CD2EB1"/>
    <w:rsid w:val="05CE19E6"/>
    <w:rsid w:val="05DB4947"/>
    <w:rsid w:val="05E732EC"/>
    <w:rsid w:val="05F11A75"/>
    <w:rsid w:val="05FD2B10"/>
    <w:rsid w:val="0620235A"/>
    <w:rsid w:val="0627193B"/>
    <w:rsid w:val="064E336B"/>
    <w:rsid w:val="06500E91"/>
    <w:rsid w:val="06571C6C"/>
    <w:rsid w:val="067508F8"/>
    <w:rsid w:val="067F52D3"/>
    <w:rsid w:val="069279F6"/>
    <w:rsid w:val="069F5975"/>
    <w:rsid w:val="06A15565"/>
    <w:rsid w:val="06A72A7B"/>
    <w:rsid w:val="06B55971"/>
    <w:rsid w:val="06FC4B75"/>
    <w:rsid w:val="06FF6413"/>
    <w:rsid w:val="070007AB"/>
    <w:rsid w:val="07267E44"/>
    <w:rsid w:val="074810B3"/>
    <w:rsid w:val="07524795"/>
    <w:rsid w:val="075F6A10"/>
    <w:rsid w:val="07660241"/>
    <w:rsid w:val="0781507A"/>
    <w:rsid w:val="07A019A5"/>
    <w:rsid w:val="07A03D8C"/>
    <w:rsid w:val="07CF1388"/>
    <w:rsid w:val="080041F1"/>
    <w:rsid w:val="08161C67"/>
    <w:rsid w:val="08535CDD"/>
    <w:rsid w:val="08602EE2"/>
    <w:rsid w:val="086A3D60"/>
    <w:rsid w:val="08A41020"/>
    <w:rsid w:val="08A92ADB"/>
    <w:rsid w:val="08B01682"/>
    <w:rsid w:val="08B576D2"/>
    <w:rsid w:val="08E6531C"/>
    <w:rsid w:val="09000221"/>
    <w:rsid w:val="090C4E18"/>
    <w:rsid w:val="090E293E"/>
    <w:rsid w:val="092E0A33"/>
    <w:rsid w:val="0935436E"/>
    <w:rsid w:val="093700E7"/>
    <w:rsid w:val="093C1139"/>
    <w:rsid w:val="09420839"/>
    <w:rsid w:val="0943175F"/>
    <w:rsid w:val="094E71DE"/>
    <w:rsid w:val="0969226A"/>
    <w:rsid w:val="09945156"/>
    <w:rsid w:val="09B41737"/>
    <w:rsid w:val="09D43B87"/>
    <w:rsid w:val="09F00295"/>
    <w:rsid w:val="0ABD286D"/>
    <w:rsid w:val="0AFD2C6A"/>
    <w:rsid w:val="0B0614D4"/>
    <w:rsid w:val="0B1F6DEE"/>
    <w:rsid w:val="0B2E1E80"/>
    <w:rsid w:val="0B5E5DFE"/>
    <w:rsid w:val="0B6A3BEB"/>
    <w:rsid w:val="0B6E78D8"/>
    <w:rsid w:val="0B753148"/>
    <w:rsid w:val="0B845139"/>
    <w:rsid w:val="0B8769D7"/>
    <w:rsid w:val="0B8827A8"/>
    <w:rsid w:val="0B892750"/>
    <w:rsid w:val="0B931ED3"/>
    <w:rsid w:val="0B9A495D"/>
    <w:rsid w:val="0BA80E28"/>
    <w:rsid w:val="0BAF665A"/>
    <w:rsid w:val="0BBE6B6A"/>
    <w:rsid w:val="0BCB0FBA"/>
    <w:rsid w:val="0BE675F8"/>
    <w:rsid w:val="0BF64289"/>
    <w:rsid w:val="0C2A7A8F"/>
    <w:rsid w:val="0C3A3E75"/>
    <w:rsid w:val="0C5B233E"/>
    <w:rsid w:val="0C7B17EF"/>
    <w:rsid w:val="0C8278CB"/>
    <w:rsid w:val="0CA8688D"/>
    <w:rsid w:val="0CE265BB"/>
    <w:rsid w:val="0CF42CB0"/>
    <w:rsid w:val="0CFD33F5"/>
    <w:rsid w:val="0D26294C"/>
    <w:rsid w:val="0D4227D8"/>
    <w:rsid w:val="0D974726"/>
    <w:rsid w:val="0DCB34F3"/>
    <w:rsid w:val="0DD71E98"/>
    <w:rsid w:val="0DE73C50"/>
    <w:rsid w:val="0DFB64F3"/>
    <w:rsid w:val="0DFC0475"/>
    <w:rsid w:val="0E0013EF"/>
    <w:rsid w:val="0E0302A0"/>
    <w:rsid w:val="0E121122"/>
    <w:rsid w:val="0E484619"/>
    <w:rsid w:val="0E5C20CA"/>
    <w:rsid w:val="0E835B7C"/>
    <w:rsid w:val="0E9465F6"/>
    <w:rsid w:val="0E990EFC"/>
    <w:rsid w:val="0E9B1118"/>
    <w:rsid w:val="0EAA48E1"/>
    <w:rsid w:val="0EB65F51"/>
    <w:rsid w:val="0EC51CF1"/>
    <w:rsid w:val="0EE320D8"/>
    <w:rsid w:val="0EEA5BFB"/>
    <w:rsid w:val="0EF83E74"/>
    <w:rsid w:val="0EFD148A"/>
    <w:rsid w:val="0F40581B"/>
    <w:rsid w:val="0F5A4B1A"/>
    <w:rsid w:val="0F8C5352"/>
    <w:rsid w:val="0F8C5DD4"/>
    <w:rsid w:val="0F933B9D"/>
    <w:rsid w:val="0FA364D6"/>
    <w:rsid w:val="0FB75ADD"/>
    <w:rsid w:val="0FBA381F"/>
    <w:rsid w:val="0FCB7000"/>
    <w:rsid w:val="0FD33704"/>
    <w:rsid w:val="10480E2B"/>
    <w:rsid w:val="104F55B9"/>
    <w:rsid w:val="106875CB"/>
    <w:rsid w:val="10AD0C8E"/>
    <w:rsid w:val="10B473E7"/>
    <w:rsid w:val="1111746F"/>
    <w:rsid w:val="111D59F8"/>
    <w:rsid w:val="113E5D8A"/>
    <w:rsid w:val="115A7068"/>
    <w:rsid w:val="11634536"/>
    <w:rsid w:val="117D2D56"/>
    <w:rsid w:val="11873B72"/>
    <w:rsid w:val="11991213"/>
    <w:rsid w:val="11A26434"/>
    <w:rsid w:val="11B12B6C"/>
    <w:rsid w:val="11B92B3A"/>
    <w:rsid w:val="11BF336F"/>
    <w:rsid w:val="11C72224"/>
    <w:rsid w:val="11CB5870"/>
    <w:rsid w:val="11CE35B2"/>
    <w:rsid w:val="11CE710E"/>
    <w:rsid w:val="11DF756D"/>
    <w:rsid w:val="12163D18"/>
    <w:rsid w:val="12266F4A"/>
    <w:rsid w:val="122907E8"/>
    <w:rsid w:val="123A47A4"/>
    <w:rsid w:val="12693030"/>
    <w:rsid w:val="1284715D"/>
    <w:rsid w:val="12BA4725"/>
    <w:rsid w:val="12BE7183"/>
    <w:rsid w:val="12C31B2A"/>
    <w:rsid w:val="12C40D6D"/>
    <w:rsid w:val="12D22C2E"/>
    <w:rsid w:val="13113756"/>
    <w:rsid w:val="13427DB4"/>
    <w:rsid w:val="13483D9B"/>
    <w:rsid w:val="13485EDB"/>
    <w:rsid w:val="13491142"/>
    <w:rsid w:val="134A310C"/>
    <w:rsid w:val="134A5D34"/>
    <w:rsid w:val="13503262"/>
    <w:rsid w:val="13631E88"/>
    <w:rsid w:val="13830225"/>
    <w:rsid w:val="13C0517C"/>
    <w:rsid w:val="13C82EBD"/>
    <w:rsid w:val="13D73634"/>
    <w:rsid w:val="13F37300"/>
    <w:rsid w:val="13F41F7E"/>
    <w:rsid w:val="13F56BD4"/>
    <w:rsid w:val="13F923DF"/>
    <w:rsid w:val="14014803"/>
    <w:rsid w:val="14072DAB"/>
    <w:rsid w:val="140B63F8"/>
    <w:rsid w:val="145204CA"/>
    <w:rsid w:val="146C6567"/>
    <w:rsid w:val="148625B0"/>
    <w:rsid w:val="14A423A8"/>
    <w:rsid w:val="14A75F77"/>
    <w:rsid w:val="14C30A80"/>
    <w:rsid w:val="14C667C2"/>
    <w:rsid w:val="14EA2EBE"/>
    <w:rsid w:val="14FE41AE"/>
    <w:rsid w:val="150E74E4"/>
    <w:rsid w:val="15217D53"/>
    <w:rsid w:val="154D47EE"/>
    <w:rsid w:val="155344FA"/>
    <w:rsid w:val="15787B7C"/>
    <w:rsid w:val="15CA5B4B"/>
    <w:rsid w:val="15D867AD"/>
    <w:rsid w:val="15EC2259"/>
    <w:rsid w:val="162912E3"/>
    <w:rsid w:val="16297009"/>
    <w:rsid w:val="16315EBE"/>
    <w:rsid w:val="166167A3"/>
    <w:rsid w:val="167364D6"/>
    <w:rsid w:val="168662A0"/>
    <w:rsid w:val="16953E88"/>
    <w:rsid w:val="16D37263"/>
    <w:rsid w:val="16D74786"/>
    <w:rsid w:val="172B0B5F"/>
    <w:rsid w:val="1743234C"/>
    <w:rsid w:val="175E666B"/>
    <w:rsid w:val="17640690"/>
    <w:rsid w:val="177B15A9"/>
    <w:rsid w:val="17887D5F"/>
    <w:rsid w:val="17A22A5A"/>
    <w:rsid w:val="17F83137"/>
    <w:rsid w:val="1800023D"/>
    <w:rsid w:val="1814038D"/>
    <w:rsid w:val="18147845"/>
    <w:rsid w:val="18185636"/>
    <w:rsid w:val="182932F0"/>
    <w:rsid w:val="18371EB1"/>
    <w:rsid w:val="185B4FDD"/>
    <w:rsid w:val="185F6D12"/>
    <w:rsid w:val="18664452"/>
    <w:rsid w:val="186C7681"/>
    <w:rsid w:val="189831C8"/>
    <w:rsid w:val="18B16BD1"/>
    <w:rsid w:val="18BC4164"/>
    <w:rsid w:val="18C80D5B"/>
    <w:rsid w:val="18D771F0"/>
    <w:rsid w:val="18DD40DB"/>
    <w:rsid w:val="18F558C8"/>
    <w:rsid w:val="190C006F"/>
    <w:rsid w:val="191044B0"/>
    <w:rsid w:val="19191C06"/>
    <w:rsid w:val="1934019F"/>
    <w:rsid w:val="196A1E12"/>
    <w:rsid w:val="196F11D7"/>
    <w:rsid w:val="196F567B"/>
    <w:rsid w:val="19752927"/>
    <w:rsid w:val="198A7DBF"/>
    <w:rsid w:val="19974BFE"/>
    <w:rsid w:val="1998697F"/>
    <w:rsid w:val="19A05834"/>
    <w:rsid w:val="19A50AE7"/>
    <w:rsid w:val="19BD019E"/>
    <w:rsid w:val="19C71013"/>
    <w:rsid w:val="19F210D5"/>
    <w:rsid w:val="19FD4AA7"/>
    <w:rsid w:val="1A037B71"/>
    <w:rsid w:val="1A1A5F70"/>
    <w:rsid w:val="1A2639D1"/>
    <w:rsid w:val="1A4B2A44"/>
    <w:rsid w:val="1A6E76E0"/>
    <w:rsid w:val="1A7A42D7"/>
    <w:rsid w:val="1A845156"/>
    <w:rsid w:val="1A89276C"/>
    <w:rsid w:val="1A972B45"/>
    <w:rsid w:val="1ABF7590"/>
    <w:rsid w:val="1AC55423"/>
    <w:rsid w:val="1AC62ED8"/>
    <w:rsid w:val="1AC6751C"/>
    <w:rsid w:val="1AD32329"/>
    <w:rsid w:val="1ADC289C"/>
    <w:rsid w:val="1AF220BF"/>
    <w:rsid w:val="1AF851FC"/>
    <w:rsid w:val="1B0F3646"/>
    <w:rsid w:val="1B1D686F"/>
    <w:rsid w:val="1B281F85"/>
    <w:rsid w:val="1B304996"/>
    <w:rsid w:val="1B361E84"/>
    <w:rsid w:val="1B5A5FF4"/>
    <w:rsid w:val="1B6805D3"/>
    <w:rsid w:val="1B701236"/>
    <w:rsid w:val="1B7747A6"/>
    <w:rsid w:val="1B854CE1"/>
    <w:rsid w:val="1BBD18E9"/>
    <w:rsid w:val="1BE116DF"/>
    <w:rsid w:val="1BF72592"/>
    <w:rsid w:val="1C24274C"/>
    <w:rsid w:val="1C273FEB"/>
    <w:rsid w:val="1C2F10F1"/>
    <w:rsid w:val="1C3A34E8"/>
    <w:rsid w:val="1C3D650C"/>
    <w:rsid w:val="1C4113E5"/>
    <w:rsid w:val="1C533032"/>
    <w:rsid w:val="1C5E5533"/>
    <w:rsid w:val="1C6E12C2"/>
    <w:rsid w:val="1C6E7E6B"/>
    <w:rsid w:val="1C7A30C4"/>
    <w:rsid w:val="1C986C96"/>
    <w:rsid w:val="1C9C6787"/>
    <w:rsid w:val="1CA13D9D"/>
    <w:rsid w:val="1CC25AC1"/>
    <w:rsid w:val="1CE35C57"/>
    <w:rsid w:val="1D1665A9"/>
    <w:rsid w:val="1D231C99"/>
    <w:rsid w:val="1D2616DA"/>
    <w:rsid w:val="1D4665DA"/>
    <w:rsid w:val="1D470009"/>
    <w:rsid w:val="1D70376F"/>
    <w:rsid w:val="1D737B22"/>
    <w:rsid w:val="1D85546D"/>
    <w:rsid w:val="1DA3134E"/>
    <w:rsid w:val="1DB775F0"/>
    <w:rsid w:val="1DDB5524"/>
    <w:rsid w:val="1DE96F38"/>
    <w:rsid w:val="1DEA52D0"/>
    <w:rsid w:val="1DF148B0"/>
    <w:rsid w:val="1E2A7DC2"/>
    <w:rsid w:val="1E2E3FC6"/>
    <w:rsid w:val="1E45667C"/>
    <w:rsid w:val="1E546B22"/>
    <w:rsid w:val="1E6F3A27"/>
    <w:rsid w:val="1EA47B74"/>
    <w:rsid w:val="1ED1023E"/>
    <w:rsid w:val="1EDF295B"/>
    <w:rsid w:val="1EF3668B"/>
    <w:rsid w:val="1EFE57D2"/>
    <w:rsid w:val="1F3233D2"/>
    <w:rsid w:val="1F4727DA"/>
    <w:rsid w:val="1F511C17"/>
    <w:rsid w:val="1F5844BB"/>
    <w:rsid w:val="1F5B337D"/>
    <w:rsid w:val="1F745799"/>
    <w:rsid w:val="1F797010"/>
    <w:rsid w:val="1F8C6655"/>
    <w:rsid w:val="1F971571"/>
    <w:rsid w:val="1FE17C1D"/>
    <w:rsid w:val="1FE90BAE"/>
    <w:rsid w:val="1FEC17D3"/>
    <w:rsid w:val="1FEF4E1F"/>
    <w:rsid w:val="20026C99"/>
    <w:rsid w:val="200603BB"/>
    <w:rsid w:val="20370574"/>
    <w:rsid w:val="204859DD"/>
    <w:rsid w:val="20B35E4D"/>
    <w:rsid w:val="20F23661"/>
    <w:rsid w:val="21020B82"/>
    <w:rsid w:val="21072EE3"/>
    <w:rsid w:val="21393694"/>
    <w:rsid w:val="21983295"/>
    <w:rsid w:val="219C0FD7"/>
    <w:rsid w:val="21B3498B"/>
    <w:rsid w:val="21B37336"/>
    <w:rsid w:val="21DC0A61"/>
    <w:rsid w:val="21E8421C"/>
    <w:rsid w:val="21E964A3"/>
    <w:rsid w:val="220D5A31"/>
    <w:rsid w:val="221E7C3E"/>
    <w:rsid w:val="2248284A"/>
    <w:rsid w:val="22944E50"/>
    <w:rsid w:val="22B031B7"/>
    <w:rsid w:val="22FB7F7F"/>
    <w:rsid w:val="22FF181D"/>
    <w:rsid w:val="231449BC"/>
    <w:rsid w:val="2351194D"/>
    <w:rsid w:val="235D02F2"/>
    <w:rsid w:val="23650F38"/>
    <w:rsid w:val="236930C6"/>
    <w:rsid w:val="23952182"/>
    <w:rsid w:val="23A34D10"/>
    <w:rsid w:val="23B2156E"/>
    <w:rsid w:val="23BC3F4D"/>
    <w:rsid w:val="23C13D4C"/>
    <w:rsid w:val="23F72D5D"/>
    <w:rsid w:val="243A65CE"/>
    <w:rsid w:val="244514B2"/>
    <w:rsid w:val="24455956"/>
    <w:rsid w:val="246700A8"/>
    <w:rsid w:val="24763D61"/>
    <w:rsid w:val="24CF1A0F"/>
    <w:rsid w:val="24D97E4C"/>
    <w:rsid w:val="24DE36B4"/>
    <w:rsid w:val="250A44A9"/>
    <w:rsid w:val="251F3B5B"/>
    <w:rsid w:val="253D1A6A"/>
    <w:rsid w:val="254F72FB"/>
    <w:rsid w:val="25546F0C"/>
    <w:rsid w:val="25633D82"/>
    <w:rsid w:val="25804B6B"/>
    <w:rsid w:val="258C3110"/>
    <w:rsid w:val="259049AF"/>
    <w:rsid w:val="25B83F05"/>
    <w:rsid w:val="25B974F6"/>
    <w:rsid w:val="25BF3B7E"/>
    <w:rsid w:val="25D845A8"/>
    <w:rsid w:val="25DC5A76"/>
    <w:rsid w:val="26284BE7"/>
    <w:rsid w:val="26321976"/>
    <w:rsid w:val="264D2300"/>
    <w:rsid w:val="266D5053"/>
    <w:rsid w:val="268564DD"/>
    <w:rsid w:val="26882E12"/>
    <w:rsid w:val="26B4291F"/>
    <w:rsid w:val="26BD63AC"/>
    <w:rsid w:val="26E36D60"/>
    <w:rsid w:val="26F1147D"/>
    <w:rsid w:val="27190A70"/>
    <w:rsid w:val="272555CB"/>
    <w:rsid w:val="272D447F"/>
    <w:rsid w:val="27313BEE"/>
    <w:rsid w:val="277D3506"/>
    <w:rsid w:val="27835FC2"/>
    <w:rsid w:val="27AB2EB7"/>
    <w:rsid w:val="27BC6787"/>
    <w:rsid w:val="28003475"/>
    <w:rsid w:val="280E605F"/>
    <w:rsid w:val="28371501"/>
    <w:rsid w:val="285717B4"/>
    <w:rsid w:val="285B2042"/>
    <w:rsid w:val="287A7186"/>
    <w:rsid w:val="28836967"/>
    <w:rsid w:val="28B36B23"/>
    <w:rsid w:val="28C130D1"/>
    <w:rsid w:val="28C36E49"/>
    <w:rsid w:val="28D472A8"/>
    <w:rsid w:val="28EA6ACC"/>
    <w:rsid w:val="28F23FA6"/>
    <w:rsid w:val="28F6721F"/>
    <w:rsid w:val="29172C46"/>
    <w:rsid w:val="29307688"/>
    <w:rsid w:val="29310257"/>
    <w:rsid w:val="294A1318"/>
    <w:rsid w:val="29514455"/>
    <w:rsid w:val="295D7732"/>
    <w:rsid w:val="298962E5"/>
    <w:rsid w:val="29B844D4"/>
    <w:rsid w:val="29C341E8"/>
    <w:rsid w:val="29CB726B"/>
    <w:rsid w:val="29CC3486"/>
    <w:rsid w:val="29DA269C"/>
    <w:rsid w:val="29E4176D"/>
    <w:rsid w:val="29E7300B"/>
    <w:rsid w:val="29EE7EF6"/>
    <w:rsid w:val="29FF0355"/>
    <w:rsid w:val="2A246AEB"/>
    <w:rsid w:val="2A2C0A1E"/>
    <w:rsid w:val="2A473886"/>
    <w:rsid w:val="2A573CED"/>
    <w:rsid w:val="2A596061"/>
    <w:rsid w:val="2A720B27"/>
    <w:rsid w:val="2A7C1065"/>
    <w:rsid w:val="2A7C3754"/>
    <w:rsid w:val="2A930A9D"/>
    <w:rsid w:val="2A9A62D0"/>
    <w:rsid w:val="2A9F38E6"/>
    <w:rsid w:val="2AA02968"/>
    <w:rsid w:val="2AAF1D7B"/>
    <w:rsid w:val="2ADE62B2"/>
    <w:rsid w:val="2B634913"/>
    <w:rsid w:val="2B6D12EE"/>
    <w:rsid w:val="2B7D7783"/>
    <w:rsid w:val="2BA2543C"/>
    <w:rsid w:val="2BB331A5"/>
    <w:rsid w:val="2BC60FC8"/>
    <w:rsid w:val="2BFD6B16"/>
    <w:rsid w:val="2C0A1414"/>
    <w:rsid w:val="2C197C11"/>
    <w:rsid w:val="2C273B93"/>
    <w:rsid w:val="2C2B3B1E"/>
    <w:rsid w:val="2C484235"/>
    <w:rsid w:val="2C526E62"/>
    <w:rsid w:val="2C8F617F"/>
    <w:rsid w:val="2CB45044"/>
    <w:rsid w:val="2CBA2FBD"/>
    <w:rsid w:val="2CCE7FC5"/>
    <w:rsid w:val="2CD755B9"/>
    <w:rsid w:val="2CE90A48"/>
    <w:rsid w:val="2CEA709A"/>
    <w:rsid w:val="2CF9552F"/>
    <w:rsid w:val="2CFD01DC"/>
    <w:rsid w:val="2D0D0FDB"/>
    <w:rsid w:val="2D0F08AF"/>
    <w:rsid w:val="2D1876A4"/>
    <w:rsid w:val="2D283C7A"/>
    <w:rsid w:val="2D306A77"/>
    <w:rsid w:val="2D3447B9"/>
    <w:rsid w:val="2D630BFB"/>
    <w:rsid w:val="2D870D8D"/>
    <w:rsid w:val="2D8F379E"/>
    <w:rsid w:val="2D9D235F"/>
    <w:rsid w:val="2DBE22D5"/>
    <w:rsid w:val="2DBF5292"/>
    <w:rsid w:val="2DD85145"/>
    <w:rsid w:val="2DF45CF7"/>
    <w:rsid w:val="2E0942AF"/>
    <w:rsid w:val="2E0B6E95"/>
    <w:rsid w:val="2E0C06A3"/>
    <w:rsid w:val="2E100D83"/>
    <w:rsid w:val="2E314855"/>
    <w:rsid w:val="2E861045"/>
    <w:rsid w:val="2E9F03ED"/>
    <w:rsid w:val="2EA25C4E"/>
    <w:rsid w:val="2ED3590C"/>
    <w:rsid w:val="2EF1054D"/>
    <w:rsid w:val="2F44743E"/>
    <w:rsid w:val="2F472CFA"/>
    <w:rsid w:val="2F603644"/>
    <w:rsid w:val="2F6A2714"/>
    <w:rsid w:val="2F6F1AD9"/>
    <w:rsid w:val="2F8A246F"/>
    <w:rsid w:val="2F8C268B"/>
    <w:rsid w:val="2FCD159E"/>
    <w:rsid w:val="2FD162F0"/>
    <w:rsid w:val="2FD26B56"/>
    <w:rsid w:val="2FF16992"/>
    <w:rsid w:val="2FF26187"/>
    <w:rsid w:val="2FFB572C"/>
    <w:rsid w:val="30110DE2"/>
    <w:rsid w:val="302503E9"/>
    <w:rsid w:val="3041203C"/>
    <w:rsid w:val="304A60A2"/>
    <w:rsid w:val="305D7B83"/>
    <w:rsid w:val="30915A7F"/>
    <w:rsid w:val="30A9101A"/>
    <w:rsid w:val="30B55C11"/>
    <w:rsid w:val="30C32657"/>
    <w:rsid w:val="30EC4205"/>
    <w:rsid w:val="30EF69E4"/>
    <w:rsid w:val="310929F9"/>
    <w:rsid w:val="312132A7"/>
    <w:rsid w:val="313308E4"/>
    <w:rsid w:val="313A0BD1"/>
    <w:rsid w:val="31404725"/>
    <w:rsid w:val="31440D43"/>
    <w:rsid w:val="31485E5B"/>
    <w:rsid w:val="31552F50"/>
    <w:rsid w:val="31615451"/>
    <w:rsid w:val="316867E0"/>
    <w:rsid w:val="316D3DF6"/>
    <w:rsid w:val="31735FEC"/>
    <w:rsid w:val="31905D36"/>
    <w:rsid w:val="31BB2DB3"/>
    <w:rsid w:val="32021C86"/>
    <w:rsid w:val="32582CF8"/>
    <w:rsid w:val="32593346"/>
    <w:rsid w:val="325B00F2"/>
    <w:rsid w:val="32A63A63"/>
    <w:rsid w:val="32B80009"/>
    <w:rsid w:val="32B83797"/>
    <w:rsid w:val="32BB6DE3"/>
    <w:rsid w:val="32CE4D68"/>
    <w:rsid w:val="32E04BAD"/>
    <w:rsid w:val="330D3A5D"/>
    <w:rsid w:val="3341378C"/>
    <w:rsid w:val="338C2FAC"/>
    <w:rsid w:val="339935C8"/>
    <w:rsid w:val="33C64231"/>
    <w:rsid w:val="33D2532E"/>
    <w:rsid w:val="33D47D4F"/>
    <w:rsid w:val="340A1DD0"/>
    <w:rsid w:val="34666500"/>
    <w:rsid w:val="346E6803"/>
    <w:rsid w:val="349C4646"/>
    <w:rsid w:val="34A71D15"/>
    <w:rsid w:val="34AF2977"/>
    <w:rsid w:val="34B43C68"/>
    <w:rsid w:val="34E40B78"/>
    <w:rsid w:val="34EB5D83"/>
    <w:rsid w:val="34FC4643"/>
    <w:rsid w:val="355A2DB4"/>
    <w:rsid w:val="355B6BD8"/>
    <w:rsid w:val="35672FFF"/>
    <w:rsid w:val="356A5862"/>
    <w:rsid w:val="3575771D"/>
    <w:rsid w:val="35812566"/>
    <w:rsid w:val="3581411C"/>
    <w:rsid w:val="35814314"/>
    <w:rsid w:val="35867B7C"/>
    <w:rsid w:val="359027A9"/>
    <w:rsid w:val="359E1ADF"/>
    <w:rsid w:val="35A973C7"/>
    <w:rsid w:val="35FC1BEC"/>
    <w:rsid w:val="36392E40"/>
    <w:rsid w:val="364745B3"/>
    <w:rsid w:val="365D6B2F"/>
    <w:rsid w:val="367B236C"/>
    <w:rsid w:val="3692250F"/>
    <w:rsid w:val="36B97711"/>
    <w:rsid w:val="36BD312A"/>
    <w:rsid w:val="36E0506A"/>
    <w:rsid w:val="36E21696"/>
    <w:rsid w:val="36E903C3"/>
    <w:rsid w:val="36F122E3"/>
    <w:rsid w:val="36F62AE0"/>
    <w:rsid w:val="371E68C5"/>
    <w:rsid w:val="37304FEB"/>
    <w:rsid w:val="37410A59"/>
    <w:rsid w:val="374E46CA"/>
    <w:rsid w:val="376C4B50"/>
    <w:rsid w:val="37936580"/>
    <w:rsid w:val="37DC4F30"/>
    <w:rsid w:val="37ED7A3F"/>
    <w:rsid w:val="37FC5ED4"/>
    <w:rsid w:val="382B2790"/>
    <w:rsid w:val="38392C84"/>
    <w:rsid w:val="38455ACD"/>
    <w:rsid w:val="384E39BC"/>
    <w:rsid w:val="384E5558"/>
    <w:rsid w:val="3860524D"/>
    <w:rsid w:val="38845B55"/>
    <w:rsid w:val="388B6AFB"/>
    <w:rsid w:val="38960E85"/>
    <w:rsid w:val="38A34BF8"/>
    <w:rsid w:val="38B22A36"/>
    <w:rsid w:val="38DD49D6"/>
    <w:rsid w:val="38E5105E"/>
    <w:rsid w:val="39344543"/>
    <w:rsid w:val="394F0285"/>
    <w:rsid w:val="396B3311"/>
    <w:rsid w:val="39785A2E"/>
    <w:rsid w:val="397D1296"/>
    <w:rsid w:val="399C796E"/>
    <w:rsid w:val="39A17917"/>
    <w:rsid w:val="39E15381"/>
    <w:rsid w:val="3A2C2CB0"/>
    <w:rsid w:val="3A2D6818"/>
    <w:rsid w:val="3A3473AE"/>
    <w:rsid w:val="3A724367"/>
    <w:rsid w:val="3A743A5B"/>
    <w:rsid w:val="3A8E6472"/>
    <w:rsid w:val="3A9248CD"/>
    <w:rsid w:val="3A992100"/>
    <w:rsid w:val="3A9B73CB"/>
    <w:rsid w:val="3AD52E6E"/>
    <w:rsid w:val="3B0E3CCE"/>
    <w:rsid w:val="3B163750"/>
    <w:rsid w:val="3B2C2F74"/>
    <w:rsid w:val="3B3E6803"/>
    <w:rsid w:val="3B410244"/>
    <w:rsid w:val="3B885D5C"/>
    <w:rsid w:val="3B8E778B"/>
    <w:rsid w:val="3B954FF7"/>
    <w:rsid w:val="3B985F13"/>
    <w:rsid w:val="3BE43653"/>
    <w:rsid w:val="3BFD046C"/>
    <w:rsid w:val="3C17152E"/>
    <w:rsid w:val="3C371BD0"/>
    <w:rsid w:val="3C687483"/>
    <w:rsid w:val="3C8B7953"/>
    <w:rsid w:val="3C9F71B8"/>
    <w:rsid w:val="3CB13731"/>
    <w:rsid w:val="3CB13CE3"/>
    <w:rsid w:val="3CB804A0"/>
    <w:rsid w:val="3CBF05CA"/>
    <w:rsid w:val="3CD13DD3"/>
    <w:rsid w:val="3CE31410"/>
    <w:rsid w:val="3CF9475D"/>
    <w:rsid w:val="3D181C2D"/>
    <w:rsid w:val="3D1E2D4B"/>
    <w:rsid w:val="3D3703C7"/>
    <w:rsid w:val="3D453E79"/>
    <w:rsid w:val="3D4B66A5"/>
    <w:rsid w:val="3D4F3DCA"/>
    <w:rsid w:val="3DD77D43"/>
    <w:rsid w:val="3DDA0A65"/>
    <w:rsid w:val="3DE6740A"/>
    <w:rsid w:val="3DFF0391"/>
    <w:rsid w:val="3E0C4997"/>
    <w:rsid w:val="3E1F291C"/>
    <w:rsid w:val="3E264AF2"/>
    <w:rsid w:val="3E4405D4"/>
    <w:rsid w:val="3E4E6333"/>
    <w:rsid w:val="3E614CE2"/>
    <w:rsid w:val="3E6D3687"/>
    <w:rsid w:val="3E7435A2"/>
    <w:rsid w:val="3E832EAB"/>
    <w:rsid w:val="3E8A248B"/>
    <w:rsid w:val="3ECD2378"/>
    <w:rsid w:val="3EE74323"/>
    <w:rsid w:val="3EF96368"/>
    <w:rsid w:val="3F055FB6"/>
    <w:rsid w:val="3F18759E"/>
    <w:rsid w:val="3F2C52F0"/>
    <w:rsid w:val="3F422D66"/>
    <w:rsid w:val="3F605BBD"/>
    <w:rsid w:val="3F6321EA"/>
    <w:rsid w:val="3F685210"/>
    <w:rsid w:val="3F7D3D9E"/>
    <w:rsid w:val="3F8051EC"/>
    <w:rsid w:val="3F9904AC"/>
    <w:rsid w:val="3FBB6674"/>
    <w:rsid w:val="3FD12164"/>
    <w:rsid w:val="3FFC1167"/>
    <w:rsid w:val="400172BB"/>
    <w:rsid w:val="4004001B"/>
    <w:rsid w:val="40273D0A"/>
    <w:rsid w:val="407E7DCE"/>
    <w:rsid w:val="408847A8"/>
    <w:rsid w:val="408A030B"/>
    <w:rsid w:val="40BE466E"/>
    <w:rsid w:val="40C17CBA"/>
    <w:rsid w:val="40E91C7A"/>
    <w:rsid w:val="410127AD"/>
    <w:rsid w:val="410302D3"/>
    <w:rsid w:val="41057DE0"/>
    <w:rsid w:val="411038CD"/>
    <w:rsid w:val="41214F2E"/>
    <w:rsid w:val="4156420D"/>
    <w:rsid w:val="41695BD4"/>
    <w:rsid w:val="41881F15"/>
    <w:rsid w:val="41911D83"/>
    <w:rsid w:val="4192346F"/>
    <w:rsid w:val="41A41AB6"/>
    <w:rsid w:val="41B63597"/>
    <w:rsid w:val="41BB6E00"/>
    <w:rsid w:val="41F37760"/>
    <w:rsid w:val="42002A64"/>
    <w:rsid w:val="42051E29"/>
    <w:rsid w:val="420B38E3"/>
    <w:rsid w:val="42440BA3"/>
    <w:rsid w:val="424B0183"/>
    <w:rsid w:val="424C7EC7"/>
    <w:rsid w:val="42632766"/>
    <w:rsid w:val="427F607F"/>
    <w:rsid w:val="42813BA5"/>
    <w:rsid w:val="42837B1B"/>
    <w:rsid w:val="42935686"/>
    <w:rsid w:val="42CD0B98"/>
    <w:rsid w:val="42CF2B62"/>
    <w:rsid w:val="42D77C69"/>
    <w:rsid w:val="42E14644"/>
    <w:rsid w:val="42FF2625"/>
    <w:rsid w:val="43023F34"/>
    <w:rsid w:val="43156CC7"/>
    <w:rsid w:val="432D1637"/>
    <w:rsid w:val="432F3B07"/>
    <w:rsid w:val="43591D9B"/>
    <w:rsid w:val="436A4639"/>
    <w:rsid w:val="43727992"/>
    <w:rsid w:val="43747266"/>
    <w:rsid w:val="43A4388B"/>
    <w:rsid w:val="43AF64F0"/>
    <w:rsid w:val="43BE3225"/>
    <w:rsid w:val="43C35D74"/>
    <w:rsid w:val="43E3619A"/>
    <w:rsid w:val="43F649EB"/>
    <w:rsid w:val="43FD36FF"/>
    <w:rsid w:val="440F51E1"/>
    <w:rsid w:val="44240C8C"/>
    <w:rsid w:val="44356037"/>
    <w:rsid w:val="446A2417"/>
    <w:rsid w:val="447A4E24"/>
    <w:rsid w:val="447D75CD"/>
    <w:rsid w:val="4488746D"/>
    <w:rsid w:val="44B74F0C"/>
    <w:rsid w:val="44D86915"/>
    <w:rsid w:val="44DF70AD"/>
    <w:rsid w:val="44E421C9"/>
    <w:rsid w:val="44F468B0"/>
    <w:rsid w:val="45062140"/>
    <w:rsid w:val="4545710C"/>
    <w:rsid w:val="45612332"/>
    <w:rsid w:val="456377EE"/>
    <w:rsid w:val="4565330A"/>
    <w:rsid w:val="456652D4"/>
    <w:rsid w:val="456D0411"/>
    <w:rsid w:val="45701CAF"/>
    <w:rsid w:val="4577128F"/>
    <w:rsid w:val="45783434"/>
    <w:rsid w:val="45C67123"/>
    <w:rsid w:val="45FF45A2"/>
    <w:rsid w:val="460D6DA0"/>
    <w:rsid w:val="461E572A"/>
    <w:rsid w:val="46267DEB"/>
    <w:rsid w:val="465C00A0"/>
    <w:rsid w:val="46601D24"/>
    <w:rsid w:val="466435C2"/>
    <w:rsid w:val="470703F1"/>
    <w:rsid w:val="470E79D1"/>
    <w:rsid w:val="475D3DA8"/>
    <w:rsid w:val="47605F31"/>
    <w:rsid w:val="478E45D4"/>
    <w:rsid w:val="47BB30B2"/>
    <w:rsid w:val="47C85DD2"/>
    <w:rsid w:val="47D72A0D"/>
    <w:rsid w:val="47F72214"/>
    <w:rsid w:val="47FF0499"/>
    <w:rsid w:val="48215A10"/>
    <w:rsid w:val="486C49B0"/>
    <w:rsid w:val="486D73A7"/>
    <w:rsid w:val="486F44A0"/>
    <w:rsid w:val="4893018E"/>
    <w:rsid w:val="489B7854"/>
    <w:rsid w:val="48AB372A"/>
    <w:rsid w:val="48E1539E"/>
    <w:rsid w:val="48E924A4"/>
    <w:rsid w:val="48F830FD"/>
    <w:rsid w:val="48FD7CFE"/>
    <w:rsid w:val="49211C3E"/>
    <w:rsid w:val="492653E3"/>
    <w:rsid w:val="49386D6A"/>
    <w:rsid w:val="49553BA0"/>
    <w:rsid w:val="495A6EFE"/>
    <w:rsid w:val="496438D9"/>
    <w:rsid w:val="499A554C"/>
    <w:rsid w:val="49A62143"/>
    <w:rsid w:val="49A63EF1"/>
    <w:rsid w:val="49A64E5C"/>
    <w:rsid w:val="49C23456"/>
    <w:rsid w:val="4A035B0E"/>
    <w:rsid w:val="4A0A26D2"/>
    <w:rsid w:val="4A325785"/>
    <w:rsid w:val="4A475589"/>
    <w:rsid w:val="4A493E9B"/>
    <w:rsid w:val="4A6A6D04"/>
    <w:rsid w:val="4A8A736F"/>
    <w:rsid w:val="4A8F2BD7"/>
    <w:rsid w:val="4AC26B09"/>
    <w:rsid w:val="4AC66BD0"/>
    <w:rsid w:val="4AC76815"/>
    <w:rsid w:val="4ACC5BD9"/>
    <w:rsid w:val="4ADE0EEB"/>
    <w:rsid w:val="4ADE5503"/>
    <w:rsid w:val="4AE9678B"/>
    <w:rsid w:val="4AF241A0"/>
    <w:rsid w:val="4B09298A"/>
    <w:rsid w:val="4B23143B"/>
    <w:rsid w:val="4B2B2900"/>
    <w:rsid w:val="4B3612A5"/>
    <w:rsid w:val="4B501DBF"/>
    <w:rsid w:val="4B5A1437"/>
    <w:rsid w:val="4B6B0F4E"/>
    <w:rsid w:val="4B7F0E9E"/>
    <w:rsid w:val="4B92472D"/>
    <w:rsid w:val="4B9C465E"/>
    <w:rsid w:val="4BE551A5"/>
    <w:rsid w:val="4C067917"/>
    <w:rsid w:val="4C115F9A"/>
    <w:rsid w:val="4C2B4E0D"/>
    <w:rsid w:val="4C46543A"/>
    <w:rsid w:val="4C6562E6"/>
    <w:rsid w:val="4C6D0CF6"/>
    <w:rsid w:val="4C6E2B99"/>
    <w:rsid w:val="4C856040"/>
    <w:rsid w:val="4C8E4F10"/>
    <w:rsid w:val="4CB608EF"/>
    <w:rsid w:val="4CB701C3"/>
    <w:rsid w:val="4CC0176E"/>
    <w:rsid w:val="4CD947ED"/>
    <w:rsid w:val="4CDB17E4"/>
    <w:rsid w:val="4CE973D5"/>
    <w:rsid w:val="4CFA4C80"/>
    <w:rsid w:val="4D025C37"/>
    <w:rsid w:val="4D027691"/>
    <w:rsid w:val="4D0B2FD8"/>
    <w:rsid w:val="4D1D44CA"/>
    <w:rsid w:val="4D27359B"/>
    <w:rsid w:val="4D302450"/>
    <w:rsid w:val="4D3637DE"/>
    <w:rsid w:val="4D5A571F"/>
    <w:rsid w:val="4D623393"/>
    <w:rsid w:val="4D644F78"/>
    <w:rsid w:val="4D704F42"/>
    <w:rsid w:val="4D8F79F2"/>
    <w:rsid w:val="4D9F3131"/>
    <w:rsid w:val="4E235B10"/>
    <w:rsid w:val="4E4D0DDF"/>
    <w:rsid w:val="4E5321ED"/>
    <w:rsid w:val="4E6016D6"/>
    <w:rsid w:val="4E6D76D3"/>
    <w:rsid w:val="4E816CDB"/>
    <w:rsid w:val="4E8C5DAC"/>
    <w:rsid w:val="4E8F351A"/>
    <w:rsid w:val="4EB250E6"/>
    <w:rsid w:val="4EBE7F2F"/>
    <w:rsid w:val="4EDB605D"/>
    <w:rsid w:val="4EE554BC"/>
    <w:rsid w:val="4F18038A"/>
    <w:rsid w:val="4F22226C"/>
    <w:rsid w:val="4F2C6C47"/>
    <w:rsid w:val="4F4F4D7D"/>
    <w:rsid w:val="4F587A3C"/>
    <w:rsid w:val="4F5E329D"/>
    <w:rsid w:val="4F711F6A"/>
    <w:rsid w:val="4F813C30"/>
    <w:rsid w:val="4F9273F2"/>
    <w:rsid w:val="4FBA06F6"/>
    <w:rsid w:val="4FBA78D0"/>
    <w:rsid w:val="4FCB6460"/>
    <w:rsid w:val="4FCE5E25"/>
    <w:rsid w:val="4FCE7CFE"/>
    <w:rsid w:val="50037B8F"/>
    <w:rsid w:val="500951DA"/>
    <w:rsid w:val="50096F88"/>
    <w:rsid w:val="50113D68"/>
    <w:rsid w:val="50134B6A"/>
    <w:rsid w:val="502323AF"/>
    <w:rsid w:val="504C214F"/>
    <w:rsid w:val="504D3319"/>
    <w:rsid w:val="505006DF"/>
    <w:rsid w:val="50BC3B9F"/>
    <w:rsid w:val="510A2FB8"/>
    <w:rsid w:val="51260225"/>
    <w:rsid w:val="512E314A"/>
    <w:rsid w:val="51360251"/>
    <w:rsid w:val="51421F58"/>
    <w:rsid w:val="51454E60"/>
    <w:rsid w:val="51477D68"/>
    <w:rsid w:val="51790BFB"/>
    <w:rsid w:val="51C27D36"/>
    <w:rsid w:val="51C71A20"/>
    <w:rsid w:val="51D3784E"/>
    <w:rsid w:val="51D75590"/>
    <w:rsid w:val="51DA6E2E"/>
    <w:rsid w:val="51FA74D0"/>
    <w:rsid w:val="520F7138"/>
    <w:rsid w:val="5214298C"/>
    <w:rsid w:val="522C72C3"/>
    <w:rsid w:val="522D734C"/>
    <w:rsid w:val="524A1938"/>
    <w:rsid w:val="524D13AE"/>
    <w:rsid w:val="526C6007"/>
    <w:rsid w:val="52B92EE7"/>
    <w:rsid w:val="52BB6C5F"/>
    <w:rsid w:val="52BE6184"/>
    <w:rsid w:val="52CA50F4"/>
    <w:rsid w:val="52DC2732"/>
    <w:rsid w:val="52E02222"/>
    <w:rsid w:val="52EC506B"/>
    <w:rsid w:val="52EF06B7"/>
    <w:rsid w:val="53041596"/>
    <w:rsid w:val="531D3476"/>
    <w:rsid w:val="533B37EB"/>
    <w:rsid w:val="53654E1D"/>
    <w:rsid w:val="538151F6"/>
    <w:rsid w:val="5382777D"/>
    <w:rsid w:val="53852DC9"/>
    <w:rsid w:val="53886B25"/>
    <w:rsid w:val="53AA2830"/>
    <w:rsid w:val="53BD2563"/>
    <w:rsid w:val="53C32D17"/>
    <w:rsid w:val="53D02F06"/>
    <w:rsid w:val="53FA37B7"/>
    <w:rsid w:val="53FB3961"/>
    <w:rsid w:val="5411012E"/>
    <w:rsid w:val="541D3002"/>
    <w:rsid w:val="54224ABC"/>
    <w:rsid w:val="542B571F"/>
    <w:rsid w:val="544C2E0C"/>
    <w:rsid w:val="544F3B03"/>
    <w:rsid w:val="545869BF"/>
    <w:rsid w:val="54596730"/>
    <w:rsid w:val="54616C3C"/>
    <w:rsid w:val="54617C92"/>
    <w:rsid w:val="54684BC5"/>
    <w:rsid w:val="548136DA"/>
    <w:rsid w:val="54833FB9"/>
    <w:rsid w:val="548B3E72"/>
    <w:rsid w:val="54992FD0"/>
    <w:rsid w:val="54996882"/>
    <w:rsid w:val="54BF046F"/>
    <w:rsid w:val="54CF07A0"/>
    <w:rsid w:val="54D264E2"/>
    <w:rsid w:val="54F71AA5"/>
    <w:rsid w:val="554259E1"/>
    <w:rsid w:val="55614BA6"/>
    <w:rsid w:val="556F3D31"/>
    <w:rsid w:val="559B2D78"/>
    <w:rsid w:val="55A80624"/>
    <w:rsid w:val="55EB160A"/>
    <w:rsid w:val="56091B70"/>
    <w:rsid w:val="560B3A5A"/>
    <w:rsid w:val="5627460C"/>
    <w:rsid w:val="56286D65"/>
    <w:rsid w:val="56286E64"/>
    <w:rsid w:val="564B20A8"/>
    <w:rsid w:val="5653734D"/>
    <w:rsid w:val="566B274A"/>
    <w:rsid w:val="567011C6"/>
    <w:rsid w:val="568023CE"/>
    <w:rsid w:val="56834170"/>
    <w:rsid w:val="569F11EB"/>
    <w:rsid w:val="56A21888"/>
    <w:rsid w:val="56C34335"/>
    <w:rsid w:val="56E0268F"/>
    <w:rsid w:val="57016C0B"/>
    <w:rsid w:val="574C432A"/>
    <w:rsid w:val="57517B92"/>
    <w:rsid w:val="575A3F96"/>
    <w:rsid w:val="57672713"/>
    <w:rsid w:val="577613A7"/>
    <w:rsid w:val="577A36AD"/>
    <w:rsid w:val="577C0670"/>
    <w:rsid w:val="578C4726"/>
    <w:rsid w:val="57A37CC2"/>
    <w:rsid w:val="57AC603B"/>
    <w:rsid w:val="57B16AC2"/>
    <w:rsid w:val="57B91294"/>
    <w:rsid w:val="57BD1AF6"/>
    <w:rsid w:val="57BF6720"/>
    <w:rsid w:val="57DC747B"/>
    <w:rsid w:val="57EA19EE"/>
    <w:rsid w:val="57EE718F"/>
    <w:rsid w:val="582C5F09"/>
    <w:rsid w:val="584E7C2E"/>
    <w:rsid w:val="585316E8"/>
    <w:rsid w:val="585D4315"/>
    <w:rsid w:val="586E207E"/>
    <w:rsid w:val="587358E6"/>
    <w:rsid w:val="5889335C"/>
    <w:rsid w:val="588C69A8"/>
    <w:rsid w:val="58AC2CC7"/>
    <w:rsid w:val="58AD0DF8"/>
    <w:rsid w:val="58BD360B"/>
    <w:rsid w:val="58BF0649"/>
    <w:rsid w:val="58ED5699"/>
    <w:rsid w:val="58F24A5D"/>
    <w:rsid w:val="591730EE"/>
    <w:rsid w:val="591A58A7"/>
    <w:rsid w:val="593212FE"/>
    <w:rsid w:val="59451AAD"/>
    <w:rsid w:val="5946546B"/>
    <w:rsid w:val="59555DCC"/>
    <w:rsid w:val="596F60AE"/>
    <w:rsid w:val="59815DE1"/>
    <w:rsid w:val="59840DC3"/>
    <w:rsid w:val="59855101"/>
    <w:rsid w:val="59877FFD"/>
    <w:rsid w:val="598A738C"/>
    <w:rsid w:val="598F49A2"/>
    <w:rsid w:val="599B6EA3"/>
    <w:rsid w:val="59C56616"/>
    <w:rsid w:val="5A205E72"/>
    <w:rsid w:val="5A225816"/>
    <w:rsid w:val="5A2570B4"/>
    <w:rsid w:val="5A3F0176"/>
    <w:rsid w:val="5A492DA3"/>
    <w:rsid w:val="5A6279C1"/>
    <w:rsid w:val="5A655C07"/>
    <w:rsid w:val="5A690D4F"/>
    <w:rsid w:val="5A7A2F5C"/>
    <w:rsid w:val="5A8B77DE"/>
    <w:rsid w:val="5ABC3575"/>
    <w:rsid w:val="5AD92379"/>
    <w:rsid w:val="5ADB4098"/>
    <w:rsid w:val="5ADC336A"/>
    <w:rsid w:val="5AEB18DC"/>
    <w:rsid w:val="5B060C94"/>
    <w:rsid w:val="5B227EAF"/>
    <w:rsid w:val="5B264E92"/>
    <w:rsid w:val="5B323837"/>
    <w:rsid w:val="5B3D3F8A"/>
    <w:rsid w:val="5B501F0F"/>
    <w:rsid w:val="5B5D17D4"/>
    <w:rsid w:val="5B7A35BA"/>
    <w:rsid w:val="5B863B83"/>
    <w:rsid w:val="5BF46D3E"/>
    <w:rsid w:val="5C14118E"/>
    <w:rsid w:val="5C1650EC"/>
    <w:rsid w:val="5C353189"/>
    <w:rsid w:val="5C9A1694"/>
    <w:rsid w:val="5CAE15E3"/>
    <w:rsid w:val="5CD252D1"/>
    <w:rsid w:val="5CDA5F34"/>
    <w:rsid w:val="5CE15514"/>
    <w:rsid w:val="5CE21AED"/>
    <w:rsid w:val="5D1256CE"/>
    <w:rsid w:val="5D1F1D64"/>
    <w:rsid w:val="5D3722DC"/>
    <w:rsid w:val="5D3C099D"/>
    <w:rsid w:val="5D570AB1"/>
    <w:rsid w:val="5D59154F"/>
    <w:rsid w:val="5D600B2F"/>
    <w:rsid w:val="5D7A3273"/>
    <w:rsid w:val="5D9C143B"/>
    <w:rsid w:val="5DA86032"/>
    <w:rsid w:val="5DAD53F7"/>
    <w:rsid w:val="5DCB6083"/>
    <w:rsid w:val="5DD230AF"/>
    <w:rsid w:val="5DE132F2"/>
    <w:rsid w:val="5DE54B90"/>
    <w:rsid w:val="5DF001EB"/>
    <w:rsid w:val="5DFE3EA4"/>
    <w:rsid w:val="5E055233"/>
    <w:rsid w:val="5E0D72B8"/>
    <w:rsid w:val="5E2970D6"/>
    <w:rsid w:val="5E4775F9"/>
    <w:rsid w:val="5E5C6BAC"/>
    <w:rsid w:val="5E6A778C"/>
    <w:rsid w:val="5E8C345B"/>
    <w:rsid w:val="5EB82C97"/>
    <w:rsid w:val="5EBE2D22"/>
    <w:rsid w:val="5EC94306"/>
    <w:rsid w:val="5ED95287"/>
    <w:rsid w:val="5EE57DEF"/>
    <w:rsid w:val="5F245B8C"/>
    <w:rsid w:val="5F28567D"/>
    <w:rsid w:val="5F29040C"/>
    <w:rsid w:val="5F3479DF"/>
    <w:rsid w:val="5F4010A7"/>
    <w:rsid w:val="5F6B7317"/>
    <w:rsid w:val="5F721AF0"/>
    <w:rsid w:val="5F8E5E24"/>
    <w:rsid w:val="5FAA23A3"/>
    <w:rsid w:val="5FB55B8B"/>
    <w:rsid w:val="5FD82C61"/>
    <w:rsid w:val="5FF4730D"/>
    <w:rsid w:val="5FFA1614"/>
    <w:rsid w:val="5FFE63DD"/>
    <w:rsid w:val="60025ECE"/>
    <w:rsid w:val="600E3E55"/>
    <w:rsid w:val="601C6864"/>
    <w:rsid w:val="6028345A"/>
    <w:rsid w:val="603242D9"/>
    <w:rsid w:val="6041144F"/>
    <w:rsid w:val="60432042"/>
    <w:rsid w:val="60583D40"/>
    <w:rsid w:val="60681AA9"/>
    <w:rsid w:val="606C1599"/>
    <w:rsid w:val="6074044E"/>
    <w:rsid w:val="60786190"/>
    <w:rsid w:val="607E307A"/>
    <w:rsid w:val="60940AF0"/>
    <w:rsid w:val="609B0D24"/>
    <w:rsid w:val="60A823BF"/>
    <w:rsid w:val="60A83445"/>
    <w:rsid w:val="60C6562D"/>
    <w:rsid w:val="60D10B35"/>
    <w:rsid w:val="612F2105"/>
    <w:rsid w:val="61354081"/>
    <w:rsid w:val="615F4C5A"/>
    <w:rsid w:val="61677FB2"/>
    <w:rsid w:val="616F002F"/>
    <w:rsid w:val="61730705"/>
    <w:rsid w:val="617F354E"/>
    <w:rsid w:val="61970898"/>
    <w:rsid w:val="61C15914"/>
    <w:rsid w:val="61ED04B8"/>
    <w:rsid w:val="61EF4230"/>
    <w:rsid w:val="61F44302"/>
    <w:rsid w:val="61F73A35"/>
    <w:rsid w:val="62022F83"/>
    <w:rsid w:val="62175534"/>
    <w:rsid w:val="621E4B15"/>
    <w:rsid w:val="624E4BA2"/>
    <w:rsid w:val="625C563D"/>
    <w:rsid w:val="625C786C"/>
    <w:rsid w:val="62773F76"/>
    <w:rsid w:val="627E15CF"/>
    <w:rsid w:val="6283706E"/>
    <w:rsid w:val="628801E0"/>
    <w:rsid w:val="62BD432E"/>
    <w:rsid w:val="62D804DD"/>
    <w:rsid w:val="62DE2463"/>
    <w:rsid w:val="63190646"/>
    <w:rsid w:val="63190B09"/>
    <w:rsid w:val="63471E49"/>
    <w:rsid w:val="637114CE"/>
    <w:rsid w:val="638B61DA"/>
    <w:rsid w:val="638E67FA"/>
    <w:rsid w:val="63AB687C"/>
    <w:rsid w:val="644F5459"/>
    <w:rsid w:val="645667E8"/>
    <w:rsid w:val="64866BD9"/>
    <w:rsid w:val="64A37118"/>
    <w:rsid w:val="64AA4AE5"/>
    <w:rsid w:val="64B81251"/>
    <w:rsid w:val="64DC78B8"/>
    <w:rsid w:val="64E2007C"/>
    <w:rsid w:val="64E35BA2"/>
    <w:rsid w:val="650D376B"/>
    <w:rsid w:val="654F4FE5"/>
    <w:rsid w:val="65A417D5"/>
    <w:rsid w:val="65AC068A"/>
    <w:rsid w:val="65D57BE0"/>
    <w:rsid w:val="65E25E59"/>
    <w:rsid w:val="66014531"/>
    <w:rsid w:val="661A1A97"/>
    <w:rsid w:val="66212E26"/>
    <w:rsid w:val="662B15AE"/>
    <w:rsid w:val="6632293D"/>
    <w:rsid w:val="66342B59"/>
    <w:rsid w:val="6635067F"/>
    <w:rsid w:val="663C52CC"/>
    <w:rsid w:val="663D0055"/>
    <w:rsid w:val="66521231"/>
    <w:rsid w:val="66693888"/>
    <w:rsid w:val="666A0329"/>
    <w:rsid w:val="66707909"/>
    <w:rsid w:val="66DC0AFB"/>
    <w:rsid w:val="66E3632D"/>
    <w:rsid w:val="66F72064"/>
    <w:rsid w:val="67136C12"/>
    <w:rsid w:val="673426E5"/>
    <w:rsid w:val="67535261"/>
    <w:rsid w:val="675608AD"/>
    <w:rsid w:val="676A3084"/>
    <w:rsid w:val="677A27ED"/>
    <w:rsid w:val="67AA29A7"/>
    <w:rsid w:val="67C670CB"/>
    <w:rsid w:val="67DE774C"/>
    <w:rsid w:val="680718E8"/>
    <w:rsid w:val="68093B71"/>
    <w:rsid w:val="683055A2"/>
    <w:rsid w:val="6846007D"/>
    <w:rsid w:val="6848469A"/>
    <w:rsid w:val="686A4F9A"/>
    <w:rsid w:val="68BC6E36"/>
    <w:rsid w:val="68F22857"/>
    <w:rsid w:val="68F44821"/>
    <w:rsid w:val="68F91E38"/>
    <w:rsid w:val="69515C1F"/>
    <w:rsid w:val="69664A0F"/>
    <w:rsid w:val="69841BF6"/>
    <w:rsid w:val="69857DCB"/>
    <w:rsid w:val="698F00A6"/>
    <w:rsid w:val="69A74526"/>
    <w:rsid w:val="69D331BE"/>
    <w:rsid w:val="69D60BF7"/>
    <w:rsid w:val="69EB1FDC"/>
    <w:rsid w:val="69FA3354"/>
    <w:rsid w:val="69FA5E67"/>
    <w:rsid w:val="69FE4B1A"/>
    <w:rsid w:val="6A015735"/>
    <w:rsid w:val="6A165180"/>
    <w:rsid w:val="6A1F767C"/>
    <w:rsid w:val="6A4E4A0A"/>
    <w:rsid w:val="6A6B466F"/>
    <w:rsid w:val="6A9516EC"/>
    <w:rsid w:val="6AB42873"/>
    <w:rsid w:val="6AC33F7B"/>
    <w:rsid w:val="6AC81AC2"/>
    <w:rsid w:val="6AD064F1"/>
    <w:rsid w:val="6AD62431"/>
    <w:rsid w:val="6AEA7C8A"/>
    <w:rsid w:val="6AF705F9"/>
    <w:rsid w:val="6AFB3C45"/>
    <w:rsid w:val="6B317667"/>
    <w:rsid w:val="6B5A6D4C"/>
    <w:rsid w:val="6B8A60F8"/>
    <w:rsid w:val="6BA8544F"/>
    <w:rsid w:val="6BD56BBF"/>
    <w:rsid w:val="6BDF3567"/>
    <w:rsid w:val="6BED613A"/>
    <w:rsid w:val="6BEE00B5"/>
    <w:rsid w:val="6C2027AD"/>
    <w:rsid w:val="6C3D64DF"/>
    <w:rsid w:val="6C3E7464"/>
    <w:rsid w:val="6C4258A4"/>
    <w:rsid w:val="6C452082"/>
    <w:rsid w:val="6C5337CF"/>
    <w:rsid w:val="6C5506F2"/>
    <w:rsid w:val="6C5C0714"/>
    <w:rsid w:val="6C895281"/>
    <w:rsid w:val="6C8B2992"/>
    <w:rsid w:val="6CA65E33"/>
    <w:rsid w:val="6CAD73D6"/>
    <w:rsid w:val="6CAE6A95"/>
    <w:rsid w:val="6CB73B9C"/>
    <w:rsid w:val="6CDF7BCE"/>
    <w:rsid w:val="6CE93F71"/>
    <w:rsid w:val="6D0D43C1"/>
    <w:rsid w:val="6D166FC6"/>
    <w:rsid w:val="6D260D22"/>
    <w:rsid w:val="6D2A0812"/>
    <w:rsid w:val="6D34343E"/>
    <w:rsid w:val="6D544E73"/>
    <w:rsid w:val="6D5C102A"/>
    <w:rsid w:val="6D5E04BB"/>
    <w:rsid w:val="6D633D24"/>
    <w:rsid w:val="6D7221B9"/>
    <w:rsid w:val="6D7D3037"/>
    <w:rsid w:val="6DB36A59"/>
    <w:rsid w:val="6E076DA5"/>
    <w:rsid w:val="6E0F4F8D"/>
    <w:rsid w:val="6E2830B5"/>
    <w:rsid w:val="6E423939"/>
    <w:rsid w:val="6E427879"/>
    <w:rsid w:val="6E533D98"/>
    <w:rsid w:val="6E7837FF"/>
    <w:rsid w:val="6E7A034A"/>
    <w:rsid w:val="6E7D2BC3"/>
    <w:rsid w:val="6E85086A"/>
    <w:rsid w:val="6E9F59DB"/>
    <w:rsid w:val="6EB8009F"/>
    <w:rsid w:val="6EE80984"/>
    <w:rsid w:val="6F143527"/>
    <w:rsid w:val="6F5D2C01"/>
    <w:rsid w:val="6F5D68FC"/>
    <w:rsid w:val="6F7E6BF3"/>
    <w:rsid w:val="6F831E19"/>
    <w:rsid w:val="6F854425"/>
    <w:rsid w:val="6F875336"/>
    <w:rsid w:val="6FA10B33"/>
    <w:rsid w:val="6FAC7C04"/>
    <w:rsid w:val="6FCA62DC"/>
    <w:rsid w:val="6FDE58E3"/>
    <w:rsid w:val="6FEE1FCA"/>
    <w:rsid w:val="6FEF189F"/>
    <w:rsid w:val="6FEF5D43"/>
    <w:rsid w:val="6FEF7AF1"/>
    <w:rsid w:val="6FFD40FB"/>
    <w:rsid w:val="700C2451"/>
    <w:rsid w:val="70131A31"/>
    <w:rsid w:val="70221C74"/>
    <w:rsid w:val="702A28D7"/>
    <w:rsid w:val="702B1782"/>
    <w:rsid w:val="702E23C7"/>
    <w:rsid w:val="704A7F86"/>
    <w:rsid w:val="705645D9"/>
    <w:rsid w:val="709B37D5"/>
    <w:rsid w:val="70A628A5"/>
    <w:rsid w:val="70A95AA7"/>
    <w:rsid w:val="70B4218C"/>
    <w:rsid w:val="70C07837"/>
    <w:rsid w:val="70E1568B"/>
    <w:rsid w:val="70E46F2A"/>
    <w:rsid w:val="70ED4030"/>
    <w:rsid w:val="71436346"/>
    <w:rsid w:val="7162370E"/>
    <w:rsid w:val="716A484E"/>
    <w:rsid w:val="71703B38"/>
    <w:rsid w:val="71C07997"/>
    <w:rsid w:val="71C12C62"/>
    <w:rsid w:val="71D1496D"/>
    <w:rsid w:val="71D74828"/>
    <w:rsid w:val="71D90A58"/>
    <w:rsid w:val="71E74120"/>
    <w:rsid w:val="72025473"/>
    <w:rsid w:val="721101F2"/>
    <w:rsid w:val="7218332F"/>
    <w:rsid w:val="72440D47"/>
    <w:rsid w:val="727644F9"/>
    <w:rsid w:val="729F603C"/>
    <w:rsid w:val="72AC2792"/>
    <w:rsid w:val="72AE1098"/>
    <w:rsid w:val="72B1108D"/>
    <w:rsid w:val="72B8241C"/>
    <w:rsid w:val="72BA43E6"/>
    <w:rsid w:val="72BC798D"/>
    <w:rsid w:val="72F378F8"/>
    <w:rsid w:val="73075151"/>
    <w:rsid w:val="730B63E9"/>
    <w:rsid w:val="731D4975"/>
    <w:rsid w:val="731F06ED"/>
    <w:rsid w:val="73231373"/>
    <w:rsid w:val="73261A7B"/>
    <w:rsid w:val="732955BF"/>
    <w:rsid w:val="73426189"/>
    <w:rsid w:val="737C5B3F"/>
    <w:rsid w:val="73966C01"/>
    <w:rsid w:val="73A11102"/>
    <w:rsid w:val="73D10850"/>
    <w:rsid w:val="73FD3E81"/>
    <w:rsid w:val="74250B2B"/>
    <w:rsid w:val="743106D8"/>
    <w:rsid w:val="747800B5"/>
    <w:rsid w:val="747F58E7"/>
    <w:rsid w:val="74890514"/>
    <w:rsid w:val="74921493"/>
    <w:rsid w:val="749D7B1B"/>
    <w:rsid w:val="74A27930"/>
    <w:rsid w:val="74C257D9"/>
    <w:rsid w:val="74C7103C"/>
    <w:rsid w:val="74F3249B"/>
    <w:rsid w:val="751678CE"/>
    <w:rsid w:val="75175143"/>
    <w:rsid w:val="754932A6"/>
    <w:rsid w:val="755A3C5E"/>
    <w:rsid w:val="75703482"/>
    <w:rsid w:val="7596078E"/>
    <w:rsid w:val="75E63744"/>
    <w:rsid w:val="75EB6D06"/>
    <w:rsid w:val="75FC2822"/>
    <w:rsid w:val="76085468"/>
    <w:rsid w:val="761171BF"/>
    <w:rsid w:val="76124539"/>
    <w:rsid w:val="7614104F"/>
    <w:rsid w:val="76595CC4"/>
    <w:rsid w:val="76676633"/>
    <w:rsid w:val="76A315AA"/>
    <w:rsid w:val="76BB697E"/>
    <w:rsid w:val="76E11E70"/>
    <w:rsid w:val="76E9529A"/>
    <w:rsid w:val="770B220C"/>
    <w:rsid w:val="77405252"/>
    <w:rsid w:val="774D4D14"/>
    <w:rsid w:val="77514BED"/>
    <w:rsid w:val="77666821"/>
    <w:rsid w:val="779D6084"/>
    <w:rsid w:val="77B75398"/>
    <w:rsid w:val="77CB0E43"/>
    <w:rsid w:val="77D62D81"/>
    <w:rsid w:val="77DE0B76"/>
    <w:rsid w:val="77EB6E04"/>
    <w:rsid w:val="77F24622"/>
    <w:rsid w:val="77F9775E"/>
    <w:rsid w:val="780A196C"/>
    <w:rsid w:val="78342545"/>
    <w:rsid w:val="785710BA"/>
    <w:rsid w:val="78CC4E73"/>
    <w:rsid w:val="78E1046A"/>
    <w:rsid w:val="78F26496"/>
    <w:rsid w:val="79077C59"/>
    <w:rsid w:val="79184530"/>
    <w:rsid w:val="792870F3"/>
    <w:rsid w:val="793A6280"/>
    <w:rsid w:val="79420C91"/>
    <w:rsid w:val="794732B8"/>
    <w:rsid w:val="79B25E17"/>
    <w:rsid w:val="79B85ED4"/>
    <w:rsid w:val="79B92E6D"/>
    <w:rsid w:val="79F0693F"/>
    <w:rsid w:val="7A0349D5"/>
    <w:rsid w:val="7A08012D"/>
    <w:rsid w:val="7A1963AB"/>
    <w:rsid w:val="7A263449"/>
    <w:rsid w:val="7A3902E6"/>
    <w:rsid w:val="7A3A405E"/>
    <w:rsid w:val="7A435E4B"/>
    <w:rsid w:val="7A460C55"/>
    <w:rsid w:val="7A524009"/>
    <w:rsid w:val="7A644563"/>
    <w:rsid w:val="7A7C4EC2"/>
    <w:rsid w:val="7A7F1A71"/>
    <w:rsid w:val="7A903C7E"/>
    <w:rsid w:val="7A996FD7"/>
    <w:rsid w:val="7AA634A2"/>
    <w:rsid w:val="7ABD0F17"/>
    <w:rsid w:val="7ACD0A2E"/>
    <w:rsid w:val="7AD63D87"/>
    <w:rsid w:val="7AFF3BA5"/>
    <w:rsid w:val="7B1F65CA"/>
    <w:rsid w:val="7B493A62"/>
    <w:rsid w:val="7B6E3FBF"/>
    <w:rsid w:val="7B6E5D6D"/>
    <w:rsid w:val="7BAD5E8E"/>
    <w:rsid w:val="7BB11EB4"/>
    <w:rsid w:val="7BB120FE"/>
    <w:rsid w:val="7BE349AD"/>
    <w:rsid w:val="7BF9373B"/>
    <w:rsid w:val="7C064A88"/>
    <w:rsid w:val="7C093CE8"/>
    <w:rsid w:val="7C66113B"/>
    <w:rsid w:val="7C6B73A1"/>
    <w:rsid w:val="7C745605"/>
    <w:rsid w:val="7C961804"/>
    <w:rsid w:val="7CAF4890"/>
    <w:rsid w:val="7CB9570E"/>
    <w:rsid w:val="7CD442F6"/>
    <w:rsid w:val="7CF14EA8"/>
    <w:rsid w:val="7D2708CA"/>
    <w:rsid w:val="7D44147C"/>
    <w:rsid w:val="7D5C0394"/>
    <w:rsid w:val="7D781125"/>
    <w:rsid w:val="7D9677FD"/>
    <w:rsid w:val="7D9A08D8"/>
    <w:rsid w:val="7D9D1678"/>
    <w:rsid w:val="7DA5421F"/>
    <w:rsid w:val="7DC4436B"/>
    <w:rsid w:val="7DCC7E3B"/>
    <w:rsid w:val="7DD00F61"/>
    <w:rsid w:val="7DD81BC4"/>
    <w:rsid w:val="7DE55306"/>
    <w:rsid w:val="7DFA5FDE"/>
    <w:rsid w:val="7E3A63DB"/>
    <w:rsid w:val="7E745D91"/>
    <w:rsid w:val="7E97053E"/>
    <w:rsid w:val="7EAD4DFF"/>
    <w:rsid w:val="7EB025C7"/>
    <w:rsid w:val="7EB02B41"/>
    <w:rsid w:val="7EC5039A"/>
    <w:rsid w:val="7EE76EDF"/>
    <w:rsid w:val="7EEF5417"/>
    <w:rsid w:val="7F2F7F0A"/>
    <w:rsid w:val="7F313C82"/>
    <w:rsid w:val="7F470F98"/>
    <w:rsid w:val="7F983D01"/>
    <w:rsid w:val="7FA06711"/>
    <w:rsid w:val="7FAA557E"/>
    <w:rsid w:val="7FE72592"/>
    <w:rsid w:val="7FE81CA9"/>
    <w:rsid w:val="7FF66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3"/>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6"/>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next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4"/>
    <w:basedOn w:val="1"/>
    <w:next w:val="1"/>
    <w:qFormat/>
    <w:uiPriority w:val="0"/>
    <w:pPr>
      <w:spacing w:line="360" w:lineRule="auto"/>
      <w:ind w:left="630" w:firstLine="425"/>
      <w:jc w:val="left"/>
    </w:pPr>
    <w:rPr>
      <w:sz w:val="18"/>
      <w:szCs w:val="18"/>
    </w:rPr>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basedOn w:val="1"/>
    <w:next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9"/>
    <w:next w:val="21"/>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0"/>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autoRedefine/>
    <w:qFormat/>
    <w:uiPriority w:val="99"/>
    <w:rPr>
      <w:color w:val="000000"/>
      <w:sz w:val="18"/>
      <w:szCs w:val="18"/>
      <w:u w:val="none"/>
    </w:rPr>
  </w:style>
  <w:style w:type="paragraph" w:customStyle="1" w:styleId="26">
    <w:name w:val="BodyText"/>
    <w:basedOn w:val="1"/>
    <w:qFormat/>
    <w:uiPriority w:val="0"/>
    <w:pPr>
      <w:spacing w:after="120"/>
      <w:jc w:val="both"/>
      <w:textAlignment w:val="baseline"/>
    </w:pPr>
  </w:style>
  <w:style w:type="paragraph" w:customStyle="1" w:styleId="27">
    <w:name w:val="No Spacing"/>
    <w:next w:val="28"/>
    <w:qFormat/>
    <w:uiPriority w:val="0"/>
    <w:pPr>
      <w:widowControl/>
      <w:autoSpaceDE/>
      <w:autoSpaceDN/>
      <w:spacing w:before="0" w:after="0" w:line="240" w:lineRule="auto"/>
      <w:ind w:left="0" w:firstLine="0"/>
    </w:pPr>
    <w:rPr>
      <w:rFonts w:ascii="Calibri" w:hAnsi="Calibri" w:eastAsia="宋体" w:cs="Times New Roman"/>
      <w:sz w:val="22"/>
    </w:rPr>
  </w:style>
  <w:style w:type="paragraph" w:customStyle="1" w:styleId="28">
    <w:name w:val="标准称谓"/>
    <w:next w:val="1"/>
    <w:qFormat/>
    <w:uiPriority w:val="0"/>
    <w:pPr>
      <w:widowControl w:val="0"/>
      <w:autoSpaceDE w:val="0"/>
      <w:autoSpaceDN w:val="0"/>
      <w:spacing w:before="0" w:after="0" w:line="240" w:lineRule="atLeast"/>
      <w:ind w:left="0" w:firstLine="0"/>
    </w:pPr>
    <w:rPr>
      <w:rFonts w:ascii="宋体" w:hAnsi="Calibri" w:eastAsia="宋体" w:cs="Times New Roman"/>
      <w:b/>
      <w:sz w:val="52"/>
    </w:rPr>
  </w:style>
  <w:style w:type="paragraph" w:customStyle="1" w:styleId="2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正文缩进1"/>
    <w:basedOn w:val="1"/>
    <w:autoRedefine/>
    <w:qFormat/>
    <w:uiPriority w:val="0"/>
    <w:pPr>
      <w:ind w:firstLine="420" w:firstLineChars="200"/>
    </w:pPr>
  </w:style>
  <w:style w:type="paragraph" w:customStyle="1" w:styleId="31">
    <w:name w:val="正文（缩进 2 字符）"/>
    <w:basedOn w:val="1"/>
    <w:autoRedefine/>
    <w:qFormat/>
    <w:uiPriority w:val="0"/>
    <w:pPr>
      <w:ind w:firstLine="200" w:firstLineChars="200"/>
    </w:pPr>
  </w:style>
  <w:style w:type="paragraph" w:customStyle="1" w:styleId="32">
    <w:name w:val="正文（缩进 4 字符）"/>
    <w:basedOn w:val="1"/>
    <w:autoRedefine/>
    <w:qFormat/>
    <w:uiPriority w:val="0"/>
    <w:pPr>
      <w:ind w:firstLine="1134" w:firstLineChars="400"/>
    </w:pPr>
  </w:style>
  <w:style w:type="character" w:customStyle="1" w:styleId="33">
    <w:name w:val="标题 1 Char1"/>
    <w:link w:val="2"/>
    <w:autoRedefine/>
    <w:qFormat/>
    <w:uiPriority w:val="9"/>
    <w:rPr>
      <w:rFonts w:eastAsia="黑体"/>
      <w:b/>
      <w:bCs/>
      <w:color w:val="000000"/>
      <w:kern w:val="44"/>
      <w:sz w:val="32"/>
      <w:szCs w:val="36"/>
    </w:rPr>
  </w:style>
  <w:style w:type="paragraph" w:customStyle="1" w:styleId="34">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5">
    <w:name w:val="标题 2（投标文件）"/>
    <w:basedOn w:val="3"/>
    <w:autoRedefine/>
    <w:qFormat/>
    <w:uiPriority w:val="0"/>
    <w:pPr>
      <w:jc w:val="center"/>
    </w:pPr>
  </w:style>
  <w:style w:type="character" w:customStyle="1" w:styleId="36">
    <w:name w:val="标题 2 Char"/>
    <w:link w:val="3"/>
    <w:autoRedefine/>
    <w:qFormat/>
    <w:uiPriority w:val="9"/>
    <w:rPr>
      <w:rFonts w:ascii="Calibri" w:hAnsi="Calibri" w:cs="Calibri"/>
      <w:b/>
      <w:bCs/>
      <w:sz w:val="30"/>
      <w:szCs w:val="32"/>
    </w:rPr>
  </w:style>
  <w:style w:type="paragraph" w:customStyle="1" w:styleId="37">
    <w:name w:val="标题 3（投标文件）"/>
    <w:basedOn w:val="4"/>
    <w:autoRedefine/>
    <w:qFormat/>
    <w:uiPriority w:val="0"/>
    <w:pPr>
      <w:jc w:val="left"/>
    </w:pPr>
  </w:style>
  <w:style w:type="paragraph" w:customStyle="1" w:styleId="38">
    <w:name w:val="正文文本 31"/>
    <w:basedOn w:val="1"/>
    <w:autoRedefine/>
    <w:qFormat/>
    <w:uiPriority w:val="0"/>
    <w:rPr>
      <w:sz w:val="16"/>
      <w:szCs w:val="16"/>
    </w:rPr>
  </w:style>
  <w:style w:type="character" w:customStyle="1" w:styleId="39">
    <w:name w:val="NormalCharacter"/>
    <w:autoRedefine/>
    <w:qFormat/>
    <w:uiPriority w:val="0"/>
    <w:rPr>
      <w:kern w:val="2"/>
      <w:sz w:val="21"/>
      <w:szCs w:val="22"/>
      <w:lang w:val="en-US" w:eastAsia="zh-CN" w:bidi="ar-SA"/>
    </w:rPr>
  </w:style>
  <w:style w:type="character" w:customStyle="1" w:styleId="40">
    <w:name w:val="UserStyle_0"/>
    <w:autoRedefine/>
    <w:semiHidden/>
    <w:qFormat/>
    <w:uiPriority w:val="0"/>
  </w:style>
  <w:style w:type="paragraph" w:customStyle="1" w:styleId="41">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2">
    <w:name w:val="Table Normal"/>
    <w:autoRedefine/>
    <w:qFormat/>
    <w:uiPriority w:val="0"/>
    <w:tblPr>
      <w:tblCellMar>
        <w:top w:w="0" w:type="dxa"/>
        <w:left w:w="0" w:type="dxa"/>
        <w:bottom w:w="0" w:type="dxa"/>
        <w:right w:w="0" w:type="dxa"/>
      </w:tblCellMar>
    </w:tblPr>
  </w:style>
  <w:style w:type="character" w:customStyle="1" w:styleId="43">
    <w:name w:val="15"/>
    <w:basedOn w:val="24"/>
    <w:qFormat/>
    <w:uiPriority w:val="0"/>
    <w:rPr>
      <w:rFonts w:hint="eastAsia" w:ascii="宋体" w:hAnsi="宋体" w:eastAsia="宋体"/>
      <w:color w:val="000000"/>
      <w:sz w:val="22"/>
      <w:szCs w:val="22"/>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18731</Words>
  <Characters>19519</Characters>
  <Lines>0</Lines>
  <Paragraphs>0</Paragraphs>
  <TotalTime>69</TotalTime>
  <ScaleCrop>false</ScaleCrop>
  <LinksUpToDate>false</LinksUpToDate>
  <CharactersWithSpaces>19611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点心</cp:lastModifiedBy>
  <cp:lastPrinted>2026-05-26T02:52:47Z</cp:lastPrinted>
  <dcterms:modified xsi:type="dcterms:W3CDTF">2026-05-26T07:54:46Z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57564B1FD8F74468BB30EF871D83CAE9_13</vt:lpwstr>
  </property>
  <property fmtid="{D5CDD505-2E9C-101B-9397-08002B2CF9AE}" pid="4" name="KSOTemplateDocerSaveRecord">
    <vt:lpwstr>eyJoZGlkIjoiMTY3OTYyZTc4YjJhMGUyYzdiNTU4MDE1MTlkOTlmZWUiLCJ1c2VySWQiOiI5OTkzMjU0MzIifQ==</vt:lpwstr>
  </property>
</Properties>
</file>