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版本号：SZT2026-SN-XC-ZC-FW-037820260512001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工程建设交易平台整体迁移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SZT2026-SN-XC-ZC-FW-0378</w:t>
      </w:r>
      <w:r>
        <w:br/>
      </w:r>
      <w:r>
        <w:br/>
      </w:r>
      <w:r>
        <w:br/>
      </w:r>
    </w:p>
    <w:p>
      <w:pPr>
        <w:pStyle w:val="null3"/>
        <w:jc w:val="center"/>
        <w:outlineLvl w:val="2"/>
      </w:pPr>
      <w:r>
        <w:rPr>
          <w:rFonts w:ascii="仿宋_GB2312" w:hAnsi="仿宋_GB2312" w:cs="仿宋_GB2312" w:eastAsia="仿宋_GB2312"/>
          <w:sz w:val="28"/>
          <w:b/>
        </w:rPr>
        <w:t>西安市公共资源交易中心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西安市公共资源交易中心</w:t>
      </w:r>
      <w:r>
        <w:rPr>
          <w:rFonts w:ascii="仿宋_GB2312" w:hAnsi="仿宋_GB2312" w:cs="仿宋_GB2312" w:eastAsia="仿宋_GB2312"/>
        </w:rPr>
        <w:t>委托，拟对</w:t>
      </w:r>
      <w:r>
        <w:rPr>
          <w:rFonts w:ascii="仿宋_GB2312" w:hAnsi="仿宋_GB2312" w:cs="仿宋_GB2312" w:eastAsia="仿宋_GB2312"/>
        </w:rPr>
        <w:t>工程建设交易平台整体迁移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SZT2026-SN-XC-ZC-FW-0378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工程建设交易平台整体迁移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本次系统迁移范围覆盖我中心所有核心及辅助信息系统，具体包含五大业务系统、关联支撑系统及各类第三方对接应用。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西安市公共资源交易中心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西安经济技术开发区文景路（中段）16号白桦林国际B座1-11层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029-86510029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采购包1：425,773.00元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成交通知书时向采购代理机构支付招标代理服务费。招标代理服务费的收取参照国家计委颁布的《招标代理服务收费管理暂行办法》（计价格〔2002〕1980号）和（发改办价格〔2003〕857号）中服务类收费标准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西安市公共资源交易中心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西安市公共资源交易中心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西安市公共资源交易中心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1、服务结束后，按照西安市信息化项目验收相关要求进行验收。 2、验收依据： （1）磋商文件、响应文件及合同文本。 （2）国家和行业制定的相应标准和规范。 （3）供应商出具的服务自检报告。 4、验收合格后，项目验收单作为对服务的最终认可。 5、供应商向采购人提交服务实施过程中的所有资料，以便采购人日后管理和维护。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本次系统迁移范围覆盖我中心所有核心及辅助信息系统，具体包含五大业务系统、关联支撑系统及各类第三方对接应用。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425,773.00</w:t>
      </w:r>
    </w:p>
    <w:p>
      <w:pPr>
        <w:pStyle w:val="null3"/>
      </w:pPr>
      <w:r>
        <w:rPr>
          <w:rFonts w:ascii="仿宋_GB2312" w:hAnsi="仿宋_GB2312" w:cs="仿宋_GB2312" w:eastAsia="仿宋_GB2312"/>
        </w:rPr>
        <w:t>采购包最高限价（元）: 425,773.00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工程建设交易系统迁移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425,773.00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标的名称：工程建设交易系统迁移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迁移</w:t>
            </w:r>
            <w:r>
              <w:rPr>
                <w:rFonts w:ascii="仿宋_GB2312" w:hAnsi="仿宋_GB2312" w:cs="仿宋_GB2312" w:eastAsia="仿宋_GB2312"/>
              </w:rPr>
              <w:t>概述</w:t>
            </w:r>
          </w:p>
          <w:p>
            <w:pPr>
              <w:pStyle w:val="null3"/>
            </w:pPr>
            <w:r>
              <w:rPr>
                <w:rFonts w:ascii="仿宋_GB2312" w:hAnsi="仿宋_GB2312" w:cs="仿宋_GB2312" w:eastAsia="仿宋_GB2312"/>
              </w:rPr>
              <w:t>本次系统迁移工作以保障业务连续性、确保数据完整性、提升系统安全性、规范管理流程为核心目标，整个迁移过程严格遵循计划周密、业务导向、安全周全、风险可控的闭环管理原则。</w:t>
            </w:r>
          </w:p>
          <w:p>
            <w:pPr>
              <w:pStyle w:val="null3"/>
            </w:pPr>
            <w:r>
              <w:rPr>
                <w:rFonts w:ascii="仿宋_GB2312" w:hAnsi="仿宋_GB2312" w:cs="仿宋_GB2312" w:eastAsia="仿宋_GB2312"/>
              </w:rPr>
              <w:t>迁移目标</w:t>
            </w:r>
          </w:p>
          <w:p>
            <w:pPr>
              <w:pStyle w:val="null3"/>
            </w:pPr>
            <w:r>
              <w:rPr>
                <w:rFonts w:ascii="仿宋_GB2312" w:hAnsi="仿宋_GB2312" w:cs="仿宋_GB2312" w:eastAsia="仿宋_GB2312"/>
              </w:rPr>
              <w:t>业务连续性目标：实现所有信息系统安全、平滑、高效迁移，将计划内业务中断时间严格控制在</w:t>
            </w:r>
            <w:r>
              <w:rPr>
                <w:rFonts w:ascii="仿宋_GB2312" w:hAnsi="仿宋_GB2312" w:cs="仿宋_GB2312" w:eastAsia="仿宋_GB2312"/>
              </w:rPr>
              <w:t>72小时以内，确保系统恢复后功能完整、性能稳定运行；</w:t>
            </w:r>
          </w:p>
          <w:p>
            <w:pPr>
              <w:pStyle w:val="null3"/>
            </w:pPr>
            <w:r>
              <w:rPr>
                <w:rFonts w:ascii="仿宋_GB2312" w:hAnsi="仿宋_GB2312" w:cs="仿宋_GB2312" w:eastAsia="仿宋_GB2312"/>
              </w:rPr>
              <w:t>数据完整性目标：保障所有业务数据、配置数据、文件数据在迁移过程中零丢失、零错误，</w:t>
            </w:r>
            <w:r>
              <w:rPr>
                <w:rFonts w:ascii="仿宋_GB2312" w:hAnsi="仿宋_GB2312" w:cs="仿宋_GB2312" w:eastAsia="仿宋_GB2312"/>
              </w:rPr>
              <w:t>100%保持数据的一致性与完整性；</w:t>
            </w:r>
          </w:p>
          <w:p>
            <w:pPr>
              <w:pStyle w:val="null3"/>
            </w:pPr>
            <w:r>
              <w:rPr>
                <w:rFonts w:ascii="仿宋_GB2312" w:hAnsi="仿宋_GB2312" w:cs="仿宋_GB2312" w:eastAsia="仿宋_GB2312"/>
              </w:rPr>
              <w:t>系统安全性目标：全面保障迁移全过程中系统与数据的机密性、完整性和可用性，确保新机房环境完全符合网络安全等级保护相关要求；</w:t>
            </w:r>
          </w:p>
          <w:p>
            <w:pPr>
              <w:pStyle w:val="null3"/>
            </w:pPr>
            <w:r>
              <w:rPr>
                <w:rFonts w:ascii="仿宋_GB2312" w:hAnsi="仿宋_GB2312" w:cs="仿宋_GB2312" w:eastAsia="仿宋_GB2312"/>
              </w:rPr>
              <w:t>管理规范性目标：形成标准化、可追溯的系统迁移全流程管理规范，为后续中心系统日常运维和扩容升级工作奠定坚实基础。</w:t>
            </w:r>
          </w:p>
          <w:p>
            <w:pPr>
              <w:pStyle w:val="null3"/>
            </w:pPr>
            <w:r>
              <w:rPr>
                <w:rFonts w:ascii="仿宋_GB2312" w:hAnsi="仿宋_GB2312" w:cs="仿宋_GB2312" w:eastAsia="仿宋_GB2312"/>
              </w:rPr>
              <w:t>迁移原则</w:t>
            </w:r>
          </w:p>
          <w:p>
            <w:pPr>
              <w:pStyle w:val="null3"/>
            </w:pPr>
            <w:r>
              <w:rPr>
                <w:rFonts w:ascii="仿宋_GB2312" w:hAnsi="仿宋_GB2312" w:cs="仿宋_GB2312" w:eastAsia="仿宋_GB2312"/>
              </w:rPr>
              <w:t>安全质量为先：所有迁移操作均以保障系统和数据安全为首要前提，以最高质量标准完成全流程迁移工作；</w:t>
            </w:r>
          </w:p>
          <w:p>
            <w:pPr>
              <w:pStyle w:val="null3"/>
            </w:pPr>
            <w:r>
              <w:rPr>
                <w:rFonts w:ascii="仿宋_GB2312" w:hAnsi="仿宋_GB2312" w:cs="仿宋_GB2312" w:eastAsia="仿宋_GB2312"/>
              </w:rPr>
              <w:t>计划周密详尽：迁移前开展全维度详尽规划与多轮模拟演练，迁移过程中严格按计划执行，迁移完成后进行全面复盘验证；</w:t>
            </w:r>
          </w:p>
          <w:p>
            <w:pPr>
              <w:pStyle w:val="null3"/>
            </w:pPr>
            <w:r>
              <w:rPr>
                <w:rFonts w:ascii="仿宋_GB2312" w:hAnsi="仿宋_GB2312" w:cs="仿宋_GB2312" w:eastAsia="仿宋_GB2312"/>
              </w:rPr>
              <w:t>坚持业务导向：迁移策略制定、停机窗口选择均以最小化对交易各方主体的业务影响为根本出发点；</w:t>
            </w:r>
          </w:p>
          <w:p>
            <w:pPr>
              <w:pStyle w:val="null3"/>
            </w:pPr>
            <w:r>
              <w:rPr>
                <w:rFonts w:ascii="仿宋_GB2312" w:hAnsi="仿宋_GB2312" w:cs="仿宋_GB2312" w:eastAsia="仿宋_GB2312"/>
              </w:rPr>
              <w:t>实施闭环管理：迁移工作的每个环节、每台设备、每个应用均明确专人负责，确保各项任务闭环落实、全流程可追溯；</w:t>
            </w:r>
          </w:p>
          <w:p>
            <w:pPr>
              <w:pStyle w:val="null3"/>
            </w:pPr>
            <w:r>
              <w:rPr>
                <w:rFonts w:ascii="仿宋_GB2312" w:hAnsi="仿宋_GB2312" w:cs="仿宋_GB2312" w:eastAsia="仿宋_GB2312"/>
              </w:rPr>
              <w:t>严控各类风险：制定清晰、可行且经过测试的回退方案，提前预判各类潜在风险，将不可控风险降至最低水平。</w:t>
            </w:r>
          </w:p>
          <w:p>
            <w:pPr>
              <w:pStyle w:val="null3"/>
            </w:pPr>
            <w:r>
              <w:rPr>
                <w:rFonts w:ascii="仿宋_GB2312" w:hAnsi="仿宋_GB2312" w:cs="仿宋_GB2312" w:eastAsia="仿宋_GB2312"/>
              </w:rPr>
              <w:t>迁移范围</w:t>
            </w:r>
          </w:p>
          <w:p>
            <w:pPr>
              <w:pStyle w:val="null3"/>
            </w:pPr>
            <w:r>
              <w:rPr>
                <w:rFonts w:ascii="仿宋_GB2312" w:hAnsi="仿宋_GB2312" w:cs="仿宋_GB2312" w:eastAsia="仿宋_GB2312"/>
              </w:rPr>
              <w:t>经全面摸底梳理，本次系统迁移范围覆盖我中心所有核心及辅助信息系统，具体包含五大业务系统、关联支撑系统及各类第三方对接应用。</w:t>
            </w:r>
          </w:p>
          <w:p>
            <w:pPr>
              <w:pStyle w:val="null3"/>
            </w:pPr>
            <w:r>
              <w:rPr>
                <w:rFonts w:ascii="仿宋_GB2312" w:hAnsi="仿宋_GB2312" w:cs="仿宋_GB2312" w:eastAsia="仿宋_GB2312"/>
              </w:rPr>
              <w:t xml:space="preserve"> </w:t>
            </w:r>
            <w:r>
              <w:rPr>
                <w:rFonts w:ascii="仿宋_GB2312" w:hAnsi="仿宋_GB2312" w:cs="仿宋_GB2312" w:eastAsia="仿宋_GB2312"/>
              </w:rPr>
              <w:t>核心平台</w:t>
            </w:r>
          </w:p>
          <w:p>
            <w:pPr>
              <w:pStyle w:val="null3"/>
            </w:pPr>
            <w:r>
              <w:rPr>
                <w:rFonts w:ascii="仿宋_GB2312" w:hAnsi="仿宋_GB2312" w:cs="仿宋_GB2312" w:eastAsia="仿宋_GB2312"/>
              </w:rPr>
              <w:t>核心平台包含工程建设交易平台、交通水利交易平台、工程建设开评标平台</w:t>
            </w:r>
            <w:r>
              <w:rPr>
                <w:rFonts w:ascii="仿宋_GB2312" w:hAnsi="仿宋_GB2312" w:cs="仿宋_GB2312" w:eastAsia="仿宋_GB2312"/>
              </w:rPr>
              <w:t>3大核心平台，各平台覆盖正式与测试全环境：</w:t>
            </w:r>
          </w:p>
          <w:p>
            <w:pPr>
              <w:pStyle w:val="null3"/>
            </w:pPr>
            <w:r>
              <w:rPr>
                <w:rFonts w:ascii="仿宋_GB2312" w:hAnsi="仿宋_GB2312" w:cs="仿宋_GB2312" w:eastAsia="仿宋_GB2312"/>
              </w:rPr>
              <w:t>工程建设交易平台（房建市政）：涵盖门户、交易平台、监管平台、企业库、专家抽取模块及相关的所有正式与测试环境服务器；</w:t>
            </w:r>
          </w:p>
          <w:p>
            <w:pPr>
              <w:pStyle w:val="null3"/>
            </w:pPr>
            <w:r>
              <w:rPr>
                <w:rFonts w:ascii="仿宋_GB2312" w:hAnsi="仿宋_GB2312" w:cs="仿宋_GB2312" w:eastAsia="仿宋_GB2312"/>
              </w:rPr>
              <w:t>交通水利交易平台：涵盖中控、交易、开评标、</w:t>
            </w:r>
            <w:r>
              <w:rPr>
                <w:rFonts w:ascii="仿宋_GB2312" w:hAnsi="仿宋_GB2312" w:cs="仿宋_GB2312" w:eastAsia="仿宋_GB2312"/>
              </w:rPr>
              <w:t>G3服务、编标模块及所有支撑微服务（Redis、Nacos、MQ等）的正式与测试环境服务器；</w:t>
            </w:r>
          </w:p>
          <w:p>
            <w:pPr>
              <w:pStyle w:val="null3"/>
            </w:pPr>
            <w:r>
              <w:rPr>
                <w:rFonts w:ascii="仿宋_GB2312" w:hAnsi="仿宋_GB2312" w:cs="仿宋_GB2312" w:eastAsia="仿宋_GB2312"/>
              </w:rPr>
              <w:t>工程建设开评标系统：涵盖中心库系统、远程开标</w:t>
            </w:r>
            <w:r>
              <w:rPr>
                <w:rFonts w:ascii="仿宋_GB2312" w:hAnsi="仿宋_GB2312" w:cs="仿宋_GB2312" w:eastAsia="仿宋_GB2312"/>
              </w:rPr>
              <w:t>WEB集群、多套评标系统及存储TB级别历史项目数据的服务器。</w:t>
            </w:r>
          </w:p>
          <w:p>
            <w:pPr>
              <w:pStyle w:val="null3"/>
            </w:pPr>
            <w:r>
              <w:rPr>
                <w:rFonts w:ascii="仿宋_GB2312" w:hAnsi="仿宋_GB2312" w:cs="仿宋_GB2312" w:eastAsia="仿宋_GB2312"/>
              </w:rPr>
              <w:t>关联系统</w:t>
            </w:r>
          </w:p>
          <w:p>
            <w:pPr>
              <w:pStyle w:val="null3"/>
            </w:pPr>
            <w:r>
              <w:rPr>
                <w:rFonts w:ascii="仿宋_GB2312" w:hAnsi="仿宋_GB2312" w:cs="仿宋_GB2312" w:eastAsia="仿宋_GB2312"/>
              </w:rPr>
              <w:t>主要包含文件服务器、运维服务器、各类前置机（</w:t>
            </w:r>
            <w:r>
              <w:rPr>
                <w:rFonts w:ascii="仿宋_GB2312" w:hAnsi="仿宋_GB2312" w:cs="仿宋_GB2312" w:eastAsia="仿宋_GB2312"/>
              </w:rPr>
              <w:t>nginx代理、工行前置机等）、与电子政务外网互联互通的各类应用系统。</w:t>
            </w:r>
          </w:p>
          <w:p>
            <w:pPr>
              <w:pStyle w:val="null3"/>
            </w:pPr>
            <w:r>
              <w:rPr>
                <w:rFonts w:ascii="仿宋_GB2312" w:hAnsi="仿宋_GB2312" w:cs="仿宋_GB2312" w:eastAsia="仿宋_GB2312"/>
              </w:rPr>
              <w:t>第三方对接</w:t>
            </w:r>
          </w:p>
          <w:p>
            <w:pPr>
              <w:pStyle w:val="null3"/>
            </w:pPr>
            <w:r>
              <w:rPr>
                <w:rFonts w:ascii="仿宋_GB2312" w:hAnsi="仿宋_GB2312" w:cs="仿宋_GB2312" w:eastAsia="仿宋_GB2312"/>
              </w:rPr>
              <w:t>包含所有与外部单位对接的接口联调与配置迁移，涉及外部单位有陕西省监管平台、陕西省中心门户、西安发改委一体化平台、信用中国、各大银行、</w:t>
            </w:r>
            <w:r>
              <w:rPr>
                <w:rFonts w:ascii="仿宋_GB2312" w:hAnsi="仿宋_GB2312" w:cs="仿宋_GB2312" w:eastAsia="仿宋_GB2312"/>
              </w:rPr>
              <w:t>CA认证机构、西安市黄河流域平台、天宇系统、金服平台等。</w:t>
            </w:r>
          </w:p>
          <w:p>
            <w:pPr>
              <w:pStyle w:val="null3"/>
            </w:pPr>
            <w:r>
              <w:rPr>
                <w:rFonts w:ascii="仿宋_GB2312" w:hAnsi="仿宋_GB2312" w:cs="仿宋_GB2312" w:eastAsia="仿宋_GB2312"/>
              </w:rPr>
              <w:t>迁移方案</w:t>
            </w:r>
          </w:p>
          <w:p>
            <w:pPr>
              <w:pStyle w:val="null3"/>
            </w:pPr>
            <w:r>
              <w:rPr>
                <w:rFonts w:ascii="仿宋_GB2312" w:hAnsi="仿宋_GB2312" w:cs="仿宋_GB2312" w:eastAsia="仿宋_GB2312"/>
              </w:rPr>
              <w:t>经对现有系统情况摸底分析，结合新场地机房建设要求，制定本次系统迁移整体方案如下：</w:t>
            </w:r>
          </w:p>
          <w:p>
            <w:pPr>
              <w:pStyle w:val="null3"/>
            </w:pPr>
            <w:r>
              <w:rPr>
                <w:rFonts w:ascii="仿宋_GB2312" w:hAnsi="仿宋_GB2312" w:cs="仿宋_GB2312" w:eastAsia="仿宋_GB2312"/>
              </w:rPr>
              <w:t xml:space="preserve">  </w:t>
            </w:r>
            <w:r>
              <w:rPr>
                <w:rFonts w:ascii="仿宋_GB2312" w:hAnsi="仿宋_GB2312" w:cs="仿宋_GB2312" w:eastAsia="仿宋_GB2312"/>
              </w:rPr>
              <w:t>应用服务器迁移</w:t>
            </w:r>
          </w:p>
          <w:p>
            <w:pPr>
              <w:pStyle w:val="null3"/>
            </w:pPr>
            <w:r>
              <w:rPr>
                <w:rFonts w:ascii="仿宋_GB2312" w:hAnsi="仿宋_GB2312" w:cs="仿宋_GB2312" w:eastAsia="仿宋_GB2312"/>
              </w:rPr>
              <w:t>采用</w:t>
            </w:r>
            <w:r>
              <w:rPr>
                <w:rFonts w:ascii="仿宋_GB2312" w:hAnsi="仿宋_GB2312" w:cs="仿宋_GB2312" w:eastAsia="仿宋_GB2312"/>
              </w:rPr>
              <w:t>“配置即代码”思路开展应用服务器迁移，摒弃新机房简单克隆磁盘的方式，在新申请的虚拟化或物理资源上重新标准化部署操作系统、中间件和应用，具体步骤为：</w:t>
            </w:r>
          </w:p>
          <w:p>
            <w:pPr>
              <w:pStyle w:val="null3"/>
            </w:pPr>
            <w:r>
              <w:rPr>
                <w:rFonts w:ascii="仿宋_GB2312" w:hAnsi="仿宋_GB2312" w:cs="仿宋_GB2312" w:eastAsia="仿宋_GB2312"/>
              </w:rPr>
              <w:t>从现有机房信息系统中导出应用相关配置、证书、脚本等核心文件；</w:t>
            </w:r>
          </w:p>
          <w:p>
            <w:pPr>
              <w:pStyle w:val="null3"/>
            </w:pPr>
            <w:r>
              <w:rPr>
                <w:rFonts w:ascii="仿宋_GB2312" w:hAnsi="仿宋_GB2312" w:cs="仿宋_GB2312" w:eastAsia="仿宋_GB2312"/>
              </w:rPr>
              <w:t>在新机房新申请资源中完成现有系统的标准化部署工作；</w:t>
            </w:r>
          </w:p>
          <w:p>
            <w:pPr>
              <w:pStyle w:val="null3"/>
            </w:pPr>
            <w:r>
              <w:rPr>
                <w:rFonts w:ascii="仿宋_GB2312" w:hAnsi="仿宋_GB2312" w:cs="仿宋_GB2312" w:eastAsia="仿宋_GB2312"/>
              </w:rPr>
              <w:t>有序迁移非动态文件（如静态资源、日志信息等）；</w:t>
            </w:r>
          </w:p>
          <w:p>
            <w:pPr>
              <w:pStyle w:val="null3"/>
            </w:pPr>
            <w:r>
              <w:rPr>
                <w:rFonts w:ascii="仿宋_GB2312" w:hAnsi="仿宋_GB2312" w:cs="仿宋_GB2312" w:eastAsia="仿宋_GB2312"/>
              </w:rPr>
              <w:t>全程采用标准化环境配置，消除历史冗余配置，便于后续常态化运维管理。</w:t>
            </w:r>
          </w:p>
          <w:p>
            <w:pPr>
              <w:pStyle w:val="null3"/>
            </w:pPr>
            <w:r>
              <w:rPr>
                <w:rFonts w:ascii="仿宋_GB2312" w:hAnsi="仿宋_GB2312" w:cs="仿宋_GB2312" w:eastAsia="仿宋_GB2312"/>
              </w:rPr>
              <w:t>数据库服务器迁移</w:t>
            </w:r>
          </w:p>
          <w:p>
            <w:pPr>
              <w:pStyle w:val="null3"/>
            </w:pPr>
            <w:r>
              <w:rPr>
                <w:rFonts w:ascii="仿宋_GB2312" w:hAnsi="仿宋_GB2312" w:cs="仿宋_GB2312" w:eastAsia="仿宋_GB2312"/>
              </w:rPr>
              <w:t>经摸底，本次数据库迁移涉及</w:t>
            </w:r>
            <w:r>
              <w:rPr>
                <w:rFonts w:ascii="仿宋_GB2312" w:hAnsi="仿宋_GB2312" w:cs="仿宋_GB2312" w:eastAsia="仿宋_GB2312"/>
              </w:rPr>
              <w:t>Oracle、Mysql、Sqlserver三类数据库，计划采用“全量备份恢复+增量日志同步”的迁移策略，分三阶段实施：</w:t>
            </w:r>
          </w:p>
          <w:p>
            <w:pPr>
              <w:pStyle w:val="null3"/>
            </w:pPr>
            <w:r>
              <w:rPr>
                <w:rFonts w:ascii="仿宋_GB2312" w:hAnsi="仿宋_GB2312" w:cs="仿宋_GB2312" w:eastAsia="仿宋_GB2312"/>
              </w:rPr>
              <w:t>预迁移阶段（业务无感知）：择机在业务低峰期，对生产数据库进行全量备份（</w:t>
            </w:r>
            <w:r>
              <w:rPr>
                <w:rFonts w:ascii="仿宋_GB2312" w:hAnsi="仿宋_GB2312" w:cs="仿宋_GB2312" w:eastAsia="仿宋_GB2312"/>
              </w:rPr>
              <w:t>Oracle采用expdp/rman，MySQL采用mysqldump/物理备份），并将备份数据恢复至新机房数据库服务器；</w:t>
            </w:r>
          </w:p>
          <w:p>
            <w:pPr>
              <w:pStyle w:val="null3"/>
            </w:pPr>
            <w:r>
              <w:rPr>
                <w:rFonts w:ascii="仿宋_GB2312" w:hAnsi="仿宋_GB2312" w:cs="仿宋_GB2312" w:eastAsia="仿宋_GB2312"/>
              </w:rPr>
              <w:t>增量同步阶段（业务无感知）：开启增量同步机制，</w:t>
            </w:r>
            <w:r>
              <w:rPr>
                <w:rFonts w:ascii="仿宋_GB2312" w:hAnsi="仿宋_GB2312" w:cs="仿宋_GB2312" w:eastAsia="仿宋_GB2312"/>
              </w:rPr>
              <w:t>Oracle使用GoldenGate或DataGuard物理备库模式，MySQL使用主从复制模式，确保新库持续同步老库的增量数据；</w:t>
            </w:r>
          </w:p>
          <w:p>
            <w:pPr>
              <w:pStyle w:val="null3"/>
            </w:pPr>
            <w:r>
              <w:rPr>
                <w:rFonts w:ascii="仿宋_GB2312" w:hAnsi="仿宋_GB2312" w:cs="仿宋_GB2312" w:eastAsia="仿宋_GB2312"/>
              </w:rPr>
              <w:t>切换阶段（业务停机）：在中心指定的停机窗口内，停止老库的应用访问，完成最后一批日志备份，确保数据零丢失后，将全量备份</w:t>
            </w:r>
            <w:r>
              <w:rPr>
                <w:rFonts w:ascii="仿宋_GB2312" w:hAnsi="仿宋_GB2312" w:cs="仿宋_GB2312" w:eastAsia="仿宋_GB2312"/>
              </w:rPr>
              <w:t>/增量备份迁移至新机房数据库，完成数据量验证确认零丢失后，停止老系统运行，正式启用新系统。</w:t>
            </w:r>
          </w:p>
          <w:p>
            <w:pPr>
              <w:pStyle w:val="null3"/>
            </w:pPr>
            <w:r>
              <w:rPr>
                <w:rFonts w:ascii="仿宋_GB2312" w:hAnsi="仿宋_GB2312" w:cs="仿宋_GB2312" w:eastAsia="仿宋_GB2312"/>
              </w:rPr>
              <w:t>存储设备迁移</w:t>
            </w:r>
          </w:p>
          <w:p>
            <w:pPr>
              <w:pStyle w:val="null3"/>
            </w:pPr>
            <w:r>
              <w:rPr>
                <w:rFonts w:ascii="仿宋_GB2312" w:hAnsi="仿宋_GB2312" w:cs="仿宋_GB2312" w:eastAsia="仿宋_GB2312"/>
              </w:rPr>
              <w:t>计划采用</w:t>
            </w:r>
            <w:r>
              <w:rPr>
                <w:rFonts w:ascii="仿宋_GB2312" w:hAnsi="仿宋_GB2312" w:cs="仿宋_GB2312" w:eastAsia="仿宋_GB2312"/>
              </w:rPr>
              <w:t>rsync/robocopy差分同步技术实施存储设备迁移，提前开展首次全量同步工作，后续按计划定期运行差分同步任务；在既定停机窗口内，最后执行一次差分同步，最大限度缩短文件同步时间，提升迁移效率。</w:t>
            </w:r>
          </w:p>
          <w:p>
            <w:pPr>
              <w:pStyle w:val="null3"/>
            </w:pPr>
            <w:r>
              <w:rPr>
                <w:rFonts w:ascii="仿宋_GB2312" w:hAnsi="仿宋_GB2312" w:cs="仿宋_GB2312" w:eastAsia="仿宋_GB2312"/>
              </w:rPr>
              <w:t>网络策略迁移</w:t>
            </w:r>
          </w:p>
          <w:p>
            <w:pPr>
              <w:pStyle w:val="null3"/>
            </w:pPr>
            <w:r>
              <w:rPr>
                <w:rFonts w:ascii="仿宋_GB2312" w:hAnsi="仿宋_GB2312" w:cs="仿宋_GB2312" w:eastAsia="仿宋_GB2312"/>
              </w:rPr>
              <w:t>本次迁移优先对老机房</w:t>
            </w:r>
            <w:r>
              <w:rPr>
                <w:rFonts w:ascii="仿宋_GB2312" w:hAnsi="仿宋_GB2312" w:cs="仿宋_GB2312" w:eastAsia="仿宋_GB2312"/>
              </w:rPr>
              <w:t>IP地址进行平移或映射，尽可能保持服务器IP地址不变，减少应用配置修改量；若因网络架构调整必须修改IP，将提前在内网DNS中做好解析记录，或在防火墙/负载均衡器上配置NAT规则，确保网络通信顺畅。</w:t>
            </w:r>
          </w:p>
          <w:p>
            <w:pPr>
              <w:pStyle w:val="null3"/>
            </w:pPr>
            <w:r>
              <w:rPr>
                <w:rFonts w:ascii="仿宋_GB2312" w:hAnsi="仿宋_GB2312" w:cs="仿宋_GB2312" w:eastAsia="仿宋_GB2312"/>
              </w:rPr>
              <w:t xml:space="preserve"> </w:t>
            </w:r>
            <w:r>
              <w:rPr>
                <w:rFonts w:ascii="仿宋_GB2312" w:hAnsi="仿宋_GB2312" w:cs="仿宋_GB2312" w:eastAsia="仿宋_GB2312"/>
              </w:rPr>
              <w:t>实施架构</w:t>
            </w:r>
          </w:p>
          <w:p>
            <w:pPr>
              <w:pStyle w:val="null3"/>
            </w:pPr>
            <w:r>
              <w:rPr>
                <w:rFonts w:ascii="仿宋_GB2312" w:hAnsi="仿宋_GB2312" w:cs="仿宋_GB2312" w:eastAsia="仿宋_GB2312"/>
              </w:rPr>
              <w:t>结合本次机房迁移工作规模与复杂度，计划设立迁移领导小组及三个迁移工作小组，由中心领导统一指挥，各小组根据迁移不同阶段按需调配人员、统筹资源，各组织架构职责如下：</w:t>
            </w:r>
          </w:p>
          <w:p>
            <w:pPr>
              <w:pStyle w:val="null3"/>
            </w:pPr>
            <w:r>
              <w:rPr>
                <w:rFonts w:ascii="仿宋_GB2312" w:hAnsi="仿宋_GB2312" w:cs="仿宋_GB2312" w:eastAsia="仿宋_GB2312"/>
              </w:rPr>
              <w:t>迁移领导小组：由中心领导、各业务处室负责人组成，主要负责迁移工作的重大决策、方案审批和整体资源统筹协调；</w:t>
            </w:r>
          </w:p>
          <w:p>
            <w:pPr>
              <w:pStyle w:val="null3"/>
            </w:pPr>
            <w:r>
              <w:rPr>
                <w:rFonts w:ascii="仿宋_GB2312" w:hAnsi="仿宋_GB2312" w:cs="仿宋_GB2312" w:eastAsia="仿宋_GB2312"/>
              </w:rPr>
              <w:t>技术实施组：由中心技术部门及相关技术支撑人员组成，由指定项目经理根据迁移领导小组安排，统一制定计划、执行各阶段调度任务，下设各专业小组：</w:t>
            </w:r>
          </w:p>
          <w:p>
            <w:pPr>
              <w:pStyle w:val="null3"/>
            </w:pPr>
            <w:r>
              <w:rPr>
                <w:rFonts w:ascii="仿宋_GB2312" w:hAnsi="仿宋_GB2312" w:cs="仿宋_GB2312" w:eastAsia="仿宋_GB2312"/>
              </w:rPr>
              <w:t>项目经理：全程负责迁移项目计划制定、进度跟踪、内外沟通和整体交付；</w:t>
            </w:r>
          </w:p>
          <w:p>
            <w:pPr>
              <w:pStyle w:val="null3"/>
            </w:pPr>
            <w:r>
              <w:rPr>
                <w:rFonts w:ascii="仿宋_GB2312" w:hAnsi="仿宋_GB2312" w:cs="仿宋_GB2312" w:eastAsia="仿宋_GB2312"/>
              </w:rPr>
              <w:t>系统团队：负责</w:t>
            </w:r>
            <w:r>
              <w:rPr>
                <w:rFonts w:ascii="仿宋_GB2312" w:hAnsi="仿宋_GB2312" w:cs="仿宋_GB2312" w:eastAsia="仿宋_GB2312"/>
              </w:rPr>
              <w:t>OS、存储、虚拟化资源的检测与部署；</w:t>
            </w:r>
          </w:p>
          <w:p>
            <w:pPr>
              <w:pStyle w:val="null3"/>
            </w:pPr>
            <w:r>
              <w:rPr>
                <w:rFonts w:ascii="仿宋_GB2312" w:hAnsi="仿宋_GB2312" w:cs="仿宋_GB2312" w:eastAsia="仿宋_GB2312"/>
              </w:rPr>
              <w:t>网络团队：负责网络环境搭建、配置调试、切换效果验证；</w:t>
            </w:r>
          </w:p>
          <w:p>
            <w:pPr>
              <w:pStyle w:val="null3"/>
            </w:pPr>
            <w:r>
              <w:rPr>
                <w:rFonts w:ascii="仿宋_GB2312" w:hAnsi="仿宋_GB2312" w:cs="仿宋_GB2312" w:eastAsia="仿宋_GB2312"/>
              </w:rPr>
              <w:t>数据库团队：负责所有数据库的迁移、备份、校验全流程工作；</w:t>
            </w:r>
          </w:p>
          <w:p>
            <w:pPr>
              <w:pStyle w:val="null3"/>
            </w:pPr>
            <w:r>
              <w:rPr>
                <w:rFonts w:ascii="仿宋_GB2312" w:hAnsi="仿宋_GB2312" w:cs="仿宋_GB2312" w:eastAsia="仿宋_GB2312"/>
              </w:rPr>
              <w:t>应用团队：负责各应用系统的部署、配置、启停服务操作；</w:t>
            </w:r>
          </w:p>
          <w:p>
            <w:pPr>
              <w:pStyle w:val="null3"/>
            </w:pPr>
            <w:r>
              <w:rPr>
                <w:rFonts w:ascii="仿宋_GB2312" w:hAnsi="仿宋_GB2312" w:cs="仿宋_GB2312" w:eastAsia="仿宋_GB2312"/>
              </w:rPr>
              <w:t>安全团队：负责迁移全过程的安全管控、漏洞扫描和权限审计。</w:t>
            </w:r>
          </w:p>
          <w:p>
            <w:pPr>
              <w:pStyle w:val="null3"/>
            </w:pPr>
            <w:r>
              <w:rPr>
                <w:rFonts w:ascii="仿宋_GB2312" w:hAnsi="仿宋_GB2312" w:cs="仿宋_GB2312" w:eastAsia="仿宋_GB2312"/>
              </w:rPr>
              <w:t>业务验证组：由中心各业务部门骨干组成，负责迁移后的应用检查验证、配置参数验证、前后数据库数据验证和业务功能全流程校验，确保迁移前后系统功能及数据完全一致；</w:t>
            </w:r>
          </w:p>
          <w:p>
            <w:pPr>
              <w:pStyle w:val="null3"/>
            </w:pPr>
            <w:r>
              <w:rPr>
                <w:rFonts w:ascii="仿宋_GB2312" w:hAnsi="仿宋_GB2312" w:cs="仿宋_GB2312" w:eastAsia="仿宋_GB2312"/>
              </w:rPr>
              <w:t>后勤保障组：由中心综合保障部门人员组成，负责设备物流运输、新场地机房接入、各合作单位协调等后勤保障工作。</w:t>
            </w:r>
          </w:p>
          <w:p>
            <w:pPr>
              <w:pStyle w:val="null3"/>
            </w:pPr>
            <w:r>
              <w:rPr>
                <w:rFonts w:ascii="仿宋_GB2312" w:hAnsi="仿宋_GB2312" w:cs="仿宋_GB2312" w:eastAsia="仿宋_GB2312"/>
              </w:rPr>
              <w:t>应急预案</w:t>
            </w:r>
          </w:p>
          <w:p>
            <w:pPr>
              <w:pStyle w:val="null3"/>
            </w:pPr>
            <w:r>
              <w:rPr>
                <w:rFonts w:ascii="仿宋_GB2312" w:hAnsi="仿宋_GB2312" w:cs="仿宋_GB2312" w:eastAsia="仿宋_GB2312"/>
              </w:rPr>
              <w:t>经全面风险摸排，针对迁移过程中可能出现的各类突发情况，制定专项应急预案及回退措施，确保突发情况可及时处置。</w:t>
            </w:r>
          </w:p>
          <w:p>
            <w:pPr>
              <w:pStyle w:val="null3"/>
            </w:pPr>
            <w:r>
              <w:rPr>
                <w:rFonts w:ascii="仿宋_GB2312" w:hAnsi="仿宋_GB2312" w:cs="仿宋_GB2312" w:eastAsia="仿宋_GB2312"/>
              </w:rPr>
              <w:t>应急风险及处置措施</w:t>
            </w:r>
          </w:p>
          <w:p>
            <w:pPr>
              <w:pStyle w:val="null3"/>
            </w:pPr>
            <w:r>
              <w:rPr>
                <w:rFonts w:ascii="仿宋_GB2312" w:hAnsi="仿宋_GB2312" w:cs="仿宋_GB2312" w:eastAsia="仿宋_GB2312"/>
              </w:rPr>
              <w:t>网络切换失败：立即启用备用网络线路，或快速回退至原网络配置；</w:t>
            </w:r>
          </w:p>
          <w:p>
            <w:pPr>
              <w:pStyle w:val="null3"/>
            </w:pPr>
            <w:r>
              <w:rPr>
                <w:rFonts w:ascii="仿宋_GB2312" w:hAnsi="仿宋_GB2312" w:cs="仿宋_GB2312" w:eastAsia="仿宋_GB2312"/>
              </w:rPr>
              <w:t>数据库启动失败：迅速启用从全量备份和日志中快速恢复的备用数据库节点，恢复数据库服务；</w:t>
            </w:r>
          </w:p>
          <w:p>
            <w:pPr>
              <w:pStyle w:val="null3"/>
            </w:pPr>
            <w:r>
              <w:rPr>
                <w:rFonts w:ascii="仿宋_GB2312" w:hAnsi="仿宋_GB2312" w:cs="仿宋_GB2312" w:eastAsia="仿宋_GB2312"/>
              </w:rPr>
              <w:t>应用启动失败：立即检查系统运行日志，同步联系技术支撑人员远程介入排查；若应用系统问题在</w:t>
            </w:r>
            <w:r>
              <w:rPr>
                <w:rFonts w:ascii="仿宋_GB2312" w:hAnsi="仿宋_GB2312" w:cs="仿宋_GB2312" w:eastAsia="仿宋_GB2312"/>
              </w:rPr>
              <w:t>2小时内无法解决，立即启动回退流程，切换至老系统运行；</w:t>
            </w:r>
          </w:p>
          <w:p>
            <w:pPr>
              <w:pStyle w:val="null3"/>
            </w:pPr>
            <w:r>
              <w:rPr>
                <w:rFonts w:ascii="仿宋_GB2312" w:hAnsi="仿宋_GB2312" w:cs="仿宋_GB2312" w:eastAsia="仿宋_GB2312"/>
              </w:rPr>
              <w:t>性能严重不达标：临时关闭非核心功能模块，优先保障核心交易流程正常运行，同时组织技术人员开展紧急性能调优。</w:t>
            </w:r>
          </w:p>
          <w:p>
            <w:pPr>
              <w:pStyle w:val="null3"/>
            </w:pPr>
            <w:r>
              <w:rPr>
                <w:rFonts w:ascii="仿宋_GB2312" w:hAnsi="仿宋_GB2312" w:cs="仿宋_GB2312" w:eastAsia="仿宋_GB2312"/>
              </w:rPr>
              <w:t xml:space="preserve"> </w:t>
            </w:r>
            <w:r>
              <w:rPr>
                <w:rFonts w:ascii="仿宋_GB2312" w:hAnsi="仿宋_GB2312" w:cs="仿宋_GB2312" w:eastAsia="仿宋_GB2312"/>
              </w:rPr>
              <w:t>回退措施</w:t>
            </w:r>
          </w:p>
          <w:p>
            <w:pPr>
              <w:pStyle w:val="null3"/>
            </w:pPr>
            <w:r>
              <w:rPr>
                <w:rFonts w:ascii="仿宋_GB2312" w:hAnsi="仿宋_GB2312" w:cs="仿宋_GB2312" w:eastAsia="仿宋_GB2312"/>
              </w:rPr>
              <w:t>回退触发条件：核心业务功能在系统切换后</w:t>
            </w:r>
            <w:r>
              <w:rPr>
                <w:rFonts w:ascii="仿宋_GB2312" w:hAnsi="仿宋_GB2312" w:cs="仿宋_GB2312" w:eastAsia="仿宋_GB2312"/>
              </w:rPr>
              <w:t>4小时内无法恢复；或新环境运行期间出现导致业务瘫痪的严重故障且2小时内无法解决，立即触发回退流程。</w:t>
            </w:r>
          </w:p>
          <w:p>
            <w:pPr>
              <w:pStyle w:val="null3"/>
            </w:pPr>
            <w:r>
              <w:rPr>
                <w:rFonts w:ascii="仿宋_GB2312" w:hAnsi="仿宋_GB2312" w:cs="仿宋_GB2312" w:eastAsia="仿宋_GB2312"/>
              </w:rPr>
              <w:t>回退核心操作：</w:t>
            </w:r>
          </w:p>
          <w:p>
            <w:pPr>
              <w:pStyle w:val="null3"/>
            </w:pPr>
            <w:r>
              <w:rPr>
                <w:rFonts w:ascii="仿宋_GB2312" w:hAnsi="仿宋_GB2312" w:cs="仿宋_GB2312" w:eastAsia="仿宋_GB2312"/>
              </w:rPr>
              <w:t>网络回退：快速将</w:t>
            </w:r>
            <w:r>
              <w:rPr>
                <w:rFonts w:ascii="仿宋_GB2312" w:hAnsi="仿宋_GB2312" w:cs="仿宋_GB2312" w:eastAsia="仿宋_GB2312"/>
              </w:rPr>
              <w:t>DNS或IP地址指回老机房服务器；</w:t>
            </w:r>
          </w:p>
          <w:p>
            <w:pPr>
              <w:pStyle w:val="null3"/>
            </w:pPr>
            <w:r>
              <w:rPr>
                <w:rFonts w:ascii="仿宋_GB2312" w:hAnsi="仿宋_GB2312" w:cs="仿宋_GB2312" w:eastAsia="仿宋_GB2312"/>
              </w:rPr>
              <w:t>数据回补：即时评估新机房运行期间产生的数据量，若数据量较小，通过业务流程手工补录；若数据量较大，从新库反向同步至老库；</w:t>
            </w:r>
          </w:p>
          <w:p>
            <w:pPr>
              <w:pStyle w:val="null3"/>
            </w:pPr>
            <w:r>
              <w:rPr>
                <w:rFonts w:ascii="仿宋_GB2312" w:hAnsi="仿宋_GB2312" w:cs="仿宋_GB2312" w:eastAsia="仿宋_GB2312"/>
              </w:rPr>
              <w:t>应用回退：立即启动老机房的所有应用服务，恢复业务运行。</w:t>
            </w:r>
          </w:p>
          <w:p>
            <w:pPr>
              <w:pStyle w:val="null3"/>
            </w:pPr>
            <w:r>
              <w:rPr>
                <w:rFonts w:ascii="仿宋_GB2312" w:hAnsi="仿宋_GB2312" w:cs="仿宋_GB2312" w:eastAsia="仿宋_GB2312"/>
              </w:rPr>
              <w:t>回退目标：确保在</w:t>
            </w:r>
            <w:r>
              <w:rPr>
                <w:rFonts w:ascii="仿宋_GB2312" w:hAnsi="仿宋_GB2312" w:cs="仿宋_GB2312" w:eastAsia="仿宋_GB2312"/>
              </w:rPr>
              <w:t>6小时内将所有业务系统恢复至迁移前的正常运行状态。</w:t>
            </w:r>
          </w:p>
          <w:p>
            <w:pPr>
              <w:pStyle w:val="null3"/>
            </w:pPr>
            <w:r>
              <w:rPr>
                <w:rFonts w:ascii="仿宋_GB2312" w:hAnsi="仿宋_GB2312" w:cs="仿宋_GB2312" w:eastAsia="仿宋_GB2312"/>
              </w:rPr>
              <w:t>保障措施：在最终确认新系统运行稳定前，老系统环境保持完整保留，不予下线，作为应急回退备用环境。</w:t>
            </w:r>
          </w:p>
          <w:p>
            <w:pPr>
              <w:pStyle w:val="null3"/>
            </w:pPr>
            <w:r>
              <w:rPr>
                <w:rFonts w:ascii="仿宋_GB2312" w:hAnsi="仿宋_GB2312" w:cs="仿宋_GB2312" w:eastAsia="仿宋_GB2312"/>
              </w:rPr>
              <w:t>资源</w:t>
            </w:r>
            <w:r>
              <w:rPr>
                <w:rFonts w:ascii="仿宋_GB2312" w:hAnsi="仿宋_GB2312" w:cs="仿宋_GB2312" w:eastAsia="仿宋_GB2312"/>
              </w:rPr>
              <w:t>需求</w:t>
            </w:r>
          </w:p>
          <w:p>
            <w:pPr>
              <w:pStyle w:val="null3"/>
            </w:pPr>
            <w:r>
              <w:rPr>
                <w:rFonts w:ascii="仿宋_GB2312" w:hAnsi="仿宋_GB2312" w:cs="仿宋_GB2312" w:eastAsia="仿宋_GB2312"/>
              </w:rPr>
              <w:t>资源总览</w:t>
            </w:r>
          </w:p>
          <w:p>
            <w:pPr>
              <w:pStyle w:val="null3"/>
            </w:pPr>
            <w:r>
              <w:rPr>
                <w:rFonts w:ascii="仿宋_GB2312" w:hAnsi="仿宋_GB2312" w:cs="仿宋_GB2312" w:eastAsia="仿宋_GB2312"/>
              </w:rPr>
              <w:t>本次系统迁移涉及我中心五大核心业务系统，包含正式环境及测试环境共计七套，经统计，需迁移服务器资源共计</w:t>
            </w:r>
            <w:r>
              <w:rPr>
                <w:rFonts w:ascii="仿宋_GB2312" w:hAnsi="仿宋_GB2312" w:cs="仿宋_GB2312" w:eastAsia="仿宋_GB2312"/>
              </w:rPr>
              <w:t>85台，其中核心业务系统正式及测试环境服务器74台，各类系统资源明细如下：</w:t>
            </w:r>
          </w:p>
          <w:tbl>
            <w:tblPr>
              <w:tblBorders>
                <w:top w:val="none" w:color="000000" w:sz="4"/>
                <w:left w:val="none" w:color="000000" w:sz="4"/>
                <w:bottom w:val="none" w:color="000000" w:sz="4"/>
                <w:right w:val="none" w:color="000000" w:sz="4"/>
                <w:insideH w:val="none"/>
                <w:insideV w:val="none"/>
              </w:tblBorders>
            </w:tblPr>
            <w:tblGrid>
              <w:gridCol w:w="379"/>
              <w:gridCol w:w="889"/>
              <w:gridCol w:w="642"/>
              <w:gridCol w:w="642"/>
            </w:tblGrid>
            <w:tr>
              <w:tc>
                <w:tcPr>
                  <w:tcW w:type="dxa" w:w="37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88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系统名称</w:t>
                  </w:r>
                </w:p>
              </w:tc>
              <w:tc>
                <w:tcPr>
                  <w:tcW w:type="dxa" w:w="64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资源数量</w:t>
                  </w:r>
                  <w:r>
                    <w:rPr>
                      <w:rFonts w:ascii="仿宋_GB2312" w:hAnsi="仿宋_GB2312" w:cs="仿宋_GB2312" w:eastAsia="仿宋_GB2312"/>
                      <w:sz w:val="19"/>
                    </w:rPr>
                    <w:t>(台)</w:t>
                  </w:r>
                </w:p>
              </w:tc>
              <w:tc>
                <w:tcPr>
                  <w:tcW w:type="dxa" w:w="64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合计</w:t>
                  </w:r>
                  <w:r>
                    <w:rPr>
                      <w:rFonts w:ascii="仿宋_GB2312" w:hAnsi="仿宋_GB2312" w:cs="仿宋_GB2312" w:eastAsia="仿宋_GB2312"/>
                      <w:sz w:val="19"/>
                    </w:rPr>
                    <w:t>(台)</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8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工程建设交易平台</w:t>
                  </w:r>
                  <w:r>
                    <w:rPr>
                      <w:rFonts w:ascii="仿宋_GB2312" w:hAnsi="仿宋_GB2312" w:cs="仿宋_GB2312" w:eastAsia="仿宋_GB2312"/>
                      <w:sz w:val="19"/>
                    </w:rPr>
                    <w:t>(正式)</w:t>
                  </w:r>
                </w:p>
              </w:tc>
              <w:tc>
                <w:tcPr>
                  <w:tcW w:type="dxa" w:w="6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w:t>
                  </w:r>
                </w:p>
              </w:tc>
              <w:tc>
                <w:tcPr>
                  <w:tcW w:type="dxa" w:w="6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74</w:t>
                  </w: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8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工程建设交易平台</w:t>
                  </w:r>
                  <w:r>
                    <w:rPr>
                      <w:rFonts w:ascii="仿宋_GB2312" w:hAnsi="仿宋_GB2312" w:cs="仿宋_GB2312" w:eastAsia="仿宋_GB2312"/>
                      <w:sz w:val="19"/>
                    </w:rPr>
                    <w:t>(测试)</w:t>
                  </w:r>
                </w:p>
              </w:tc>
              <w:tc>
                <w:tcPr>
                  <w:tcW w:type="dxa" w:w="6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15</w:t>
                  </w:r>
                </w:p>
              </w:tc>
              <w:tc>
                <w:tcPr>
                  <w:tcW w:type="dxa" w:w="642"/>
                  <w:vMerge/>
                  <w:tcBorders>
                    <w:top w:val="none" w:color="000000" w:sz="4"/>
                    <w:left w:val="single" w:color="000000" w:sz="4"/>
                    <w:bottom w:val="single" w:color="000000" w:sz="4"/>
                    <w:right w:val="single" w:color="000000" w:sz="4"/>
                  </w:tcBorders>
                </w:tcP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w:t>
                  </w:r>
                </w:p>
              </w:tc>
              <w:tc>
                <w:tcPr>
                  <w:tcW w:type="dxa" w:w="8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工程建设交易开评标系统</w:t>
                  </w:r>
                </w:p>
              </w:tc>
              <w:tc>
                <w:tcPr>
                  <w:tcW w:type="dxa" w:w="6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642"/>
                  <w:vMerge/>
                  <w:tcBorders>
                    <w:top w:val="none" w:color="000000" w:sz="4"/>
                    <w:left w:val="single" w:color="000000" w:sz="4"/>
                    <w:bottom w:val="single" w:color="000000" w:sz="4"/>
                    <w:right w:val="single" w:color="000000" w:sz="4"/>
                  </w:tcBorders>
                </w:tcP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8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交通水利交易平台</w:t>
                  </w:r>
                  <w:r>
                    <w:rPr>
                      <w:rFonts w:ascii="仿宋_GB2312" w:hAnsi="仿宋_GB2312" w:cs="仿宋_GB2312" w:eastAsia="仿宋_GB2312"/>
                      <w:sz w:val="19"/>
                    </w:rPr>
                    <w:t>(正式)</w:t>
                  </w:r>
                </w:p>
              </w:tc>
              <w:tc>
                <w:tcPr>
                  <w:tcW w:type="dxa" w:w="6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18</w:t>
                  </w:r>
                </w:p>
              </w:tc>
              <w:tc>
                <w:tcPr>
                  <w:tcW w:type="dxa" w:w="642"/>
                  <w:vMerge/>
                  <w:tcBorders>
                    <w:top w:val="none" w:color="000000" w:sz="4"/>
                    <w:left w:val="single" w:color="000000" w:sz="4"/>
                    <w:bottom w:val="single" w:color="000000" w:sz="4"/>
                    <w:right w:val="single" w:color="000000" w:sz="4"/>
                  </w:tcBorders>
                </w:tcPr>
                <w:p/>
              </w:tc>
            </w:tr>
            <w:tr>
              <w:tc>
                <w:tcPr>
                  <w:tcW w:type="dxa" w:w="3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8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交通水利交易平台</w:t>
                  </w:r>
                  <w:r>
                    <w:rPr>
                      <w:rFonts w:ascii="仿宋_GB2312" w:hAnsi="仿宋_GB2312" w:cs="仿宋_GB2312" w:eastAsia="仿宋_GB2312"/>
                      <w:sz w:val="19"/>
                    </w:rPr>
                    <w:t>(测试)</w:t>
                  </w:r>
                </w:p>
              </w:tc>
              <w:tc>
                <w:tcPr>
                  <w:tcW w:type="dxa" w:w="6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w:t>
                  </w:r>
                </w:p>
              </w:tc>
              <w:tc>
                <w:tcPr>
                  <w:tcW w:type="dxa" w:w="642"/>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资源要求</w:t>
            </w:r>
          </w:p>
          <w:p>
            <w:pPr>
              <w:pStyle w:val="null3"/>
            </w:pPr>
            <w:r>
              <w:rPr>
                <w:rFonts w:ascii="仿宋_GB2312" w:hAnsi="仿宋_GB2312" w:cs="仿宋_GB2312" w:eastAsia="仿宋_GB2312"/>
              </w:rPr>
              <w:t>服务器类型</w:t>
            </w:r>
          </w:p>
          <w:p>
            <w:pPr>
              <w:pStyle w:val="null3"/>
            </w:pPr>
            <w:r>
              <w:rPr>
                <w:rFonts w:ascii="仿宋_GB2312" w:hAnsi="仿宋_GB2312" w:cs="仿宋_GB2312" w:eastAsia="仿宋_GB2312"/>
              </w:rPr>
              <w:t>本次迁移涉及的</w:t>
            </w:r>
            <w:r>
              <w:rPr>
                <w:rFonts w:ascii="仿宋_GB2312" w:hAnsi="仿宋_GB2312" w:cs="仿宋_GB2312" w:eastAsia="仿宋_GB2312"/>
              </w:rPr>
              <w:t>74台正式及测试服务器，涵盖物理服务器与自建云平台虚拟机两类资源，新场地机房需同步配套相应类型服务器资源。</w:t>
            </w:r>
          </w:p>
          <w:p>
            <w:pPr>
              <w:pStyle w:val="null3"/>
            </w:pPr>
            <w:r>
              <w:rPr>
                <w:rFonts w:ascii="仿宋_GB2312" w:hAnsi="仿宋_GB2312" w:cs="仿宋_GB2312" w:eastAsia="仿宋_GB2312"/>
              </w:rPr>
              <w:t>操作系统类型</w:t>
            </w:r>
          </w:p>
          <w:p>
            <w:pPr>
              <w:pStyle w:val="null3"/>
            </w:pPr>
            <w:r>
              <w:rPr>
                <w:rFonts w:ascii="仿宋_GB2312" w:hAnsi="仿宋_GB2312" w:cs="仿宋_GB2312" w:eastAsia="仿宋_GB2312"/>
              </w:rPr>
              <w:t>经摸底，现有系统涉及的操作系统主要包含</w:t>
            </w:r>
            <w:r>
              <w:rPr>
                <w:rFonts w:ascii="仿宋_GB2312" w:hAnsi="仿宋_GB2312" w:cs="仿宋_GB2312" w:eastAsia="仿宋_GB2312"/>
              </w:rPr>
              <w:t>Windows Server和CentOS Linux两大系列，具体版本及要求如下：</w:t>
            </w:r>
          </w:p>
          <w:p>
            <w:pPr>
              <w:pStyle w:val="null3"/>
            </w:pPr>
            <w:r>
              <w:rPr>
                <w:rFonts w:ascii="仿宋_GB2312" w:hAnsi="仿宋_GB2312" w:cs="仿宋_GB2312" w:eastAsia="仿宋_GB2312"/>
              </w:rPr>
              <w:t>Windows Server：版本包括2008 R2、2012、2019、2022，其中2008 R2已停止官方支持，新环境需具备显著的安全防护与版本兼容性；</w:t>
            </w:r>
          </w:p>
          <w:p>
            <w:pPr>
              <w:pStyle w:val="null3"/>
            </w:pPr>
            <w:r>
              <w:rPr>
                <w:rFonts w:ascii="仿宋_GB2312" w:hAnsi="仿宋_GB2312" w:cs="仿宋_GB2312" w:eastAsia="仿宋_GB2312"/>
              </w:rPr>
              <w:t>CentOS Linux：版本主要为7.5和7.9，新机房需按标准版号提供相应资源，保障系统迁移后的应用适配性与运行稳定性。</w:t>
            </w:r>
          </w:p>
          <w:p>
            <w:pPr>
              <w:pStyle w:val="null3"/>
            </w:pPr>
            <w:r>
              <w:rPr>
                <w:rFonts w:ascii="仿宋_GB2312" w:hAnsi="仿宋_GB2312" w:cs="仿宋_GB2312" w:eastAsia="仿宋_GB2312"/>
              </w:rPr>
              <w:t>资源需求特征</w:t>
            </w:r>
          </w:p>
          <w:p>
            <w:pPr>
              <w:pStyle w:val="null3"/>
            </w:pPr>
            <w:r>
              <w:rPr>
                <w:rFonts w:ascii="仿宋_GB2312" w:hAnsi="仿宋_GB2312" w:cs="仿宋_GB2312" w:eastAsia="仿宋_GB2312"/>
              </w:rPr>
              <w:t>结合现有系统业务运行特点，新场地机房资源需满足以下核心特征：</w:t>
            </w:r>
          </w:p>
          <w:p>
            <w:pPr>
              <w:pStyle w:val="null3"/>
            </w:pPr>
            <w:r>
              <w:rPr>
                <w:rFonts w:ascii="仿宋_GB2312" w:hAnsi="仿宋_GB2312" w:cs="仿宋_GB2312" w:eastAsia="仿宋_GB2312"/>
              </w:rPr>
              <w:t>高计算资源：交易平台、开评标系统、</w:t>
            </w:r>
            <w:r>
              <w:rPr>
                <w:rFonts w:ascii="仿宋_GB2312" w:hAnsi="仿宋_GB2312" w:cs="仿宋_GB2312" w:eastAsia="仿宋_GB2312"/>
              </w:rPr>
              <w:t>G2服务、G3服务等模块存在高并发业务场景，对服务器CPU核心数量和内存容量要求较高；</w:t>
            </w:r>
          </w:p>
          <w:p>
            <w:pPr>
              <w:pStyle w:val="null3"/>
            </w:pPr>
            <w:r>
              <w:rPr>
                <w:rFonts w:ascii="仿宋_GB2312" w:hAnsi="仿宋_GB2312" w:cs="仿宋_GB2312" w:eastAsia="仿宋_GB2312"/>
              </w:rPr>
              <w:t>大规模存储：文件服务器（</w:t>
            </w:r>
            <w:r>
              <w:rPr>
                <w:rFonts w:ascii="仿宋_GB2312" w:hAnsi="仿宋_GB2312" w:cs="仿宋_GB2312" w:eastAsia="仿宋_GB2312"/>
              </w:rPr>
              <w:t>55T）、评标系统（最大29T）存储海量结构化、非结构化数据，新环境需保障充足的存储容量，且网络带宽和存储IO性能达标；</w:t>
            </w:r>
          </w:p>
          <w:p>
            <w:pPr>
              <w:pStyle w:val="null3"/>
            </w:pPr>
            <w:r>
              <w:rPr>
                <w:rFonts w:ascii="仿宋_GB2312" w:hAnsi="仿宋_GB2312" w:cs="仿宋_GB2312" w:eastAsia="仿宋_GB2312"/>
              </w:rPr>
              <w:t>数据库多样性适配：现有环境中存在</w:t>
            </w:r>
            <w:r>
              <w:rPr>
                <w:rFonts w:ascii="仿宋_GB2312" w:hAnsi="仿宋_GB2312" w:cs="仿宋_GB2312" w:eastAsia="仿宋_GB2312"/>
              </w:rPr>
              <w:t>Oracle、MySQL、SqlServer多种数据库，其迁移策略与工具选择为本次迁移技术关键点，新资源环境需保障相关迁移工具可正常安装、适配运行。</w:t>
            </w:r>
          </w:p>
          <w:p>
            <w:pPr>
              <w:pStyle w:val="null3"/>
            </w:pPr>
            <w:r>
              <w:rPr>
                <w:rFonts w:ascii="仿宋_GB2312" w:hAnsi="仿宋_GB2312" w:cs="仿宋_GB2312" w:eastAsia="仿宋_GB2312"/>
              </w:rPr>
              <w:t>资源详情</w:t>
            </w:r>
          </w:p>
          <w:p>
            <w:pPr>
              <w:pStyle w:val="null3"/>
            </w:pPr>
            <w:r>
              <w:rPr>
                <w:rFonts w:ascii="仿宋_GB2312" w:hAnsi="仿宋_GB2312" w:cs="仿宋_GB2312" w:eastAsia="仿宋_GB2312"/>
              </w:rPr>
              <w:t>核心业务系统按正式环境、测试环境分类，经摸底统计，各系统服务器资源具体配置如下：</w:t>
            </w:r>
          </w:p>
          <w:p>
            <w:pPr>
              <w:pStyle w:val="null3"/>
            </w:pPr>
            <w:r>
              <w:rPr>
                <w:rFonts w:ascii="仿宋_GB2312" w:hAnsi="仿宋_GB2312" w:cs="仿宋_GB2312" w:eastAsia="仿宋_GB2312"/>
              </w:rPr>
              <w:t>工程建设交易平台</w:t>
            </w:r>
            <w:r>
              <w:rPr>
                <w:rFonts w:ascii="仿宋_GB2312" w:hAnsi="仿宋_GB2312" w:cs="仿宋_GB2312" w:eastAsia="仿宋_GB2312"/>
              </w:rPr>
              <w:t>(正式)</w:t>
            </w:r>
          </w:p>
          <w:tbl>
            <w:tblPr>
              <w:tblBorders>
                <w:top w:val="none" w:color="000000" w:sz="4"/>
                <w:left w:val="none" w:color="000000" w:sz="4"/>
                <w:bottom w:val="none" w:color="000000" w:sz="4"/>
                <w:right w:val="none" w:color="000000" w:sz="4"/>
                <w:insideH w:val="none"/>
                <w:insideV w:val="none"/>
              </w:tblBorders>
            </w:tblPr>
            <w:tblGrid>
              <w:gridCol w:w="137"/>
              <w:gridCol w:w="427"/>
              <w:gridCol w:w="701"/>
              <w:gridCol w:w="533"/>
              <w:gridCol w:w="162"/>
              <w:gridCol w:w="162"/>
              <w:gridCol w:w="193"/>
              <w:gridCol w:w="218"/>
            </w:tblGrid>
            <w:tr>
              <w:tc>
                <w:tcPr>
                  <w:tcW w:type="dxa" w:w="13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42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服务器</w:t>
                  </w:r>
                </w:p>
              </w:tc>
              <w:tc>
                <w:tcPr>
                  <w:tcW w:type="dxa" w:w="70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IP</w:t>
                  </w:r>
                </w:p>
              </w:tc>
              <w:tc>
                <w:tcPr>
                  <w:tcW w:type="dxa" w:w="53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w:t>
                  </w:r>
                </w:p>
              </w:tc>
              <w:tc>
                <w:tcPr>
                  <w:tcW w:type="dxa" w:w="16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CPU</w:t>
                  </w:r>
                </w:p>
              </w:tc>
              <w:tc>
                <w:tcPr>
                  <w:tcW w:type="dxa" w:w="16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内存</w:t>
                  </w:r>
                </w:p>
              </w:tc>
              <w:tc>
                <w:tcPr>
                  <w:tcW w:type="dxa" w:w="19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存储</w:t>
                  </w:r>
                </w:p>
              </w:tc>
              <w:tc>
                <w:tcPr>
                  <w:tcW w:type="dxa" w:w="21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是否</w:t>
                  </w:r>
                  <w:r>
                    <w:rPr>
                      <w:rFonts w:ascii="仿宋_GB2312" w:hAnsi="仿宋_GB2312" w:cs="仿宋_GB2312" w:eastAsia="仿宋_GB2312"/>
                      <w:sz w:val="19"/>
                    </w:rPr>
                    <w:t>&lt;br/&gt;上云</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门户网站服务器</w:t>
                  </w:r>
                  <w:r>
                    <w:rPr>
                      <w:rFonts w:ascii="仿宋_GB2312" w:hAnsi="仿宋_GB2312" w:cs="仿宋_GB2312" w:eastAsia="仿宋_GB2312"/>
                      <w:sz w:val="19"/>
                    </w:rPr>
                    <w:t>/监督门户</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[192.168.8.191](192.168.8.191)</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交易平台服务器</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[192.168.8.190](192.168.8.190)</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56核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专家门禁、指纹机</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[192.168.8.110](192.168.8.110)</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与电子政务内网互通中转机器</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[172.16.12.160](172.16.12.160)</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文件服务器</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[192.168.8.199](192.168.8.199)</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55T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专家系统</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[192.168.8.189](192.168.8.189)</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专家抽取服务</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[192.168.8.188](192.168.8.188)</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企业库同步服务</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[192.168.8.187](192.168.8.187)</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9</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专家语音服务器</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[192.168.8.205](192.168.8.205)</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诚信平台</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[192.168.8.186](192.168.8.186)</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11</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招投标</w:t>
                  </w:r>
                  <w:r>
                    <w:rPr>
                      <w:rFonts w:ascii="仿宋_GB2312" w:hAnsi="仿宋_GB2312" w:cs="仿宋_GB2312" w:eastAsia="仿宋_GB2312"/>
                      <w:sz w:val="19"/>
                    </w:rPr>
                    <w:t>nginx代理 （前置机）</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[192.168.8.185](192.168.8.185)</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数据库服务器从库</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[192.168.8.184](192.168.8.184)</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13</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数据库服务器</w:t>
                  </w:r>
                  <w:r>
                    <w:rPr>
                      <w:rFonts w:ascii="仿宋_GB2312" w:hAnsi="仿宋_GB2312" w:cs="仿宋_GB2312" w:eastAsia="仿宋_GB2312"/>
                      <w:sz w:val="19"/>
                    </w:rPr>
                    <w:t>&lt;br/&gt;KETTLE同步工具</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[192.168.8.183](192.168.8.183)</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14</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运维服务器</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[192.168.8.194](192.168.8.194)</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15</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工商银行的前置机</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[172.16.12.171](172.16.12.171)</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招投标文件下载</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[192.168.8.223](192.168.8.223)</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1T</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部署的获取投资项目统一编码</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[192.168.8.104](192.168.8.104)</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18</w:t>
                  </w:r>
                </w:p>
              </w:tc>
              <w:tc>
                <w:tcPr>
                  <w:tcW w:type="dxa" w:w="4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信用中国中转机</w:t>
                  </w:r>
                </w:p>
              </w:tc>
              <w:tc>
                <w:tcPr>
                  <w:tcW w:type="dxa" w:w="70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[192.168.8.100](192.168.8.100)</w:t>
                  </w:r>
                </w:p>
              </w:tc>
              <w:tc>
                <w:tcPr>
                  <w:tcW w:type="dxa" w:w="53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19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bl>
          <w:p>
            <w:pPr>
              <w:pStyle w:val="null3"/>
            </w:pPr>
            <w:r>
              <w:rPr>
                <w:rFonts w:ascii="仿宋_GB2312" w:hAnsi="仿宋_GB2312" w:cs="仿宋_GB2312" w:eastAsia="仿宋_GB2312"/>
              </w:rPr>
              <w:t>工程建设交易平台</w:t>
            </w:r>
            <w:r>
              <w:rPr>
                <w:rFonts w:ascii="仿宋_GB2312" w:hAnsi="仿宋_GB2312" w:cs="仿宋_GB2312" w:eastAsia="仿宋_GB2312"/>
              </w:rPr>
              <w:t>(测试)</w:t>
            </w:r>
          </w:p>
          <w:tbl>
            <w:tblPr>
              <w:tblInd w:type="dxa" w:w="105"/>
              <w:tblBorders>
                <w:top w:val="none" w:color="000000" w:sz="4"/>
                <w:left w:val="none" w:color="000000" w:sz="4"/>
                <w:bottom w:val="none" w:color="000000" w:sz="4"/>
                <w:right w:val="none" w:color="000000" w:sz="4"/>
                <w:insideH w:val="none"/>
                <w:insideV w:val="none"/>
              </w:tblBorders>
            </w:tblPr>
            <w:tblGrid>
              <w:gridCol w:w="179"/>
              <w:gridCol w:w="290"/>
              <w:gridCol w:w="791"/>
              <w:gridCol w:w="580"/>
              <w:gridCol w:w="179"/>
              <w:gridCol w:w="179"/>
              <w:gridCol w:w="211"/>
              <w:gridCol w:w="142"/>
            </w:tblGrid>
            <w:tr>
              <w:tc>
                <w:tcPr>
                  <w:tcW w:type="dxa" w:w="17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29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服务器</w:t>
                  </w:r>
                </w:p>
              </w:tc>
              <w:tc>
                <w:tcPr>
                  <w:tcW w:type="dxa" w:w="79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IP</w:t>
                  </w:r>
                </w:p>
              </w:tc>
              <w:tc>
                <w:tcPr>
                  <w:tcW w:type="dxa" w:w="58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w:t>
                  </w:r>
                </w:p>
              </w:tc>
              <w:tc>
                <w:tcPr>
                  <w:tcW w:type="dxa" w:w="17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CPU</w:t>
                  </w:r>
                </w:p>
              </w:tc>
              <w:tc>
                <w:tcPr>
                  <w:tcW w:type="dxa" w:w="17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内存</w:t>
                  </w:r>
                </w:p>
              </w:tc>
              <w:tc>
                <w:tcPr>
                  <w:tcW w:type="dxa" w:w="211"/>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硬盘</w:t>
                  </w:r>
                </w:p>
              </w:tc>
              <w:tc>
                <w:tcPr>
                  <w:tcW w:type="dxa" w:w="14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是否上云</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门户</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[172.16.12.167](172.16.12.167)</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交易系统</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[172.16.12.168](172.16.12.168)</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server2008 R2 企业版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数据库</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[172.16.12.175](172.16.12.175)</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监督平台</w:t>
                  </w:r>
                  <w:r>
                    <w:rPr>
                      <w:rFonts w:ascii="仿宋_GB2312" w:hAnsi="仿宋_GB2312" w:cs="仿宋_GB2312" w:eastAsia="仿宋_GB2312"/>
                      <w:sz w:val="19"/>
                    </w:rPr>
                    <w:t>&lt;br/&gt;（预警平台）</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[172.16.12.175](172.16.12.175)</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nginx服务器</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[192.168.8.104](192.168.8.104)</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nginx服务器</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[172.16.12.200](172.16.12.200)</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9</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远程异地、监管</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[192.168.8.166](192.168.8.166)</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远程异地、监管</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[192.168.8.162](192.168.8.162)</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11</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音视频服务器</w:t>
                  </w:r>
                </w:p>
              </w:tc>
              <w:tc>
                <w:tcPr>
                  <w:tcW w:type="dxa" w:w="79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[192.168.8.167](192.168.8.167)</w:t>
                  </w:r>
                </w:p>
              </w:tc>
              <w:tc>
                <w:tcPr>
                  <w:tcW w:type="dxa" w:w="58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centos7.5 64位 完整版</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1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1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bl>
          <w:p>
            <w:pPr>
              <w:pStyle w:val="null3"/>
            </w:pPr>
            <w:r>
              <w:rPr>
                <w:rFonts w:ascii="仿宋_GB2312" w:hAnsi="仿宋_GB2312" w:cs="仿宋_GB2312" w:eastAsia="仿宋_GB2312"/>
              </w:rPr>
              <w:t>工程建设开评标系统</w:t>
            </w:r>
          </w:p>
          <w:tbl>
            <w:tblPr>
              <w:tblBorders>
                <w:top w:val="none" w:color="000000" w:sz="4"/>
                <w:left w:val="none" w:color="000000" w:sz="4"/>
                <w:bottom w:val="none" w:color="000000" w:sz="4"/>
                <w:right w:val="none" w:color="000000" w:sz="4"/>
                <w:insideH w:val="none"/>
                <w:insideV w:val="none"/>
              </w:tblBorders>
            </w:tblPr>
            <w:tblGrid>
              <w:gridCol w:w="142"/>
              <w:gridCol w:w="447"/>
              <w:gridCol w:w="773"/>
              <w:gridCol w:w="495"/>
              <w:gridCol w:w="174"/>
              <w:gridCol w:w="174"/>
              <w:gridCol w:w="205"/>
              <w:gridCol w:w="142"/>
            </w:tblGrid>
            <w:tr>
              <w:tc>
                <w:tcPr>
                  <w:tcW w:type="dxa" w:w="14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44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服务器</w:t>
                  </w:r>
                </w:p>
              </w:tc>
              <w:tc>
                <w:tcPr>
                  <w:tcW w:type="dxa" w:w="77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IP</w:t>
                  </w:r>
                </w:p>
              </w:tc>
              <w:tc>
                <w:tcPr>
                  <w:tcW w:type="dxa" w:w="49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w:t>
                  </w:r>
                </w:p>
              </w:tc>
              <w:tc>
                <w:tcPr>
                  <w:tcW w:type="dxa" w:w="17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CPU</w:t>
                  </w:r>
                </w:p>
              </w:tc>
              <w:tc>
                <w:tcPr>
                  <w:tcW w:type="dxa" w:w="17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内存</w:t>
                  </w:r>
                </w:p>
              </w:tc>
              <w:tc>
                <w:tcPr>
                  <w:tcW w:type="dxa" w:w="20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硬盘</w:t>
                  </w:r>
                </w:p>
              </w:tc>
              <w:tc>
                <w:tcPr>
                  <w:tcW w:type="dxa" w:w="14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是否上云</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中心库系统</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[192.168.8.192](192.168.8.192)</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8889-远程开标WEB集群-1</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[192.168.8.220](192.168.8.220)</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8890-远程开标WEB集群-2</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[192.168.8.221](192.168.8.221)</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8891-远程开标WEB集群-3</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[192.168.8.222](192.168.8.222)</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8885-远程开标WEB集群-4</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[192.168.8.193](192.168.8.193)</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600G</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评标系统</w:t>
                  </w:r>
                  <w:r>
                    <w:rPr>
                      <w:rFonts w:ascii="仿宋_GB2312" w:hAnsi="仿宋_GB2312" w:cs="仿宋_GB2312" w:eastAsia="仿宋_GB2312"/>
                      <w:sz w:val="19"/>
                    </w:rPr>
                    <w:t>1</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[192.168.8.197](192.168.8.197)</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56核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25T</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评标系统</w:t>
                  </w:r>
                  <w:r>
                    <w:rPr>
                      <w:rFonts w:ascii="仿宋_GB2312" w:hAnsi="仿宋_GB2312" w:cs="仿宋_GB2312" w:eastAsia="仿宋_GB2312"/>
                      <w:sz w:val="19"/>
                    </w:rPr>
                    <w:t>2</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[192.168.8.195](192.168.8.195)</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4T</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评标系统</w:t>
                  </w:r>
                  <w:r>
                    <w:rPr>
                      <w:rFonts w:ascii="仿宋_GB2312" w:hAnsi="仿宋_GB2312" w:cs="仿宋_GB2312" w:eastAsia="仿宋_GB2312"/>
                      <w:sz w:val="19"/>
                    </w:rPr>
                    <w:t>3</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[192.168.8.196](192.168.8.196)</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7T</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9</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评标系统</w:t>
                  </w:r>
                  <w:r>
                    <w:rPr>
                      <w:rFonts w:ascii="仿宋_GB2312" w:hAnsi="仿宋_GB2312" w:cs="仿宋_GB2312" w:eastAsia="仿宋_GB2312"/>
                      <w:sz w:val="19"/>
                    </w:rPr>
                    <w:t>4</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[192.168.8.224](192.168.8.224)</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8T</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4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评标系统</w:t>
                  </w:r>
                  <w:r>
                    <w:rPr>
                      <w:rFonts w:ascii="仿宋_GB2312" w:hAnsi="仿宋_GB2312" w:cs="仿宋_GB2312" w:eastAsia="仿宋_GB2312"/>
                      <w:sz w:val="19"/>
                    </w:rPr>
                    <w:t>2&lt;br/&gt;21年历史项目&lt;br/&gt;(历史数据-旧评2-新195)</w:t>
                  </w:r>
                </w:p>
              </w:tc>
              <w:tc>
                <w:tcPr>
                  <w:tcW w:type="dxa" w:w="7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[192.168.8.177](192.168.8.177)</w:t>
                  </w:r>
                </w:p>
              </w:tc>
              <w:tc>
                <w:tcPr>
                  <w:tcW w:type="dxa" w:w="49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server2012</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48核</w:t>
                  </w:r>
                </w:p>
              </w:tc>
              <w:tc>
                <w:tcPr>
                  <w:tcW w:type="dxa" w:w="1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0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29T</w:t>
                  </w:r>
                </w:p>
              </w:tc>
              <w:tc>
                <w:tcPr>
                  <w:tcW w:type="dxa" w:w="1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bl>
          <w:p>
            <w:pPr>
              <w:pStyle w:val="null3"/>
            </w:pPr>
            <w:r>
              <w:rPr>
                <w:rFonts w:ascii="仿宋_GB2312" w:hAnsi="仿宋_GB2312" w:cs="仿宋_GB2312" w:eastAsia="仿宋_GB2312"/>
              </w:rPr>
              <w:t>交通水利交易平台</w:t>
            </w:r>
            <w:r>
              <w:rPr>
                <w:rFonts w:ascii="仿宋_GB2312" w:hAnsi="仿宋_GB2312" w:cs="仿宋_GB2312" w:eastAsia="仿宋_GB2312"/>
              </w:rPr>
              <w:t>(正式)</w:t>
            </w:r>
          </w:p>
          <w:tbl>
            <w:tblPr>
              <w:tblBorders>
                <w:top w:val="none" w:color="000000" w:sz="4"/>
                <w:left w:val="none" w:color="000000" w:sz="4"/>
                <w:bottom w:val="none" w:color="000000" w:sz="4"/>
                <w:right w:val="none" w:color="000000" w:sz="4"/>
                <w:insideH w:val="none"/>
                <w:insideV w:val="none"/>
              </w:tblBorders>
            </w:tblPr>
            <w:tblGrid>
              <w:gridCol w:w="137"/>
              <w:gridCol w:w="373"/>
              <w:gridCol w:w="625"/>
              <w:gridCol w:w="462"/>
              <w:gridCol w:w="247"/>
              <w:gridCol w:w="226"/>
              <w:gridCol w:w="252"/>
              <w:gridCol w:w="226"/>
            </w:tblGrid>
            <w:tr>
              <w:tc>
                <w:tcPr>
                  <w:tcW w:type="dxa" w:w="13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37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服务器</w:t>
                  </w:r>
                </w:p>
              </w:tc>
              <w:tc>
                <w:tcPr>
                  <w:tcW w:type="dxa" w:w="62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IP</w:t>
                  </w:r>
                </w:p>
              </w:tc>
              <w:tc>
                <w:tcPr>
                  <w:tcW w:type="dxa" w:w="46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w:t>
                  </w:r>
                </w:p>
              </w:tc>
              <w:tc>
                <w:tcPr>
                  <w:tcW w:type="dxa" w:w="24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CPU</w:t>
                  </w:r>
                </w:p>
              </w:tc>
              <w:tc>
                <w:tcPr>
                  <w:tcW w:type="dxa" w:w="226"/>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内存</w:t>
                  </w:r>
                </w:p>
              </w:tc>
              <w:tc>
                <w:tcPr>
                  <w:tcW w:type="dxa" w:w="25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硬盘</w:t>
                  </w:r>
                </w:p>
              </w:tc>
              <w:tc>
                <w:tcPr>
                  <w:tcW w:type="dxa" w:w="226"/>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是否上云</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nginx</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[192.168.8.232](192.168.8.232)</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中控、</w:t>
                  </w:r>
                  <w:r>
                    <w:rPr>
                      <w:rFonts w:ascii="仿宋_GB2312" w:hAnsi="仿宋_GB2312" w:cs="仿宋_GB2312" w:eastAsia="仿宋_GB2312"/>
                      <w:sz w:val="19"/>
                    </w:rPr>
                    <w:t>SSO、定时任务</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[192.168.8.233](192.168.8.233)</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交易、企业、专家</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[192.168.8.234](192.168.8.234)</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开评标</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[192.168.8.235](192.168.8.235)</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128G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G2服务</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[192.168.8.236](192.168.8.236)</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128G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编标</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[192.168.8.237](192.168.8.237)</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redis、nacos、MQ</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[192.168.8.238](192.168.8.238)</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MySql</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[192.168.8.239](192.168.8.239)</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64G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9</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gfc</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[192.168.8.240](192.168.8.240)</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4T</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水利商务标清标系统</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[192.168.8.241](192.168.8.241)</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 2019 64位</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11</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政采</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[192.168.8.111](192.168.8.111)</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清标</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[10.9.24.135](10.9.24.135)</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13</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直播接口</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[10.0.108.12](10.0.108.12)</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14</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三方的会议系统</w:t>
                  </w:r>
                  <w:r>
                    <w:rPr>
                      <w:rFonts w:ascii="仿宋_GB2312" w:hAnsi="仿宋_GB2312" w:cs="仿宋_GB2312" w:eastAsia="仿宋_GB2312"/>
                      <w:sz w:val="19"/>
                    </w:rPr>
                    <w:t>ip</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[10.0.107.249](10.0.107.249)</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15</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规则库接口</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[192.168.8.118](192.168.8.118)</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签章文件保存</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[124.115.168.54](124.115.168.54)</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17</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全国</w:t>
                  </w:r>
                  <w:r>
                    <w:rPr>
                      <w:rFonts w:ascii="仿宋_GB2312" w:hAnsi="仿宋_GB2312" w:cs="仿宋_GB2312" w:eastAsia="仿宋_GB2312"/>
                      <w:sz w:val="19"/>
                    </w:rPr>
                    <w:t>CA互认移动CA接口</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[1.85.61.164](1.85.61.164)</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18</w:t>
                  </w:r>
                </w:p>
              </w:tc>
              <w:tc>
                <w:tcPr>
                  <w:tcW w:type="dxa" w:w="3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水利清单转换平台</w:t>
                  </w:r>
                </w:p>
              </w:tc>
              <w:tc>
                <w:tcPr>
                  <w:tcW w:type="dxa" w:w="62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[192.168.8.40](192.168.8.40)</w:t>
                  </w:r>
                </w:p>
              </w:tc>
              <w:tc>
                <w:tcPr>
                  <w:tcW w:type="dxa" w:w="4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Server2022-数据中心版</w:t>
                  </w:r>
                </w:p>
              </w:tc>
              <w:tc>
                <w:tcPr>
                  <w:tcW w:type="dxa" w:w="2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2000G</w:t>
                  </w:r>
                </w:p>
              </w:tc>
              <w:tc>
                <w:tcPr>
                  <w:tcW w:type="dxa" w:w="22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bl>
          <w:p>
            <w:pPr>
              <w:pStyle w:val="null3"/>
            </w:pPr>
            <w:r>
              <w:rPr>
                <w:rFonts w:ascii="仿宋_GB2312" w:hAnsi="仿宋_GB2312" w:cs="仿宋_GB2312" w:eastAsia="仿宋_GB2312"/>
              </w:rPr>
              <w:t>交通水利交易平台</w:t>
            </w:r>
            <w:r>
              <w:rPr>
                <w:rFonts w:ascii="仿宋_GB2312" w:hAnsi="仿宋_GB2312" w:cs="仿宋_GB2312" w:eastAsia="仿宋_GB2312"/>
              </w:rPr>
              <w:t>(测试)</w:t>
            </w:r>
          </w:p>
          <w:tbl>
            <w:tblPr>
              <w:tblInd w:type="dxa" w:w="105"/>
              <w:tblBorders>
                <w:top w:val="none" w:color="000000" w:sz="4"/>
                <w:left w:val="none" w:color="000000" w:sz="4"/>
                <w:bottom w:val="none" w:color="000000" w:sz="4"/>
                <w:right w:val="none" w:color="000000" w:sz="4"/>
                <w:insideH w:val="none"/>
                <w:insideV w:val="none"/>
              </w:tblBorders>
            </w:tblPr>
            <w:tblGrid>
              <w:gridCol w:w="137"/>
              <w:gridCol w:w="366"/>
              <w:gridCol w:w="645"/>
              <w:gridCol w:w="452"/>
              <w:gridCol w:w="239"/>
              <w:gridCol w:w="203"/>
              <w:gridCol w:w="254"/>
              <w:gridCol w:w="244"/>
            </w:tblGrid>
            <w:tr>
              <w:tc>
                <w:tcPr>
                  <w:tcW w:type="dxa" w:w="137"/>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序号</w:t>
                  </w:r>
                </w:p>
              </w:tc>
              <w:tc>
                <w:tcPr>
                  <w:tcW w:type="dxa" w:w="366"/>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服务器</w:t>
                  </w:r>
                </w:p>
              </w:tc>
              <w:tc>
                <w:tcPr>
                  <w:tcW w:type="dxa" w:w="645"/>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IP</w:t>
                  </w:r>
                </w:p>
              </w:tc>
              <w:tc>
                <w:tcPr>
                  <w:tcW w:type="dxa" w:w="452"/>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系统</w:t>
                  </w:r>
                </w:p>
              </w:tc>
              <w:tc>
                <w:tcPr>
                  <w:tcW w:type="dxa" w:w="239"/>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CPU</w:t>
                  </w:r>
                </w:p>
              </w:tc>
              <w:tc>
                <w:tcPr>
                  <w:tcW w:type="dxa" w:w="203"/>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内存</w:t>
                  </w:r>
                </w:p>
              </w:tc>
              <w:tc>
                <w:tcPr>
                  <w:tcW w:type="dxa" w:w="25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硬盘</w:t>
                  </w:r>
                </w:p>
              </w:tc>
              <w:tc>
                <w:tcPr>
                  <w:tcW w:type="dxa" w:w="244"/>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是否上云</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nginx</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[192.168.8.119](192.168.8.119)</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1T</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nacos</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[192.168.8.115](192.168.8.115)</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交易、企业</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[192.168.8.111](192.168.8.111)</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开评标</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[192.168.8.112](192.168.8.112)</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4核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开评标</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[192.168.8.118](192.168.8.118)</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6</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专家</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[192.168.8.114](192.168.8.114)</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7</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redis、MQ、nginx</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[192.168.8.117](192.168.8.117)</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nginx</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[124.115.168.54](124.115.168.54)</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centos7.9</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32G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9</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水利商务标清标系统测试服务器</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[192.168.8.109](192.168.8.109)</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 2019 64位</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150G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清标</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[10.9.24.135](10.9.24.135)</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11</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水利辅助清标平台</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[192.168.8.41](192.168.8.41)</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Server2022-数据中心版</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2000G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r>
              <w:tc>
                <w:tcPr>
                  <w:tcW w:type="dxa" w:w="13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12</w:t>
                  </w:r>
                </w:p>
              </w:tc>
              <w:tc>
                <w:tcPr>
                  <w:tcW w:type="dxa" w:w="3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全国</w:t>
                  </w:r>
                  <w:r>
                    <w:rPr>
                      <w:rFonts w:ascii="仿宋_GB2312" w:hAnsi="仿宋_GB2312" w:cs="仿宋_GB2312" w:eastAsia="仿宋_GB2312"/>
                      <w:sz w:val="19"/>
                    </w:rPr>
                    <w:t>CA互认移动CA接口</w:t>
                  </w:r>
                </w:p>
              </w:tc>
              <w:tc>
                <w:tcPr>
                  <w:tcW w:type="dxa" w:w="64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[1.85.55.221](1.85.55.221)</w:t>
                  </w:r>
                </w:p>
              </w:tc>
              <w:tc>
                <w:tcPr>
                  <w:tcW w:type="dxa" w:w="45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Windows Server2022-数据中心版</w:t>
                  </w:r>
                </w:p>
              </w:tc>
              <w:tc>
                <w:tcPr>
                  <w:tcW w:type="dxa" w:w="2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16核</w:t>
                  </w:r>
                </w:p>
              </w:tc>
              <w:tc>
                <w:tcPr>
                  <w:tcW w:type="dxa" w:w="20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8G</w:t>
                  </w:r>
                </w:p>
              </w:tc>
              <w:tc>
                <w:tcPr>
                  <w:tcW w:type="dxa" w:w="25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500G</w:t>
                  </w:r>
                </w:p>
              </w:tc>
              <w:tc>
                <w:tcPr>
                  <w:tcW w:type="dxa" w:w="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是</w:t>
                  </w:r>
                </w:p>
              </w:tc>
            </w:tr>
          </w:tbl>
          <w:p>
            <w:pPr>
              <w:pStyle w:val="null3"/>
            </w:pPr>
            <w:r>
              <w:rPr>
                <w:rFonts w:ascii="仿宋_GB2312" w:hAnsi="仿宋_GB2312" w:cs="仿宋_GB2312" w:eastAsia="仿宋_GB2312"/>
              </w:rPr>
              <w:t>具体工作内容</w:t>
            </w:r>
          </w:p>
          <w:tbl>
            <w:tblPr>
              <w:tblBorders>
                <w:top w:val="none" w:color="000000" w:sz="4"/>
                <w:left w:val="none" w:color="000000" w:sz="4"/>
                <w:bottom w:val="none" w:color="000000" w:sz="4"/>
                <w:right w:val="none" w:color="000000" w:sz="4"/>
                <w:insideH w:val="none"/>
                <w:insideV w:val="none"/>
              </w:tblBorders>
            </w:tblPr>
            <w:tblGrid>
              <w:gridCol w:w="278"/>
              <w:gridCol w:w="230"/>
              <w:gridCol w:w="2038"/>
            </w:tblGrid>
            <w:tr>
              <w:tc>
                <w:tcPr>
                  <w:tcW w:type="dxa" w:w="27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迁移阶段</w:t>
                  </w:r>
                </w:p>
              </w:tc>
              <w:tc>
                <w:tcPr>
                  <w:tcW w:type="dxa" w:w="230"/>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工作任务</w:t>
                  </w:r>
                </w:p>
              </w:tc>
              <w:tc>
                <w:tcPr>
                  <w:tcW w:type="dxa" w:w="2038"/>
                  <w:tcBorders>
                    <w:top w:val="single" w:color="000000" w:sz="4"/>
                    <w:left w:val="single" w:color="000000" w:sz="4"/>
                    <w:bottom w:val="single" w:color="000000" w:sz="4"/>
                    <w:right w:val="single" w:color="000000" w:sz="4"/>
                  </w:tcBorders>
                  <w:shd w:fill="9CC2E5"/>
                  <w:tcMar>
                    <w:top w:type="dxa" w:w="60"/>
                    <w:left w:type="dxa" w:w="120"/>
                    <w:bottom w:type="dxa" w:w="30"/>
                    <w:right w:type="dxa" w:w="120"/>
                  </w:tcMar>
                  <w:vAlign w:val="top"/>
                </w:tcPr>
                <w:p>
                  <w:pPr>
                    <w:pStyle w:val="null3"/>
                  </w:pPr>
                  <w:r>
                    <w:rPr>
                      <w:rFonts w:ascii="仿宋_GB2312" w:hAnsi="仿宋_GB2312" w:cs="仿宋_GB2312" w:eastAsia="仿宋_GB2312"/>
                      <w:sz w:val="19"/>
                    </w:rPr>
                    <w:t>工作内容</w:t>
                  </w:r>
                </w:p>
              </w:tc>
            </w:tr>
            <w:tr>
              <w:tc>
                <w:tcPr>
                  <w:tcW w:type="dxa" w:w="2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前置条件</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迁移方案确认</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完成系统迁移方案的内部评审与最终确认</w:t>
                  </w:r>
                </w:p>
              </w:tc>
            </w:tr>
            <w:tr>
              <w:tc>
                <w:tcPr>
                  <w:tcW w:type="dxa" w:w="27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准备阶段</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清点交易平台</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迁移方案确认后，组织人员对</w:t>
                  </w:r>
                  <w:r>
                    <w:rPr>
                      <w:rFonts w:ascii="仿宋_GB2312" w:hAnsi="仿宋_GB2312" w:cs="仿宋_GB2312" w:eastAsia="仿宋_GB2312"/>
                      <w:sz w:val="19"/>
                    </w:rPr>
                    <w:t>7套系统的应用服务器及部署文件、数据库服务器及数据库文件、中间件服务器及Nocas、Redis等配置信息进行全面清点，标明参数名称及配置信息、迁移到新服务器的对应设备及交易应用安装位置，形成《原系统清单配置清单表》，建立checkList清单表格并逐项检查核对</w:t>
                  </w:r>
                </w:p>
              </w:tc>
            </w:tr>
            <w:tr>
              <w:tc>
                <w:tcPr>
                  <w:tcW w:type="dxa" w:w="278"/>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申请云上资源</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整理上云设备清单，形成《云资源清单明细表》，标明设备用途、与原设备的对应关系、数量、规格配置（内存、CPU、云盘存储、操作系统），确保原系统迁移至云上资源无遗漏；&lt;br/&gt;2、编制《云资源申请表》，向政务云申请相关资源</w:t>
                  </w:r>
                </w:p>
              </w:tc>
            </w:tr>
            <w:tr>
              <w:tc>
                <w:tcPr>
                  <w:tcW w:type="dxa" w:w="27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实施阶段</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迁移交底部署</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编制实施层面的《迁移实施方案》并完成内部评审，根据方案向中心相关部门及实施人员进行迁移交底，明确领导小组和工作小组的工作内容与职责范围，制定异常情况上报机制；&lt;br/&gt;2、确保相关人员对迁移目标和内容清晰无遗漏，实施人员明确工作任务及操作要求</w:t>
                  </w:r>
                </w:p>
              </w:tc>
            </w:tr>
            <w:tr>
              <w:tc>
                <w:tcPr>
                  <w:tcW w:type="dxa" w:w="278"/>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执行迁移操作</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CDATA[1、数据全量备份：对5大核心系统的所有数据进行全量备份，保障迁移过程和迁移后数据不丢失；<br/>2、完成工程建设交易平台（正式）19套服务器（含中间件、8套windows操作系统、交易应用等）迁移；<br/>3、完成工程建设交易系统（测试）15套服务器（含中间件、2套windows操作系统、交易应用等）迁移；<br/>4、完成工程开评标系统10套操作系统（10套windows）、中间件、nacos、Redis和数据库迁移；<br/>5、完成交通水利交易平台（正式）18套服务器（含操作系统、2套windows及相关应用）迁移，覆盖编标、开标、评标、清标、CA互认、签章、直播、水利清单转换等模块；<br/>6、完成交通水利交易平台（测试）12套服务器迁移，覆盖开评标、专家、redis、MQ、nginx、全国CA互认等模块；<br/>7、数据全量与增量同步：完成数据库首次全量备份，制定并执行增量备份与恢复策略，在两套环境中验证数据一致性]]></w:t>
                  </w:r>
                </w:p>
              </w:tc>
            </w:tr>
            <w:tr>
              <w:tc>
                <w:tcPr>
                  <w:tcW w:type="dxa" w:w="27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验证阶段</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验证方案交底</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从技术和业务两个维度编制验证方案，实现测试验证全覆盖，并组织相关人员进行方案交底</w:t>
                  </w:r>
                </w:p>
              </w:tc>
            </w:tr>
            <w:tr>
              <w:tc>
                <w:tcPr>
                  <w:tcW w:type="dxa" w:w="278"/>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技术验证执行</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组织技术人员对</w:t>
                  </w:r>
                  <w:r>
                    <w:rPr>
                      <w:rFonts w:ascii="仿宋_GB2312" w:hAnsi="仿宋_GB2312" w:cs="仿宋_GB2312" w:eastAsia="仿宋_GB2312"/>
                      <w:sz w:val="19"/>
                    </w:rPr>
                    <w:t>5大核心系统及正式、测试环境进行全面验证，检查参数配置与原配置的一致性，通过系统范围、接口访问、端口访问、数据量比对等技术手段，确认7套环境技术层面验证通过，记录checklist检查表，形成《技术验证报告》</w:t>
                  </w:r>
                </w:p>
              </w:tc>
            </w:tr>
            <w:tr>
              <w:tc>
                <w:tcPr>
                  <w:tcW w:type="dxa" w:w="278"/>
                  <w:vMerge/>
                  <w:tcBorders>
                    <w:top w:val="none" w:color="000000" w:sz="4"/>
                    <w:left w:val="single" w:color="000000" w:sz="4"/>
                    <w:bottom w:val="single" w:color="000000" w:sz="4"/>
                    <w:right w:val="single" w:color="000000" w:sz="4"/>
                  </w:tcBorders>
                </w:tcP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业务验证执行</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组织各业务部门对建设工程、交通水利相关业务功能进行全覆盖测试验证，确保系统内部功能使用正常、系统间业务协同顺畅、业务数据一致，验证完成后出具《业务功能验证报告》</w:t>
                  </w:r>
                </w:p>
              </w:tc>
            </w:tr>
            <w:tr>
              <w:tc>
                <w:tcPr>
                  <w:tcW w:type="dxa" w:w="2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试运行阶段</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试运行</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暂停原系统使用（不予回收），若新环境系统出现异常，对比新旧环境配置参数差异，定位并解决问题；&lt;br/&gt;2、组建应急保障小组，保障试运行期间系统正常运行，及时处置各类异常情况，确保业务流程顺畅；&lt;br/&gt;3、试运行结束后，出具《试运行报告》，确认迁移后各平台运行正常，满足业务开展需求</w:t>
                  </w:r>
                </w:p>
              </w:tc>
            </w:tr>
            <w:tr>
              <w:tc>
                <w:tcPr>
                  <w:tcW w:type="dxa" w:w="2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正式切换</w:t>
                  </w:r>
                </w:p>
              </w:tc>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w:t>
                  </w:r>
                </w:p>
              </w:tc>
              <w:tc>
                <w:tcPr>
                  <w:tcW w:type="dxa" w:w="2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19"/>
                    </w:rPr>
                    <w:t>1、试运行30天结束后，解散应急保障小组，系统恢复正常运维阶段；&lt;br/&gt;2、原系统服务器和数据继续保留30天后，按流程进行回收处理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日历天内完成所有服务内容并交付验收合格。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西安市公共资源交易中心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1、服务结束后，按照西安市信息化项目验收相关要求进行验收。 2、验收依据： （1）磋商文件、响应文件及合同文本。 （2）国家和行业制定的相应标准和规范。 （3）供应商出具的服务自检报告。 4、验收合格后，项目验收单作为对服务的最终认可。 5、供应商向采购人提交服务实施过程中的所有资料，以便采购人日后管理和维护。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1、合同违约责任按《中华人民共和国政府采购法》中的相关条款执行。 2、供应商未全面履行合同义务或发生违约，采购人有权终止合同，并依法向供应商进行经济索赔。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（一）保密要求 ：1、合同签订后，供应商与采购人签订《保密协议》，对履约期间了解到的采购人的信息、资料等进行严格保密，不得向他人泄露。合同的解除或终止不免除供应商应承担的保密义务。2、合同签订后，服务人员按照网络安全保障工作要求，提供《第三方技术支持、服务人员背景审查表》。 （二）其他 1、定标环节采购人有权对响应文件承诺响应的内容进行复核，如有虚假响应，一经发现，取消成交资格并上报财政主管部门，列入政府采购黑名单。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《投标函》完成承诺并进行电子签章。 1、具有独立承担民事责任的能力（企业法人应提供统 一社会信用代码的营业执照；事业法人应提供 事业单位法人证、组织机构代码证等证明文件 ；其他组织应提供合法证明文件；自然人提供身份证明文件）； 2、具有良好的商业信誉和健 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 详见附件）；4、有依法缴纳税收和社会保障资金的良好记录（提供开标前12个月内任一月份的社保和缴纳税收的证明，依法不需要缴纳社 会保障资金、免税或无须缴纳税款的供应商，应提供相关证明文件)；5、参加政府采购活动 前 3 年内在经营活动中没有重大违法记录的书 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具有良好的商业信誉和健全的财务会计制度，提供2024年度或2025年度经审计完整的财务审计报告（成立时间至提交响应文件截止时间不足一年的可提供成立后任 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投标人存在单位负责人为同一人或者存在直接控股、管理关系的，则投标无效。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（1）付款方式、服务期限是否完全响应；（2）响应文件有效期是否合格；</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服务方案及供应商认为需要提供的其他资料.docx 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服务要求响应性审查</w:t>
            </w:r>
          </w:p>
        </w:tc>
        <w:tc>
          <w:tcPr>
            <w:tcW w:type="dxa" w:w="3322"/>
          </w:tcPr>
          <w:p>
            <w:pPr>
              <w:pStyle w:val="null3"/>
            </w:pPr>
            <w:r>
              <w:rPr>
                <w:rFonts w:ascii="仿宋_GB2312" w:hAnsi="仿宋_GB2312" w:cs="仿宋_GB2312" w:eastAsia="仿宋_GB2312"/>
              </w:rPr>
              <w:t>磋商响应文件是否满足采购要求</w:t>
            </w:r>
          </w:p>
        </w:tc>
        <w:tc>
          <w:tcPr>
            <w:tcW w:type="dxa" w:w="1661"/>
          </w:tcPr>
          <w:p>
            <w:pPr>
              <w:pStyle w:val="null3"/>
            </w:pPr>
            <w:r>
              <w:rPr>
                <w:rFonts w:ascii="仿宋_GB2312" w:hAnsi="仿宋_GB2312" w:cs="仿宋_GB2312" w:eastAsia="仿宋_GB2312"/>
              </w:rPr>
              <w:t>服务方案及供应商认为需要提供的其他资料.docx 商务及技术要求偏离表.docx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服务方案及供应商认为需要提供的其他资料.docx 商务及技术要求偏离表.docx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服务方案-1.需求理解与分析</w:t>
            </w:r>
          </w:p>
        </w:tc>
        <w:tc>
          <w:tcPr>
            <w:tcW w:type="dxa" w:w="2492"/>
          </w:tcPr>
          <w:p>
            <w:pPr>
              <w:pStyle w:val="null3"/>
            </w:pPr>
            <w:r>
              <w:rPr>
                <w:rFonts w:ascii="仿宋_GB2312" w:hAnsi="仿宋_GB2312" w:cs="仿宋_GB2312" w:eastAsia="仿宋_GB2312"/>
              </w:rPr>
              <w:t>供应商需充分理解项目背景，对本项目迁移服务需求有深入分析，对设计的各系统现状理解透彻，熟知平台用户对象、了解平台部署架构。（1）方案切实可行、完整合理、无缺项，可行性强，完全满足磋商文件要求。得8分；（2）方案基本满足采购需求，有一定的针对性和较好的可行性，较好满足采购要求。得5分；（3）方案设计有缺失，可行性一般。得2分；（4）供应商未提供上述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服务方案-2.核心平台迁移方案</w:t>
            </w:r>
          </w:p>
        </w:tc>
        <w:tc>
          <w:tcPr>
            <w:tcW w:type="dxa" w:w="2492"/>
          </w:tcPr>
          <w:p>
            <w:pPr>
              <w:pStyle w:val="null3"/>
            </w:pPr>
            <w:r>
              <w:rPr>
                <w:rFonts w:ascii="仿宋_GB2312" w:hAnsi="仿宋_GB2312" w:cs="仿宋_GB2312" w:eastAsia="仿宋_GB2312"/>
              </w:rPr>
              <w:t>供应商需针对本项目提供具体的迁移服务方案，包括：①工程建设交易平台（房建市政）、②交通水利交易平台、③工程建设开评标系统。 方案需要符合系统日常运行及迁移需要，磋商小组根据供应商提供的方案是否详细、满足实际需求逐个进行打分，每一项服务内容最高得5分，共计15分。 每项服务内容详细全面得5分，每项服务方案基本满足采购需求得3分，每项方案有缺项与采购需求出入较大得1分；方案不提供不得分。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服务方案-3.关联系统及第三方对接服务方案</w:t>
            </w:r>
          </w:p>
        </w:tc>
        <w:tc>
          <w:tcPr>
            <w:tcW w:type="dxa" w:w="2492"/>
          </w:tcPr>
          <w:p>
            <w:pPr>
              <w:pStyle w:val="null3"/>
            </w:pPr>
            <w:r>
              <w:rPr>
                <w:rFonts w:ascii="仿宋_GB2312" w:hAnsi="仿宋_GB2312" w:cs="仿宋_GB2312" w:eastAsia="仿宋_GB2312"/>
              </w:rPr>
              <w:t>供应商需针对本项目提供具体的关联系统及第三方对接服务方案，包括：①关联系统：文件服务器、运维服务器、各类前置机（nginx代理、工行前置机等）、与电子政务外网互联互通的各类应用系统； ②第三方对接：包含所有与外部单位对接的接口联调与配置迁移，涉及外部单位有陕西省监管平台、陕西省中心门户、西安发改委一体化平台、信用中国、各大银行、CA认证机构、西安市黄河流域平台、天宇系统、金服平台等。 磋商小组根据供应商提供的方案是否详细、满足实际需求逐个进行打分，每一项服务内容最高得7分，共计14分。 每项服务内容详细全面得7分，每项服务方案基本满足采购需求得4分，每项方案有缺项与采购需求出入较大得2分；方案不提供不得分。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服务方案-4.应急保障方案</w:t>
            </w:r>
          </w:p>
        </w:tc>
        <w:tc>
          <w:tcPr>
            <w:tcW w:type="dxa" w:w="2492"/>
          </w:tcPr>
          <w:p>
            <w:pPr>
              <w:pStyle w:val="null3"/>
            </w:pPr>
            <w:r>
              <w:rPr>
                <w:rFonts w:ascii="仿宋_GB2312" w:hAnsi="仿宋_GB2312" w:cs="仿宋_GB2312" w:eastAsia="仿宋_GB2312"/>
              </w:rPr>
              <w:t>根据响应文件提供的应急保障方案制定的详细程度及合理周密性进行综合评分。 （1）方案切实可行、完整合理、无缺项，可行性强，完全满足磋商文件要求。得6分；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服务方案-5.培训方案</w:t>
            </w:r>
          </w:p>
        </w:tc>
        <w:tc>
          <w:tcPr>
            <w:tcW w:type="dxa" w:w="2492"/>
          </w:tcPr>
          <w:p>
            <w:pPr>
              <w:pStyle w:val="null3"/>
            </w:pPr>
            <w:r>
              <w:rPr>
                <w:rFonts w:ascii="仿宋_GB2312" w:hAnsi="仿宋_GB2312" w:cs="仿宋_GB2312" w:eastAsia="仿宋_GB2312"/>
              </w:rPr>
              <w:t>根据响应文件提供的培训方案（含：培训方式、培训人员、培训内容、培训计划）进行综合评分。（1）方案切实可行、完整合理、无缺项，可行性强，完全满足磋商文件要求。得6分； （2）方案基本完整，有一定的针对性和较好的可行性，完全满足采购要求，得4分；（3）方案设计有缺项，可行性一般。得2分；（4）供应商未提供上述内容不得分。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服务方案-6.安全设计建议方案</w:t>
            </w:r>
          </w:p>
        </w:tc>
        <w:tc>
          <w:tcPr>
            <w:tcW w:type="dxa" w:w="2492"/>
          </w:tcPr>
          <w:p>
            <w:pPr>
              <w:pStyle w:val="null3"/>
            </w:pPr>
            <w:r>
              <w:rPr>
                <w:rFonts w:ascii="仿宋_GB2312" w:hAnsi="仿宋_GB2312" w:cs="仿宋_GB2312" w:eastAsia="仿宋_GB2312"/>
              </w:rPr>
              <w:t>针对项目需提供合理、详尽的安全设计建议方案，至少需要包含物理安全、网络安全、应用安全、数据安全。（1）方案切实可行、完整合理、无缺项，可行性强，完全满足磋商文件要求。得6分；（2）方案基本完整，有一定的针对性和较好的可行性，完全满足采购要求，得4分；（3）方案设计有缺项，可行性一般。得2分；（4）供应商未提供上述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企业能力-1</w:t>
            </w:r>
          </w:p>
        </w:tc>
        <w:tc>
          <w:tcPr>
            <w:tcW w:type="dxa" w:w="2492"/>
          </w:tcPr>
          <w:p>
            <w:pPr>
              <w:pStyle w:val="null3"/>
            </w:pPr>
            <w:r>
              <w:rPr>
                <w:rFonts w:ascii="仿宋_GB2312" w:hAnsi="仿宋_GB2312" w:cs="仿宋_GB2312" w:eastAsia="仿宋_GB2312"/>
              </w:rPr>
              <w:t>1、供应商具有信息系统建设和服务能力评估体系能力证书、信息安全服务资质认证证书，提供一项得3分，最高得6分（需提供证书复印件加盖公章） 2、供应商具有ISO45001职业健康安全管理体系、ISO20000信息技术服务管理体系认证证书，提供1个证书得1分，满分2分。 （注：以上需提供证书复印件加盖供应商公章）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企业能力-2</w:t>
            </w:r>
          </w:p>
        </w:tc>
        <w:tc>
          <w:tcPr>
            <w:tcW w:type="dxa" w:w="2492"/>
          </w:tcPr>
          <w:p>
            <w:pPr>
              <w:pStyle w:val="null3"/>
            </w:pPr>
            <w:r>
              <w:rPr>
                <w:rFonts w:ascii="仿宋_GB2312" w:hAnsi="仿宋_GB2312" w:cs="仿宋_GB2312" w:eastAsia="仿宋_GB2312"/>
              </w:rPr>
              <w:t>供应商具有国家版权局颁发的交易平台或工程招投标类著作权登记证书。提供一项得2.5分，最高得5分（需提供复印件加盖公章）。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1、拟派项目经理具有信息系统项目管理师（高级）得3分，没有不得分； 2、供应商拟配备的项目团队成员具有人社或工信部门颁发的以下证书：软件评测师证、系统架构设计师证、系统分析师证、网络工程师证、软件设计师证、数据库系统工程师证、信息系统项目管理师证，提供一项得1分，最高得7分，不提供不得分。（注：①须提供证书复印件加盖供应商公章；②同一人的多份证书只计一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本项目实际情况提供近三年（2023年1月1日至今）以来的同类项目建设或搬迁服务业绩，提供1份业绩得4分，最高8分。（提供项目中标/成交通知书或合同复印件，不提供不得分，业绩时间以合同签订时间或中标/成交通知书落款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采购人提供及时的售后服务，并根据采购需求提供相应售后服务措施；提供售后服务机构证明文件，如购房合同或租房合同复印件加盖供应商公章等。（1）售后服务机构证明文件齐全有效且售后服务措施完善完全符合采购需求，可行性较高，得4分；（2）售后服务措施较完整基本满足采购需求，机构证明文件提供不全的。得2分；（3）售后服务措施提供与采购需求偏差较大，机构证明文件未提供，得1分；（4）供应商未提供上述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 磋商报价得分=（磋商基准价/磋商报价）×价格权值×10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详见附件：服务方案及供应商认为需要提供的其他资料.docx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