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C26FE8">
      <w:pPr>
        <w:pStyle w:val="9"/>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b/>
          <w:sz w:val="32"/>
          <w:szCs w:val="32"/>
          <w:lang w:val="en-US" w:eastAsia="zh-CN"/>
        </w:rPr>
      </w:pPr>
      <w:r>
        <w:rPr>
          <w:rFonts w:hint="eastAsia" w:ascii="宋体" w:hAnsi="宋体" w:cs="宋体"/>
          <w:b/>
          <w:sz w:val="32"/>
          <w:szCs w:val="32"/>
        </w:rPr>
        <w:t>采购项目编号：</w:t>
      </w:r>
      <w:bookmarkStart w:id="0" w:name="OLE_LINK30"/>
      <w:r>
        <w:rPr>
          <w:rFonts w:hint="eastAsia" w:ascii="宋体" w:hAnsi="宋体" w:cs="宋体"/>
          <w:b/>
          <w:sz w:val="32"/>
          <w:szCs w:val="32"/>
          <w:lang w:eastAsia="zh-CN"/>
        </w:rPr>
        <w:t>JTD-2026-CG-0303.1B1</w:t>
      </w:r>
      <w:bookmarkStart w:id="242" w:name="_GoBack"/>
      <w:bookmarkEnd w:id="242"/>
    </w:p>
    <w:bookmarkEnd w:id="0"/>
    <w:p w14:paraId="538AFF20">
      <w:pPr>
        <w:rPr>
          <w:rFonts w:hint="eastAsia"/>
        </w:rPr>
      </w:pPr>
    </w:p>
    <w:p w14:paraId="49A8653C">
      <w:pPr>
        <w:keepNext w:val="0"/>
        <w:keepLines w:val="0"/>
        <w:pageBreakBefore w:val="0"/>
        <w:widowControl w:val="0"/>
        <w:kinsoku/>
        <w:wordWrap/>
        <w:overflowPunct/>
        <w:topLinePunct w:val="0"/>
        <w:bidi w:val="0"/>
        <w:adjustRightInd/>
        <w:snapToGrid/>
        <w:spacing w:line="360" w:lineRule="auto"/>
        <w:jc w:val="both"/>
        <w:textAlignment w:val="auto"/>
        <w:rPr>
          <w:rFonts w:hint="eastAsia" w:ascii="宋体" w:hAnsi="宋体" w:eastAsia="宋体" w:cs="宋体"/>
          <w:b/>
          <w:sz w:val="44"/>
          <w:szCs w:val="44"/>
          <w:lang w:eastAsia="zh-CN"/>
        </w:rPr>
      </w:pPr>
    </w:p>
    <w:p w14:paraId="48052180">
      <w:pPr>
        <w:pStyle w:val="21"/>
        <w:jc w:val="center"/>
        <w:rPr>
          <w:rFonts w:hint="eastAsia"/>
          <w:lang w:eastAsia="zh-CN"/>
        </w:rPr>
      </w:pPr>
    </w:p>
    <w:p w14:paraId="2089FC7A">
      <w:pPr>
        <w:jc w:val="center"/>
        <w:rPr>
          <w:rFonts w:hint="eastAsia"/>
        </w:rPr>
      </w:pPr>
      <w:r>
        <w:rPr>
          <w:rFonts w:hint="eastAsia" w:ascii="宋体" w:hAnsi="宋体" w:cs="宋体"/>
          <w:b/>
          <w:bCs/>
          <w:sz w:val="44"/>
          <w:szCs w:val="44"/>
          <w:lang w:eastAsia="zh-CN"/>
        </w:rPr>
        <w:t>榆林职业技术学院煤化工技术专业（群）教学资源库建设采购项目（二次）</w:t>
      </w:r>
    </w:p>
    <w:p w14:paraId="45C9656D">
      <w:pPr>
        <w:rPr>
          <w:rFonts w:hint="eastAsia"/>
        </w:rPr>
      </w:pPr>
    </w:p>
    <w:p w14:paraId="5A050E93">
      <w:pPr>
        <w:rPr>
          <w:rFonts w:hint="eastAsia"/>
        </w:rPr>
      </w:pPr>
    </w:p>
    <w:p w14:paraId="1E1A98C2">
      <w:pPr>
        <w:widowControl/>
        <w:jc w:val="center"/>
        <w:rPr>
          <w:rFonts w:hint="eastAsia" w:ascii="宋体" w:hAnsi="宋体" w:cs="宋体"/>
          <w:b/>
          <w:sz w:val="96"/>
          <w:szCs w:val="96"/>
        </w:rPr>
      </w:pPr>
    </w:p>
    <w:p w14:paraId="13B3638F">
      <w:pPr>
        <w:widowControl/>
        <w:jc w:val="center"/>
        <w:rPr>
          <w:rFonts w:hint="eastAsia" w:ascii="宋体" w:hAnsi="宋体" w:cs="宋体"/>
          <w:b/>
          <w:sz w:val="96"/>
          <w:szCs w:val="96"/>
        </w:rPr>
      </w:pPr>
      <w:r>
        <w:rPr>
          <w:rFonts w:hint="eastAsia" w:ascii="宋体" w:hAnsi="宋体" w:cs="宋体"/>
          <w:b/>
          <w:sz w:val="96"/>
          <w:szCs w:val="96"/>
        </w:rPr>
        <w:t>竞争性磋商文件</w:t>
      </w:r>
    </w:p>
    <w:p w14:paraId="6F6A0F9A">
      <w:pPr>
        <w:pStyle w:val="5"/>
        <w:rPr>
          <w:rFonts w:hint="eastAsia"/>
          <w:bCs w:val="0"/>
        </w:rPr>
      </w:pPr>
    </w:p>
    <w:p w14:paraId="25AFF237">
      <w:pPr>
        <w:autoSpaceDE w:val="0"/>
        <w:autoSpaceDN w:val="0"/>
        <w:snapToGrid w:val="0"/>
        <w:spacing w:line="900" w:lineRule="exact"/>
        <w:rPr>
          <w:rFonts w:hint="eastAsia" w:ascii="宋体" w:hAnsi="宋体" w:cs="宋体"/>
          <w:b/>
          <w:sz w:val="32"/>
          <w:szCs w:val="32"/>
        </w:rPr>
      </w:pPr>
    </w:p>
    <w:p w14:paraId="3A2E1B59">
      <w:pPr>
        <w:pStyle w:val="29"/>
        <w:rPr>
          <w:rFonts w:ascii="宋体" w:hAnsi="宋体" w:cs="宋体"/>
          <w:b/>
        </w:rPr>
      </w:pPr>
    </w:p>
    <w:p w14:paraId="7A4CF0F3">
      <w:pPr>
        <w:pStyle w:val="29"/>
        <w:rPr>
          <w:rFonts w:ascii="宋体" w:hAnsi="宋体" w:cs="宋体"/>
          <w:b/>
        </w:rPr>
      </w:pPr>
    </w:p>
    <w:p w14:paraId="26A20C72">
      <w:pPr>
        <w:pStyle w:val="29"/>
        <w:rPr>
          <w:rFonts w:ascii="宋体" w:hAnsi="宋体" w:cs="宋体"/>
          <w:b/>
        </w:rPr>
      </w:pPr>
    </w:p>
    <w:p w14:paraId="57C239DC">
      <w:pPr>
        <w:spacing w:line="800" w:lineRule="exact"/>
        <w:ind w:firstLine="1928" w:firstLineChars="600"/>
        <w:jc w:val="left"/>
        <w:rPr>
          <w:rFonts w:hint="eastAsia" w:ascii="宋体" w:hAnsi="宋体" w:eastAsia="宋体" w:cs="宋体"/>
          <w:b/>
          <w:bCs/>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采   购   人</w:t>
      </w: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lang w:eastAsia="zh-CN"/>
        </w:rPr>
        <w:t>榆林职业技术学院</w:t>
      </w:r>
    </w:p>
    <w:p w14:paraId="1F63340B">
      <w:pPr>
        <w:spacing w:line="800" w:lineRule="exact"/>
        <w:ind w:firstLine="1928" w:firstLineChars="600"/>
        <w:jc w:val="both"/>
        <w:rPr>
          <w:rFonts w:hint="default" w:ascii="宋体" w:hAnsi="宋体" w:eastAsia="宋体" w:cs="宋体"/>
          <w:color w:val="auto"/>
          <w:kern w:val="0"/>
          <w:sz w:val="32"/>
          <w:szCs w:val="32"/>
          <w:highlight w:val="none"/>
          <w:lang w:val="en-US" w:eastAsia="zh-CN"/>
        </w:rPr>
      </w:pPr>
      <w:r>
        <w:rPr>
          <w:rFonts w:hint="eastAsia" w:ascii="宋体" w:hAnsi="宋体" w:eastAsia="宋体" w:cs="宋体"/>
          <w:b/>
          <w:color w:val="auto"/>
          <w:sz w:val="32"/>
          <w:szCs w:val="32"/>
          <w:highlight w:val="none"/>
        </w:rPr>
        <w:t>招标代理机</w:t>
      </w:r>
      <w:r>
        <w:rPr>
          <w:rFonts w:hint="eastAsia" w:ascii="宋体" w:hAnsi="宋体" w:eastAsia="宋体" w:cs="宋体"/>
          <w:b/>
          <w:bCs/>
          <w:color w:val="auto"/>
          <w:sz w:val="32"/>
          <w:szCs w:val="32"/>
          <w:highlight w:val="none"/>
        </w:rPr>
        <w:t>构：</w:t>
      </w:r>
      <w:r>
        <w:rPr>
          <w:rFonts w:hint="eastAsia" w:ascii="宋体" w:hAnsi="宋体" w:cs="宋体"/>
          <w:b/>
          <w:bCs/>
          <w:color w:val="auto"/>
          <w:sz w:val="32"/>
          <w:szCs w:val="32"/>
          <w:highlight w:val="none"/>
          <w:lang w:val="en-US" w:eastAsia="zh-CN"/>
        </w:rPr>
        <w:t>陕西九图达项目管理有限公司</w:t>
      </w:r>
    </w:p>
    <w:p w14:paraId="4EA2A835">
      <w:pPr>
        <w:spacing w:line="300" w:lineRule="exact"/>
        <w:jc w:val="center"/>
        <w:rPr>
          <w:rFonts w:hint="eastAsia" w:ascii="宋体" w:hAnsi="宋体" w:eastAsia="宋体" w:cs="宋体"/>
          <w:color w:val="auto"/>
          <w:kern w:val="0"/>
          <w:sz w:val="32"/>
          <w:szCs w:val="32"/>
          <w:highlight w:val="none"/>
        </w:rPr>
      </w:pPr>
    </w:p>
    <w:p w14:paraId="6AB2C897">
      <w:pPr>
        <w:spacing w:line="720" w:lineRule="auto"/>
        <w:ind w:firstLine="1928" w:firstLineChars="600"/>
        <w:jc w:val="both"/>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eastAsia="zh-CN"/>
        </w:rPr>
        <w:t>编</w:t>
      </w:r>
      <w:r>
        <w:rPr>
          <w:rFonts w:hint="eastAsia" w:ascii="宋体" w:hAnsi="宋体" w:eastAsia="宋体" w:cs="宋体"/>
          <w:b/>
          <w:color w:val="auto"/>
          <w:sz w:val="32"/>
          <w:szCs w:val="32"/>
          <w:lang w:val="en-US" w:eastAsia="zh-CN"/>
        </w:rPr>
        <w:t xml:space="preserve"> </w:t>
      </w:r>
      <w:r>
        <w:rPr>
          <w:rFonts w:hint="eastAsia" w:ascii="宋体" w:hAnsi="宋体" w:eastAsia="宋体" w:cs="宋体"/>
          <w:b/>
          <w:color w:val="auto"/>
          <w:sz w:val="32"/>
          <w:szCs w:val="32"/>
          <w:lang w:eastAsia="zh-CN"/>
        </w:rPr>
        <w:t>制</w:t>
      </w:r>
      <w:r>
        <w:rPr>
          <w:rFonts w:hint="eastAsia" w:ascii="宋体" w:hAnsi="宋体" w:eastAsia="宋体" w:cs="宋体"/>
          <w:b/>
          <w:color w:val="auto"/>
          <w:sz w:val="32"/>
          <w:szCs w:val="32"/>
          <w:lang w:val="en-US" w:eastAsia="zh-CN"/>
        </w:rPr>
        <w:t xml:space="preserve"> </w:t>
      </w:r>
      <w:r>
        <w:rPr>
          <w:rFonts w:hint="eastAsia" w:ascii="宋体" w:hAnsi="宋体" w:eastAsia="宋体" w:cs="宋体"/>
          <w:b/>
          <w:color w:val="auto"/>
          <w:sz w:val="32"/>
          <w:szCs w:val="32"/>
          <w:lang w:eastAsia="zh-CN"/>
        </w:rPr>
        <w:t>日</w:t>
      </w:r>
      <w:r>
        <w:rPr>
          <w:rFonts w:hint="eastAsia" w:ascii="宋体" w:hAnsi="宋体" w:eastAsia="宋体" w:cs="宋体"/>
          <w:b/>
          <w:color w:val="auto"/>
          <w:sz w:val="32"/>
          <w:szCs w:val="32"/>
          <w:lang w:val="en-US" w:eastAsia="zh-CN"/>
        </w:rPr>
        <w:t xml:space="preserve"> </w:t>
      </w:r>
      <w:r>
        <w:rPr>
          <w:rFonts w:hint="eastAsia" w:ascii="宋体" w:hAnsi="宋体" w:eastAsia="宋体" w:cs="宋体"/>
          <w:b/>
          <w:color w:val="auto"/>
          <w:sz w:val="32"/>
          <w:szCs w:val="32"/>
          <w:lang w:eastAsia="zh-CN"/>
        </w:rPr>
        <w:t>期</w:t>
      </w:r>
      <w:r>
        <w:rPr>
          <w:rFonts w:hint="eastAsia" w:ascii="宋体" w:hAnsi="宋体" w:eastAsia="宋体" w:cs="宋体"/>
          <w:b/>
          <w:color w:val="auto"/>
          <w:sz w:val="32"/>
          <w:szCs w:val="32"/>
        </w:rPr>
        <w:t>：二〇二</w:t>
      </w:r>
      <w:r>
        <w:rPr>
          <w:rFonts w:hint="eastAsia" w:ascii="宋体" w:hAnsi="宋体" w:cs="宋体"/>
          <w:b/>
          <w:color w:val="auto"/>
          <w:sz w:val="32"/>
          <w:szCs w:val="32"/>
          <w:lang w:val="en-US" w:eastAsia="zh-CN"/>
        </w:rPr>
        <w:t>六</w:t>
      </w:r>
      <w:r>
        <w:rPr>
          <w:rFonts w:hint="eastAsia" w:ascii="宋体" w:hAnsi="宋体" w:eastAsia="宋体" w:cs="宋体"/>
          <w:b/>
          <w:color w:val="auto"/>
          <w:sz w:val="32"/>
          <w:szCs w:val="32"/>
        </w:rPr>
        <w:t>年</w:t>
      </w:r>
      <w:r>
        <w:rPr>
          <w:rFonts w:hint="eastAsia" w:ascii="宋体" w:hAnsi="宋体" w:cs="宋体"/>
          <w:b/>
          <w:color w:val="auto"/>
          <w:sz w:val="32"/>
          <w:szCs w:val="32"/>
          <w:lang w:val="en-US" w:eastAsia="zh-CN"/>
        </w:rPr>
        <w:t>五</w:t>
      </w:r>
      <w:r>
        <w:rPr>
          <w:rFonts w:hint="eastAsia" w:ascii="宋体" w:hAnsi="宋体" w:eastAsia="宋体" w:cs="宋体"/>
          <w:b/>
          <w:color w:val="auto"/>
          <w:sz w:val="32"/>
          <w:szCs w:val="32"/>
          <w:lang w:val="en-US" w:eastAsia="zh-CN"/>
        </w:rPr>
        <w:t>月</w:t>
      </w:r>
    </w:p>
    <w:p w14:paraId="132013F4">
      <w:pPr>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br w:type="page"/>
      </w:r>
    </w:p>
    <w:p w14:paraId="1DCF318E">
      <w:pPr>
        <w:pStyle w:val="21"/>
        <w:rPr>
          <w:rFonts w:hint="eastAsia"/>
          <w:lang w:val="en-US" w:eastAsia="zh-CN"/>
        </w:rPr>
      </w:pPr>
    </w:p>
    <w:p w14:paraId="3C4E5877">
      <w:pPr>
        <w:keepNext w:val="0"/>
        <w:keepLines w:val="0"/>
        <w:pageBreakBefore w:val="0"/>
        <w:kinsoku/>
        <w:wordWrap w:val="0"/>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eastAsia" w:ascii="宋体" w:hAnsi="宋体" w:eastAsia="宋体" w:cs="宋体"/>
          <w:b/>
          <w:bCs/>
          <w:color w:val="auto"/>
          <w:sz w:val="32"/>
          <w:szCs w:val="32"/>
        </w:rPr>
      </w:pPr>
      <w:r>
        <w:rPr>
          <w:rFonts w:hint="eastAsia" w:ascii="宋体" w:hAnsi="宋体" w:eastAsia="宋体" w:cs="宋体"/>
          <w:b/>
          <w:bCs/>
          <w:color w:val="auto"/>
          <w:sz w:val="32"/>
          <w:szCs w:val="32"/>
        </w:rPr>
        <w:t>目</w:t>
      </w:r>
      <w:r>
        <w:rPr>
          <w:rFonts w:hint="eastAsia" w:ascii="宋体" w:hAnsi="宋体" w:eastAsia="宋体" w:cs="宋体"/>
          <w:b/>
          <w:bCs/>
          <w:color w:val="auto"/>
          <w:sz w:val="32"/>
          <w:szCs w:val="32"/>
          <w:lang w:val="en-US" w:eastAsia="zh-CN"/>
        </w:rPr>
        <w:t xml:space="preserve">  </w:t>
      </w:r>
      <w:r>
        <w:rPr>
          <w:rFonts w:hint="eastAsia" w:ascii="宋体" w:hAnsi="宋体" w:eastAsia="宋体" w:cs="宋体"/>
          <w:b/>
          <w:bCs/>
          <w:color w:val="auto"/>
          <w:sz w:val="32"/>
          <w:szCs w:val="32"/>
        </w:rPr>
        <w:t>录</w:t>
      </w:r>
    </w:p>
    <w:p w14:paraId="4CC38862">
      <w:pPr>
        <w:pStyle w:val="30"/>
        <w:keepNext w:val="0"/>
        <w:keepLines w:val="0"/>
        <w:pageBreakBefore w:val="0"/>
        <w:tabs>
          <w:tab w:val="right" w:leader="dot" w:pos="8843"/>
        </w:tabs>
        <w:kinsoku/>
        <w:wordWrap w:val="0"/>
        <w:overflowPunct/>
        <w:topLinePunct w:val="0"/>
        <w:autoSpaceDE/>
        <w:autoSpaceDN/>
        <w:bidi w:val="0"/>
        <w:adjustRightInd/>
        <w:snapToGrid/>
        <w:spacing w:line="360" w:lineRule="auto"/>
        <w:jc w:val="both"/>
        <w:textAlignment w:val="auto"/>
        <w:rPr>
          <w:rFonts w:hint="eastAsia" w:ascii="宋体" w:hAnsi="宋体" w:eastAsia="宋体" w:cs="宋体"/>
          <w:color w:val="auto"/>
        </w:rPr>
      </w:pPr>
      <w:r>
        <w:rPr>
          <w:rFonts w:hint="eastAsia" w:ascii="宋体" w:hAnsi="宋体" w:eastAsia="宋体" w:cs="宋体"/>
          <w:color w:val="auto"/>
          <w:sz w:val="36"/>
        </w:rPr>
        <w:fldChar w:fldCharType="begin"/>
      </w:r>
      <w:r>
        <w:rPr>
          <w:rFonts w:hint="eastAsia" w:ascii="宋体" w:hAnsi="宋体" w:eastAsia="宋体" w:cs="宋体"/>
          <w:color w:val="auto"/>
          <w:sz w:val="36"/>
        </w:rPr>
        <w:instrText xml:space="preserve">TOC \o "1-1" \h \u </w:instrText>
      </w:r>
      <w:r>
        <w:rPr>
          <w:rFonts w:hint="eastAsia" w:ascii="宋体" w:hAnsi="宋体" w:eastAsia="宋体" w:cs="宋体"/>
          <w:color w:val="auto"/>
          <w:sz w:val="36"/>
        </w:rPr>
        <w:fldChar w:fldCharType="separate"/>
      </w:r>
    </w:p>
    <w:p w14:paraId="6D1C0E4E">
      <w:pPr>
        <w:pStyle w:val="30"/>
        <w:keepNext w:val="0"/>
        <w:keepLines w:val="0"/>
        <w:pageBreakBefore w:val="0"/>
        <w:tabs>
          <w:tab w:val="right" w:leader="dot" w:pos="8843"/>
        </w:tabs>
        <w:kinsoku/>
        <w:wordWrap w:val="0"/>
        <w:overflowPunct/>
        <w:topLinePunct w:val="0"/>
        <w:autoSpaceDE/>
        <w:autoSpaceDN/>
        <w:bidi w:val="0"/>
        <w:adjustRightInd/>
        <w:snapToGrid/>
        <w:spacing w:line="360" w:lineRule="auto"/>
        <w:jc w:val="both"/>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_Toc5407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lang w:val="en-US" w:eastAsia="zh-CN"/>
        </w:rPr>
        <w:t>第一章 磋商公告</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_Toc5407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3</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1ACF1028">
      <w:pPr>
        <w:pStyle w:val="30"/>
        <w:keepNext w:val="0"/>
        <w:keepLines w:val="0"/>
        <w:pageBreakBefore w:val="0"/>
        <w:tabs>
          <w:tab w:val="right" w:leader="dot" w:pos="8843"/>
        </w:tabs>
        <w:kinsoku/>
        <w:wordWrap w:val="0"/>
        <w:overflowPunct/>
        <w:topLinePunct w:val="0"/>
        <w:autoSpaceDE/>
        <w:autoSpaceDN/>
        <w:bidi w:val="0"/>
        <w:adjustRightInd/>
        <w:snapToGrid/>
        <w:spacing w:line="360" w:lineRule="auto"/>
        <w:jc w:val="both"/>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_Toc29208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lang w:val="en-US" w:eastAsia="zh-CN"/>
        </w:rPr>
        <w:t>第二章 供应商须知</w:t>
      </w:r>
      <w:r>
        <w:rPr>
          <w:rFonts w:hint="eastAsia" w:ascii="宋体" w:hAnsi="宋体" w:eastAsia="宋体" w:cs="宋体"/>
          <w:color w:val="auto"/>
          <w:sz w:val="28"/>
          <w:szCs w:val="28"/>
        </w:rPr>
        <w:tab/>
      </w: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rPr>
        <w:fldChar w:fldCharType="end"/>
      </w:r>
    </w:p>
    <w:p w14:paraId="1A5019C5">
      <w:pPr>
        <w:pStyle w:val="30"/>
        <w:keepNext w:val="0"/>
        <w:keepLines w:val="0"/>
        <w:pageBreakBefore w:val="0"/>
        <w:tabs>
          <w:tab w:val="right" w:leader="dot" w:pos="8843"/>
        </w:tabs>
        <w:kinsoku/>
        <w:wordWrap w:val="0"/>
        <w:overflowPunct/>
        <w:topLinePunct w:val="0"/>
        <w:autoSpaceDE/>
        <w:autoSpaceDN/>
        <w:bidi w:val="0"/>
        <w:adjustRightInd/>
        <w:snapToGrid/>
        <w:spacing w:line="360" w:lineRule="auto"/>
        <w:jc w:val="both"/>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_Toc17116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lang w:val="en-US" w:eastAsia="zh-CN"/>
        </w:rPr>
        <w:t>第三章 评审办法及标准</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_Toc17116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37</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2C1059B4">
      <w:pPr>
        <w:pStyle w:val="30"/>
        <w:keepNext w:val="0"/>
        <w:keepLines w:val="0"/>
        <w:pageBreakBefore w:val="0"/>
        <w:tabs>
          <w:tab w:val="right" w:leader="dot" w:pos="8843"/>
        </w:tabs>
        <w:kinsoku/>
        <w:wordWrap w:val="0"/>
        <w:overflowPunct/>
        <w:topLinePunct w:val="0"/>
        <w:autoSpaceDE/>
        <w:autoSpaceDN/>
        <w:bidi w:val="0"/>
        <w:adjustRightInd/>
        <w:snapToGrid/>
        <w:spacing w:line="360" w:lineRule="auto"/>
        <w:jc w:val="both"/>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_Toc18868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第</w:t>
      </w:r>
      <w:r>
        <w:rPr>
          <w:rFonts w:hint="eastAsia" w:ascii="宋体" w:hAnsi="宋体" w:eastAsia="宋体" w:cs="宋体"/>
          <w:color w:val="auto"/>
          <w:sz w:val="28"/>
          <w:szCs w:val="28"/>
          <w:lang w:val="en-US" w:eastAsia="zh-CN"/>
        </w:rPr>
        <w:t>四章 采购内容及要求</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_Toc18868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43</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3B0FBAA9">
      <w:pPr>
        <w:pStyle w:val="30"/>
        <w:keepNext w:val="0"/>
        <w:keepLines w:val="0"/>
        <w:pageBreakBefore w:val="0"/>
        <w:tabs>
          <w:tab w:val="right" w:leader="dot" w:pos="8843"/>
        </w:tabs>
        <w:kinsoku/>
        <w:wordWrap w:val="0"/>
        <w:overflowPunct/>
        <w:topLinePunct w:val="0"/>
        <w:autoSpaceDE/>
        <w:autoSpaceDN/>
        <w:bidi w:val="0"/>
        <w:adjustRightInd/>
        <w:snapToGrid/>
        <w:spacing w:line="360" w:lineRule="auto"/>
        <w:jc w:val="both"/>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_Toc31022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lang w:val="en-US" w:eastAsia="zh-CN"/>
        </w:rPr>
        <w:t>第五章 合同主要条款</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_Toc31022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52</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41926AAB">
      <w:pPr>
        <w:pStyle w:val="30"/>
        <w:keepNext w:val="0"/>
        <w:keepLines w:val="0"/>
        <w:pageBreakBefore w:val="0"/>
        <w:tabs>
          <w:tab w:val="right" w:leader="dot" w:pos="8843"/>
        </w:tabs>
        <w:kinsoku/>
        <w:wordWrap w:val="0"/>
        <w:overflowPunct/>
        <w:topLinePunct w:val="0"/>
        <w:autoSpaceDE/>
        <w:autoSpaceDN/>
        <w:bidi w:val="0"/>
        <w:adjustRightInd/>
        <w:snapToGrid/>
        <w:spacing w:line="360" w:lineRule="auto"/>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_Toc14767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lang w:val="en-US" w:eastAsia="zh-CN"/>
        </w:rPr>
        <w:t xml:space="preserve">第六章 </w:t>
      </w:r>
      <w:r>
        <w:rPr>
          <w:rFonts w:hint="eastAsia" w:ascii="宋体" w:hAnsi="宋体" w:eastAsia="宋体" w:cs="宋体"/>
          <w:color w:val="auto"/>
          <w:sz w:val="28"/>
          <w:szCs w:val="28"/>
        </w:rPr>
        <w:t>响应文件格式</w:t>
      </w:r>
      <w:r>
        <w:rPr>
          <w:rFonts w:hint="eastAsia" w:ascii="宋体" w:hAnsi="宋体" w:eastAsia="宋体" w:cs="宋体"/>
          <w:color w:val="auto"/>
          <w:sz w:val="28"/>
          <w:szCs w:val="28"/>
        </w:rPr>
        <w:tab/>
      </w: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lang w:val="en-US" w:eastAsia="zh-CN"/>
        </w:rPr>
        <w:t>8</w:t>
      </w:r>
    </w:p>
    <w:p w14:paraId="21828FBF">
      <w:pPr>
        <w:pStyle w:val="30"/>
        <w:keepNext w:val="0"/>
        <w:keepLines w:val="0"/>
        <w:pageBreakBefore w:val="0"/>
        <w:tabs>
          <w:tab w:val="right" w:leader="dot" w:pos="8843"/>
        </w:tabs>
        <w:kinsoku/>
        <w:wordWrap w:val="0"/>
        <w:overflowPunct/>
        <w:topLinePunct w:val="0"/>
        <w:autoSpaceDE/>
        <w:autoSpaceDN/>
        <w:bidi w:val="0"/>
        <w:adjustRightInd/>
        <w:snapToGrid/>
        <w:spacing w:line="360" w:lineRule="auto"/>
        <w:jc w:val="both"/>
        <w:textAlignment w:val="auto"/>
        <w:rPr>
          <w:rFonts w:hint="eastAsia" w:ascii="宋体" w:hAnsi="宋体" w:eastAsia="宋体" w:cs="宋体"/>
          <w:color w:val="auto"/>
        </w:rPr>
      </w:pPr>
    </w:p>
    <w:p w14:paraId="29AD4792">
      <w:pPr>
        <w:keepNext w:val="0"/>
        <w:keepLines w:val="0"/>
        <w:pageBreakBefore w:val="0"/>
        <w:tabs>
          <w:tab w:val="right" w:leader="hyphen" w:pos="8504"/>
        </w:tabs>
        <w:kinsoku/>
        <w:wordWrap w:val="0"/>
        <w:overflowPunct/>
        <w:topLinePunct w:val="0"/>
        <w:autoSpaceDE/>
        <w:autoSpaceDN/>
        <w:bidi w:val="0"/>
        <w:adjustRightInd/>
        <w:snapToGrid/>
        <w:spacing w:line="360" w:lineRule="auto"/>
        <w:ind w:left="420" w:leftChars="200" w:right="630" w:rightChars="300" w:firstLine="420" w:firstLineChars="200"/>
        <w:jc w:val="both"/>
        <w:textAlignment w:val="auto"/>
        <w:rPr>
          <w:rFonts w:hint="eastAsia" w:ascii="宋体" w:hAnsi="宋体" w:eastAsia="宋体" w:cs="宋体"/>
          <w:color w:val="auto"/>
          <w:sz w:val="36"/>
        </w:rPr>
      </w:pPr>
      <w:r>
        <w:rPr>
          <w:rFonts w:hint="eastAsia" w:ascii="宋体" w:hAnsi="宋体" w:eastAsia="宋体" w:cs="宋体"/>
          <w:color w:val="auto"/>
        </w:rPr>
        <w:fldChar w:fldCharType="end"/>
      </w:r>
    </w:p>
    <w:p w14:paraId="0D7AD92D">
      <w:pPr>
        <w:pStyle w:val="9"/>
        <w:pageBreakBefore w:val="0"/>
        <w:kinsoku/>
        <w:wordWrap w:val="0"/>
        <w:overflowPunct/>
        <w:topLinePunct w:val="0"/>
        <w:autoSpaceDE/>
        <w:autoSpaceDN/>
        <w:bidi w:val="0"/>
        <w:rPr>
          <w:rFonts w:hint="eastAsia" w:ascii="宋体" w:hAnsi="宋体" w:eastAsia="宋体" w:cs="宋体"/>
          <w:color w:val="auto"/>
          <w:sz w:val="36"/>
        </w:rPr>
      </w:pPr>
    </w:p>
    <w:p w14:paraId="6871571C">
      <w:pPr>
        <w:pageBreakBefore w:val="0"/>
        <w:kinsoku/>
        <w:wordWrap w:val="0"/>
        <w:overflowPunct/>
        <w:topLinePunct w:val="0"/>
        <w:autoSpaceDE/>
        <w:autoSpaceDN/>
        <w:bidi w:val="0"/>
        <w:rPr>
          <w:rFonts w:hint="eastAsia" w:ascii="宋体" w:hAnsi="宋体" w:eastAsia="宋体" w:cs="宋体"/>
          <w:color w:val="auto"/>
          <w:sz w:val="36"/>
        </w:rPr>
      </w:pPr>
    </w:p>
    <w:p w14:paraId="2211A544">
      <w:pPr>
        <w:pStyle w:val="9"/>
        <w:pageBreakBefore w:val="0"/>
        <w:kinsoku/>
        <w:wordWrap w:val="0"/>
        <w:overflowPunct/>
        <w:topLinePunct w:val="0"/>
        <w:autoSpaceDE/>
        <w:autoSpaceDN/>
        <w:bidi w:val="0"/>
        <w:rPr>
          <w:rFonts w:hint="eastAsia" w:ascii="宋体" w:hAnsi="宋体" w:eastAsia="宋体" w:cs="宋体"/>
          <w:color w:val="auto"/>
          <w:sz w:val="36"/>
        </w:rPr>
      </w:pPr>
    </w:p>
    <w:p w14:paraId="4CDBD095">
      <w:pPr>
        <w:pageBreakBefore w:val="0"/>
        <w:kinsoku/>
        <w:wordWrap w:val="0"/>
        <w:overflowPunct/>
        <w:topLinePunct w:val="0"/>
        <w:autoSpaceDE/>
        <w:autoSpaceDN/>
        <w:bidi w:val="0"/>
        <w:rPr>
          <w:rFonts w:hint="eastAsia" w:ascii="宋体" w:hAnsi="宋体" w:eastAsia="宋体" w:cs="宋体"/>
          <w:color w:val="auto"/>
          <w:sz w:val="36"/>
        </w:rPr>
      </w:pPr>
    </w:p>
    <w:p w14:paraId="7D7ABF55">
      <w:pPr>
        <w:pStyle w:val="9"/>
        <w:pageBreakBefore w:val="0"/>
        <w:kinsoku/>
        <w:wordWrap w:val="0"/>
        <w:overflowPunct/>
        <w:topLinePunct w:val="0"/>
        <w:autoSpaceDE/>
        <w:autoSpaceDN/>
        <w:bidi w:val="0"/>
        <w:rPr>
          <w:rFonts w:hint="eastAsia" w:ascii="宋体" w:hAnsi="宋体" w:eastAsia="宋体" w:cs="宋体"/>
          <w:color w:val="auto"/>
          <w:sz w:val="36"/>
        </w:rPr>
      </w:pPr>
    </w:p>
    <w:p w14:paraId="4685AD4C">
      <w:pPr>
        <w:pageBreakBefore w:val="0"/>
        <w:kinsoku/>
        <w:wordWrap w:val="0"/>
        <w:overflowPunct/>
        <w:topLinePunct w:val="0"/>
        <w:autoSpaceDE/>
        <w:autoSpaceDN/>
        <w:bidi w:val="0"/>
        <w:rPr>
          <w:rFonts w:hint="eastAsia" w:ascii="宋体" w:hAnsi="宋体" w:eastAsia="宋体" w:cs="宋体"/>
          <w:color w:val="auto"/>
          <w:sz w:val="36"/>
        </w:rPr>
      </w:pPr>
    </w:p>
    <w:p w14:paraId="7305F0EA">
      <w:pPr>
        <w:pStyle w:val="9"/>
        <w:pageBreakBefore w:val="0"/>
        <w:kinsoku/>
        <w:wordWrap w:val="0"/>
        <w:overflowPunct/>
        <w:topLinePunct w:val="0"/>
        <w:autoSpaceDE/>
        <w:autoSpaceDN/>
        <w:bidi w:val="0"/>
        <w:rPr>
          <w:rFonts w:hint="eastAsia" w:ascii="宋体" w:hAnsi="宋体" w:eastAsia="宋体" w:cs="宋体"/>
          <w:color w:val="auto"/>
        </w:rPr>
      </w:pPr>
    </w:p>
    <w:p w14:paraId="6F00A2D7">
      <w:pPr>
        <w:pStyle w:val="2"/>
        <w:pageBreakBefore w:val="0"/>
        <w:kinsoku/>
        <w:wordWrap w:val="0"/>
        <w:overflowPunct/>
        <w:topLinePunct w:val="0"/>
        <w:autoSpaceDE/>
        <w:autoSpaceDN/>
        <w:bidi w:val="0"/>
        <w:jc w:val="center"/>
        <w:rPr>
          <w:rFonts w:hint="eastAsia" w:ascii="宋体" w:hAnsi="宋体" w:eastAsia="宋体" w:cs="宋体"/>
          <w:color w:val="auto"/>
          <w:lang w:val="en-US" w:eastAsia="zh-CN"/>
        </w:rPr>
        <w:sectPr>
          <w:headerReference r:id="rId3" w:type="default"/>
          <w:footerReference r:id="rId4" w:type="default"/>
          <w:pgSz w:w="11905" w:h="16838"/>
          <w:pgMar w:top="1247" w:right="1531" w:bottom="1020" w:left="1531" w:header="680" w:footer="567" w:gutter="0"/>
          <w:pgNumType w:fmt="decimal" w:start="1"/>
          <w:cols w:space="720" w:num="1"/>
          <w:rtlGutter w:val="0"/>
          <w:docGrid w:linePitch="0" w:charSpace="0"/>
        </w:sectPr>
      </w:pPr>
      <w:bookmarkStart w:id="1" w:name="_Toc5407"/>
      <w:bookmarkStart w:id="2" w:name="_Toc2639"/>
    </w:p>
    <w:p w14:paraId="4572A79A">
      <w:pPr>
        <w:pStyle w:val="2"/>
        <w:pageBreakBefore w:val="0"/>
        <w:kinsoku/>
        <w:wordWrap w:val="0"/>
        <w:overflowPunct/>
        <w:topLinePunct w:val="0"/>
        <w:autoSpaceDE/>
        <w:autoSpaceDN/>
        <w:bidi w:val="0"/>
        <w:jc w:val="center"/>
        <w:rPr>
          <w:rFonts w:hint="eastAsia" w:ascii="宋体" w:hAnsi="宋体" w:cs="宋体"/>
          <w:b/>
          <w:bCs/>
          <w:sz w:val="36"/>
          <w:szCs w:val="28"/>
        </w:rPr>
      </w:pPr>
      <w:r>
        <w:rPr>
          <w:rFonts w:hint="eastAsia" w:ascii="宋体" w:hAnsi="宋体" w:eastAsia="宋体" w:cs="宋体"/>
          <w:color w:val="auto"/>
          <w:lang w:val="en-US" w:eastAsia="zh-CN"/>
        </w:rPr>
        <w:t>第一章 竞争性磋商公告</w:t>
      </w:r>
      <w:bookmarkEnd w:id="1"/>
      <w:bookmarkEnd w:id="2"/>
      <w:bookmarkStart w:id="3" w:name="_Toc13560"/>
    </w:p>
    <w:p w14:paraId="4C4A0C0D">
      <w:pPr>
        <w:pStyle w:val="36"/>
        <w:spacing w:line="480" w:lineRule="exact"/>
        <w:jc w:val="center"/>
      </w:pPr>
      <w:r>
        <w:rPr>
          <w:rFonts w:hint="eastAsia" w:ascii="仿宋_GB2312" w:hAnsi="仿宋_GB2312" w:eastAsia="仿宋_GB2312" w:cs="仿宋_GB2312"/>
          <w:b/>
          <w:sz w:val="36"/>
          <w:lang w:eastAsia="zh-CN"/>
        </w:rPr>
        <w:t>榆林职业技术学院煤化工技术专业（群）教学资源库建设采购项目（二次）</w:t>
      </w:r>
      <w:r>
        <w:rPr>
          <w:rFonts w:ascii="仿宋_GB2312" w:hAnsi="仿宋_GB2312" w:eastAsia="仿宋_GB2312" w:cs="仿宋_GB2312"/>
          <w:b/>
          <w:sz w:val="36"/>
        </w:rPr>
        <w:t>竞争性磋商公告</w:t>
      </w:r>
    </w:p>
    <w:p w14:paraId="0765657E">
      <w:pPr>
        <w:pStyle w:val="36"/>
        <w:outlineLvl w:val="5"/>
        <w:rPr>
          <w:sz w:val="24"/>
          <w:szCs w:val="24"/>
        </w:rPr>
      </w:pPr>
      <w:r>
        <w:rPr>
          <w:rFonts w:ascii="仿宋_GB2312" w:hAnsi="仿宋_GB2312" w:eastAsia="仿宋_GB2312" w:cs="仿宋_GB2312"/>
          <w:b/>
          <w:sz w:val="20"/>
          <w:szCs w:val="24"/>
        </w:rPr>
        <w:t xml:space="preserve"> 项目概况</w:t>
      </w:r>
    </w:p>
    <w:p w14:paraId="0FBF5BFE">
      <w:pPr>
        <w:pStyle w:val="36"/>
      </w:pPr>
      <w:r>
        <w:rPr>
          <w:rFonts w:hint="eastAsia" w:ascii="仿宋_GB2312" w:hAnsi="仿宋_GB2312" w:eastAsia="仿宋_GB2312" w:cs="仿宋_GB2312"/>
          <w:lang w:eastAsia="zh-CN"/>
        </w:rPr>
        <w:t>煤化工技术专业（群）教学资源库建设采购项目（二次）</w:t>
      </w:r>
      <w:r>
        <w:rPr>
          <w:rFonts w:ascii="仿宋_GB2312" w:hAnsi="仿宋_GB2312" w:eastAsia="仿宋_GB2312" w:cs="仿宋_GB2312"/>
        </w:rPr>
        <w:t>的潜在供应商应在陕西省公共资源交易平台获取采购文件，并于 2026年05月</w:t>
      </w:r>
      <w:r>
        <w:rPr>
          <w:rFonts w:hint="eastAsia" w:ascii="仿宋_GB2312" w:hAnsi="仿宋_GB2312" w:eastAsia="仿宋_GB2312" w:cs="仿宋_GB2312"/>
          <w:lang w:val="en-US" w:eastAsia="zh-CN"/>
        </w:rPr>
        <w:t>28</w:t>
      </w:r>
      <w:r>
        <w:rPr>
          <w:rFonts w:ascii="仿宋_GB2312" w:hAnsi="仿宋_GB2312" w:eastAsia="仿宋_GB2312" w:cs="仿宋_GB2312"/>
        </w:rPr>
        <w:t xml:space="preserve">日 </w:t>
      </w:r>
      <w:r>
        <w:rPr>
          <w:rFonts w:hint="eastAsia" w:ascii="仿宋_GB2312" w:hAnsi="仿宋_GB2312" w:eastAsia="仿宋_GB2312" w:cs="仿宋_GB2312"/>
          <w:lang w:val="en-US" w:eastAsia="zh-CN"/>
        </w:rPr>
        <w:t>13</w:t>
      </w:r>
      <w:r>
        <w:rPr>
          <w:rFonts w:ascii="仿宋_GB2312" w:hAnsi="仿宋_GB2312" w:eastAsia="仿宋_GB2312" w:cs="仿宋_GB2312"/>
        </w:rPr>
        <w:t>时30分 （北京时间）前提交响应文件。</w:t>
      </w:r>
    </w:p>
    <w:p w14:paraId="29AB05BE">
      <w:pPr>
        <w:pStyle w:val="36"/>
        <w:outlineLvl w:val="3"/>
      </w:pPr>
      <w:r>
        <w:rPr>
          <w:rFonts w:ascii="仿宋_GB2312" w:hAnsi="仿宋_GB2312" w:eastAsia="仿宋_GB2312" w:cs="仿宋_GB2312"/>
          <w:b/>
          <w:sz w:val="24"/>
        </w:rPr>
        <w:t>一、项目基本情况</w:t>
      </w:r>
    </w:p>
    <w:p w14:paraId="541D95A4">
      <w:pPr>
        <w:pStyle w:val="36"/>
        <w:rPr>
          <w:rFonts w:hint="eastAsia" w:eastAsia="仿宋_GB2312"/>
          <w:lang w:eastAsia="zh-CN"/>
        </w:rPr>
      </w:pPr>
      <w:r>
        <w:rPr>
          <w:rFonts w:ascii="仿宋_GB2312" w:hAnsi="仿宋_GB2312" w:eastAsia="仿宋_GB2312" w:cs="仿宋_GB2312"/>
        </w:rPr>
        <w:t>项目编号：</w:t>
      </w:r>
      <w:r>
        <w:rPr>
          <w:rFonts w:hint="eastAsia" w:ascii="仿宋_GB2312" w:hAnsi="仿宋_GB2312" w:eastAsia="仿宋_GB2312" w:cs="仿宋_GB2312"/>
          <w:lang w:eastAsia="zh-CN"/>
        </w:rPr>
        <w:t>JTD-2026-CG-0303.1B1</w:t>
      </w:r>
    </w:p>
    <w:p w14:paraId="4A9014E7">
      <w:pPr>
        <w:pStyle w:val="36"/>
        <w:rPr>
          <w:rFonts w:hint="eastAsia" w:eastAsia="仿宋_GB2312"/>
          <w:lang w:eastAsia="zh-CN"/>
        </w:rPr>
      </w:pPr>
      <w:r>
        <w:rPr>
          <w:rFonts w:ascii="仿宋_GB2312" w:hAnsi="仿宋_GB2312" w:eastAsia="仿宋_GB2312" w:cs="仿宋_GB2312"/>
        </w:rPr>
        <w:t>项目名称：</w:t>
      </w:r>
      <w:r>
        <w:rPr>
          <w:rFonts w:hint="eastAsia" w:ascii="仿宋_GB2312" w:hAnsi="仿宋_GB2312" w:eastAsia="仿宋_GB2312" w:cs="仿宋_GB2312"/>
          <w:lang w:eastAsia="zh-CN"/>
        </w:rPr>
        <w:t>煤化工技术专业（群）教学资源库建设采购项目（二次）</w:t>
      </w:r>
    </w:p>
    <w:p w14:paraId="0B3B5B2B">
      <w:pPr>
        <w:pStyle w:val="36"/>
      </w:pPr>
      <w:r>
        <w:rPr>
          <w:rFonts w:ascii="仿宋_GB2312" w:hAnsi="仿宋_GB2312" w:eastAsia="仿宋_GB2312" w:cs="仿宋_GB2312"/>
        </w:rPr>
        <w:t>采购方式：竞争性磋商</w:t>
      </w:r>
    </w:p>
    <w:p w14:paraId="01C801CC">
      <w:pPr>
        <w:pStyle w:val="36"/>
      </w:pPr>
      <w:r>
        <w:rPr>
          <w:rFonts w:ascii="仿宋_GB2312" w:hAnsi="仿宋_GB2312" w:eastAsia="仿宋_GB2312" w:cs="仿宋_GB2312"/>
        </w:rPr>
        <w:t>预算金额：1,600,000.00元</w:t>
      </w:r>
    </w:p>
    <w:p w14:paraId="503CB611">
      <w:pPr>
        <w:pStyle w:val="36"/>
      </w:pPr>
      <w:r>
        <w:rPr>
          <w:rFonts w:ascii="仿宋_GB2312" w:hAnsi="仿宋_GB2312" w:eastAsia="仿宋_GB2312" w:cs="仿宋_GB2312"/>
        </w:rPr>
        <w:t>采购需求：</w:t>
      </w:r>
    </w:p>
    <w:p w14:paraId="5D4ABF17">
      <w:pPr>
        <w:pStyle w:val="36"/>
        <w:rPr>
          <w:rFonts w:ascii="仿宋_GB2312" w:hAnsi="仿宋_GB2312" w:eastAsia="仿宋_GB2312" w:cs="仿宋_GB2312"/>
        </w:rPr>
      </w:pPr>
      <w:r>
        <w:rPr>
          <w:rFonts w:ascii="仿宋_GB2312" w:hAnsi="仿宋_GB2312" w:eastAsia="仿宋_GB2312" w:cs="仿宋_GB2312"/>
        </w:rPr>
        <w:t>合同包1(</w:t>
      </w:r>
      <w:r>
        <w:rPr>
          <w:rFonts w:hint="eastAsia" w:ascii="仿宋_GB2312" w:hAnsi="仿宋_GB2312" w:eastAsia="仿宋_GB2312" w:cs="仿宋_GB2312"/>
          <w:lang w:eastAsia="zh-CN"/>
        </w:rPr>
        <w:t>煤化工技术专业（群）教学资源库建设采购项目（二次）</w:t>
      </w:r>
      <w:r>
        <w:rPr>
          <w:rFonts w:ascii="仿宋_GB2312" w:hAnsi="仿宋_GB2312" w:eastAsia="仿宋_GB2312" w:cs="仿宋_GB2312"/>
        </w:rPr>
        <w:t>)</w:t>
      </w:r>
    </w:p>
    <w:p w14:paraId="4D1ADAC4">
      <w:pPr>
        <w:pStyle w:val="36"/>
        <w:ind w:firstLine="0"/>
      </w:pPr>
      <w:r>
        <w:rPr>
          <w:rFonts w:ascii="仿宋_GB2312" w:hAnsi="仿宋_GB2312" w:eastAsia="仿宋_GB2312" w:cs="仿宋_GB2312"/>
        </w:rPr>
        <w:t>合同包预算金额：1,600,000.00元</w:t>
      </w:r>
    </w:p>
    <w:p w14:paraId="5E72A3FE">
      <w:pPr>
        <w:pStyle w:val="36"/>
        <w:ind w:firstLine="630"/>
      </w:pPr>
      <w:r>
        <w:rPr>
          <w:rFonts w:ascii="仿宋_GB2312" w:hAnsi="仿宋_GB2312" w:eastAsia="仿宋_GB2312" w:cs="仿宋_GB2312"/>
        </w:rPr>
        <w:t xml:space="preserve"> 合同包最高限价：1,600,000.00元</w:t>
      </w:r>
    </w:p>
    <w:tbl>
      <w:tblPr>
        <w:tblStyle w:val="2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533232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F5BC23A">
            <w:pPr>
              <w:pStyle w:val="36"/>
            </w:pPr>
            <w:r>
              <w:rPr>
                <w:rFonts w:ascii="仿宋_GB2312" w:hAnsi="仿宋_GB2312" w:eastAsia="仿宋_GB2312" w:cs="仿宋_GB2312"/>
              </w:rPr>
              <w:t>品目号</w:t>
            </w:r>
          </w:p>
        </w:tc>
        <w:tc>
          <w:tcPr>
            <w:tcW w:w="1384" w:type="dxa"/>
          </w:tcPr>
          <w:p w14:paraId="27E09373">
            <w:pPr>
              <w:pStyle w:val="36"/>
            </w:pPr>
            <w:r>
              <w:rPr>
                <w:rFonts w:ascii="仿宋_GB2312" w:hAnsi="仿宋_GB2312" w:eastAsia="仿宋_GB2312" w:cs="仿宋_GB2312"/>
              </w:rPr>
              <w:t>品目名称</w:t>
            </w:r>
          </w:p>
        </w:tc>
        <w:tc>
          <w:tcPr>
            <w:tcW w:w="1384" w:type="dxa"/>
          </w:tcPr>
          <w:p w14:paraId="097F3BF2">
            <w:pPr>
              <w:pStyle w:val="36"/>
            </w:pPr>
            <w:r>
              <w:rPr>
                <w:rFonts w:ascii="仿宋_GB2312" w:hAnsi="仿宋_GB2312" w:eastAsia="仿宋_GB2312" w:cs="仿宋_GB2312"/>
              </w:rPr>
              <w:t>采购标的</w:t>
            </w:r>
          </w:p>
        </w:tc>
        <w:tc>
          <w:tcPr>
            <w:tcW w:w="1384" w:type="dxa"/>
          </w:tcPr>
          <w:p w14:paraId="59166D98">
            <w:pPr>
              <w:pStyle w:val="36"/>
            </w:pPr>
            <w:r>
              <w:rPr>
                <w:rFonts w:ascii="仿宋_GB2312" w:hAnsi="仿宋_GB2312" w:eastAsia="仿宋_GB2312" w:cs="仿宋_GB2312"/>
              </w:rPr>
              <w:t>数量（单位）</w:t>
            </w:r>
          </w:p>
        </w:tc>
        <w:tc>
          <w:tcPr>
            <w:tcW w:w="1384" w:type="dxa"/>
          </w:tcPr>
          <w:p w14:paraId="2FE083DC">
            <w:pPr>
              <w:pStyle w:val="36"/>
            </w:pPr>
            <w:r>
              <w:rPr>
                <w:rFonts w:ascii="仿宋_GB2312" w:hAnsi="仿宋_GB2312" w:eastAsia="仿宋_GB2312" w:cs="仿宋_GB2312"/>
              </w:rPr>
              <w:t>技术规格、参数及要求</w:t>
            </w:r>
          </w:p>
        </w:tc>
        <w:tc>
          <w:tcPr>
            <w:tcW w:w="1384" w:type="dxa"/>
          </w:tcPr>
          <w:p w14:paraId="1668B8FB">
            <w:pPr>
              <w:pStyle w:val="36"/>
            </w:pPr>
            <w:r>
              <w:rPr>
                <w:rFonts w:ascii="仿宋_GB2312" w:hAnsi="仿宋_GB2312" w:eastAsia="仿宋_GB2312" w:cs="仿宋_GB2312"/>
              </w:rPr>
              <w:t>品目预算(元)</w:t>
            </w:r>
          </w:p>
        </w:tc>
      </w:tr>
      <w:tr w14:paraId="5C3833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0CE3E8A">
            <w:pPr>
              <w:pStyle w:val="36"/>
            </w:pPr>
            <w:r>
              <w:rPr>
                <w:rFonts w:ascii="仿宋_GB2312" w:hAnsi="仿宋_GB2312" w:eastAsia="仿宋_GB2312" w:cs="仿宋_GB2312"/>
              </w:rPr>
              <w:t>1-1</w:t>
            </w:r>
          </w:p>
        </w:tc>
        <w:tc>
          <w:tcPr>
            <w:tcW w:w="1384" w:type="dxa"/>
          </w:tcPr>
          <w:p w14:paraId="634DB054">
            <w:pPr>
              <w:pStyle w:val="36"/>
            </w:pPr>
            <w:r>
              <w:rPr>
                <w:rFonts w:ascii="仿宋_GB2312" w:hAnsi="仿宋_GB2312" w:eastAsia="仿宋_GB2312" w:cs="仿宋_GB2312"/>
              </w:rPr>
              <w:t>教育课程研究与开发服务</w:t>
            </w:r>
          </w:p>
        </w:tc>
        <w:tc>
          <w:tcPr>
            <w:tcW w:w="1384" w:type="dxa"/>
          </w:tcPr>
          <w:p w14:paraId="0C136066">
            <w:pPr>
              <w:pStyle w:val="36"/>
              <w:rPr>
                <w:rFonts w:hint="eastAsia" w:eastAsia="仿宋_GB2312"/>
                <w:lang w:eastAsia="zh-CN"/>
              </w:rPr>
            </w:pPr>
            <w:r>
              <w:rPr>
                <w:rFonts w:hint="eastAsia" w:ascii="仿宋_GB2312" w:hAnsi="仿宋_GB2312" w:eastAsia="仿宋_GB2312" w:cs="仿宋_GB2312"/>
                <w:lang w:eastAsia="zh-CN"/>
              </w:rPr>
              <w:t>榆林职业技术学院煤化工技术专业（群）教学资源库建设采购项目（二次）</w:t>
            </w:r>
          </w:p>
        </w:tc>
        <w:tc>
          <w:tcPr>
            <w:tcW w:w="1384" w:type="dxa"/>
          </w:tcPr>
          <w:p w14:paraId="750E7046">
            <w:pPr>
              <w:pStyle w:val="36"/>
            </w:pPr>
            <w:r>
              <w:rPr>
                <w:rFonts w:ascii="仿宋_GB2312" w:hAnsi="仿宋_GB2312" w:eastAsia="仿宋_GB2312" w:cs="仿宋_GB2312"/>
              </w:rPr>
              <w:t>1(项)</w:t>
            </w:r>
          </w:p>
        </w:tc>
        <w:tc>
          <w:tcPr>
            <w:tcW w:w="1384" w:type="dxa"/>
          </w:tcPr>
          <w:p w14:paraId="776EBBDD">
            <w:pPr>
              <w:pStyle w:val="36"/>
            </w:pPr>
            <w:r>
              <w:rPr>
                <w:rFonts w:ascii="仿宋_GB2312" w:hAnsi="仿宋_GB2312" w:eastAsia="仿宋_GB2312" w:cs="仿宋_GB2312"/>
              </w:rPr>
              <w:t>详见采购文件</w:t>
            </w:r>
          </w:p>
        </w:tc>
        <w:tc>
          <w:tcPr>
            <w:tcW w:w="1384" w:type="dxa"/>
          </w:tcPr>
          <w:p w14:paraId="2E2B2B21">
            <w:pPr>
              <w:pStyle w:val="36"/>
            </w:pPr>
            <w:r>
              <w:rPr>
                <w:rFonts w:ascii="仿宋_GB2312" w:hAnsi="仿宋_GB2312" w:eastAsia="仿宋_GB2312" w:cs="仿宋_GB2312"/>
              </w:rPr>
              <w:t>1,600,000.00</w:t>
            </w:r>
          </w:p>
        </w:tc>
      </w:tr>
    </w:tbl>
    <w:p w14:paraId="3077C7BB">
      <w:pPr>
        <w:pStyle w:val="36"/>
      </w:pPr>
      <w:r>
        <w:rPr>
          <w:rFonts w:ascii="仿宋_GB2312" w:hAnsi="仿宋_GB2312" w:eastAsia="仿宋_GB2312" w:cs="仿宋_GB2312"/>
        </w:rPr>
        <w:t xml:space="preserve"> 本合同包不接受联合体投标</w:t>
      </w:r>
    </w:p>
    <w:p w14:paraId="01E7C51F">
      <w:pPr>
        <w:pStyle w:val="36"/>
      </w:pPr>
      <w:r>
        <w:rPr>
          <w:rFonts w:ascii="仿宋_GB2312" w:hAnsi="仿宋_GB2312" w:eastAsia="仿宋_GB2312" w:cs="仿宋_GB2312"/>
        </w:rPr>
        <w:t xml:space="preserve"> 合同履行期限：</w:t>
      </w:r>
      <w:r>
        <w:rPr>
          <w:rFonts w:hint="eastAsia" w:ascii="仿宋_GB2312" w:hAnsi="仿宋_GB2312" w:eastAsia="仿宋_GB2312" w:cs="仿宋_GB2312"/>
          <w:lang w:val="en-US" w:eastAsia="zh-CN"/>
        </w:rPr>
        <w:t>180天</w:t>
      </w:r>
    </w:p>
    <w:p w14:paraId="6E2292B7">
      <w:pPr>
        <w:pStyle w:val="36"/>
        <w:outlineLvl w:val="3"/>
      </w:pPr>
      <w:r>
        <w:rPr>
          <w:rFonts w:ascii="仿宋_GB2312" w:hAnsi="仿宋_GB2312" w:eastAsia="仿宋_GB2312" w:cs="仿宋_GB2312"/>
          <w:b/>
          <w:sz w:val="24"/>
        </w:rPr>
        <w:t>二、申请人的资格要求：</w:t>
      </w:r>
    </w:p>
    <w:p w14:paraId="032FA98D">
      <w:pPr>
        <w:pStyle w:val="36"/>
      </w:pPr>
      <w:r>
        <w:rPr>
          <w:rFonts w:ascii="仿宋_GB2312" w:hAnsi="仿宋_GB2312" w:eastAsia="仿宋_GB2312" w:cs="仿宋_GB2312"/>
        </w:rPr>
        <w:t>1.满足《中华人民共和国政府采购法》第二十二条规定;</w:t>
      </w:r>
    </w:p>
    <w:p w14:paraId="5D6FC330">
      <w:pPr>
        <w:pStyle w:val="36"/>
      </w:pPr>
      <w:r>
        <w:rPr>
          <w:rFonts w:ascii="仿宋_GB2312" w:hAnsi="仿宋_GB2312" w:eastAsia="仿宋_GB2312" w:cs="仿宋_GB2312"/>
        </w:rPr>
        <w:t>2.落实政府采购政策需满足的资格要求：</w:t>
      </w:r>
    </w:p>
    <w:p w14:paraId="2D365E78">
      <w:pPr>
        <w:pStyle w:val="36"/>
      </w:pPr>
      <w:r>
        <w:rPr>
          <w:rFonts w:ascii="仿宋_GB2312" w:hAnsi="仿宋_GB2312" w:eastAsia="仿宋_GB2312" w:cs="仿宋_GB2312"/>
        </w:rPr>
        <w:t>合同包1(</w:t>
      </w:r>
      <w:r>
        <w:rPr>
          <w:rFonts w:hint="eastAsia" w:ascii="仿宋_GB2312" w:hAnsi="仿宋_GB2312" w:eastAsia="仿宋_GB2312" w:cs="仿宋_GB2312"/>
          <w:lang w:eastAsia="zh-CN"/>
        </w:rPr>
        <w:t>煤化工技术专业（群）教学资源库建设采购项目（二次）</w:t>
      </w:r>
      <w:r>
        <w:rPr>
          <w:rFonts w:ascii="仿宋_GB2312" w:hAnsi="仿宋_GB2312" w:eastAsia="仿宋_GB2312" w:cs="仿宋_GB2312"/>
        </w:rPr>
        <w:t>)落实政府采购政策需满足的资格要求如下:</w:t>
      </w:r>
    </w:p>
    <w:p w14:paraId="10CEA8F4">
      <w:pPr>
        <w:pStyle w:val="36"/>
        <w:ind w:left="480"/>
      </w:pPr>
      <w:r>
        <w:rPr>
          <w:rFonts w:ascii="仿宋_GB2312" w:hAnsi="仿宋_GB2312" w:eastAsia="仿宋_GB2312" w:cs="仿宋_GB2312"/>
        </w:rPr>
        <w:t xml:space="preserve"> 1《政府采购促进中小企业发展管理办法》（财库〔2020〕46号）、《陕西省财政厅关于进一步加大政府采购支持中小企业力度的通知》（陕财办采〔2022〕5号）、《陕西省财政厅关于落实政府采购支持中小企业政策有关事项的通知》（陕财办采函〔2022〕10号）、《榆林市财政局关于进一步加大政府采购支持中小企业力度的通知》（榆政财采发[2022]10号）；</w:t>
      </w:r>
      <w:r>
        <w:br w:type="textWrapping"/>
      </w:r>
      <w:r>
        <w:rPr>
          <w:rFonts w:ascii="仿宋_GB2312" w:hAnsi="仿宋_GB2312" w:eastAsia="仿宋_GB2312" w:cs="仿宋_GB2312"/>
        </w:rPr>
        <w:t xml:space="preserve">  2《财政部司法部关于政府采购支持监狱企业发展有关问题的通知》（财库〔2014〕68号）； </w:t>
      </w:r>
      <w:r>
        <w:br w:type="textWrapping"/>
      </w:r>
      <w:r>
        <w:rPr>
          <w:rFonts w:ascii="仿宋_GB2312" w:hAnsi="仿宋_GB2312" w:eastAsia="仿宋_GB2312" w:cs="仿宋_GB2312"/>
        </w:rPr>
        <w:t xml:space="preserve">  3《国务院办公厅关于建立政府强制采购节能产品制度的通知》（国办发〔2007〕51号）； </w:t>
      </w:r>
      <w:r>
        <w:br w:type="textWrapping"/>
      </w:r>
      <w:r>
        <w:rPr>
          <w:rFonts w:ascii="仿宋_GB2312" w:hAnsi="仿宋_GB2312" w:eastAsia="仿宋_GB2312" w:cs="仿宋_GB2312"/>
        </w:rPr>
        <w:t xml:space="preserve">  4《节能产品政府采购实施意见》（财库[2004]185号）； </w:t>
      </w:r>
      <w:r>
        <w:br w:type="textWrapping"/>
      </w:r>
      <w:r>
        <w:rPr>
          <w:rFonts w:ascii="仿宋_GB2312" w:hAnsi="仿宋_GB2312" w:eastAsia="仿宋_GB2312" w:cs="仿宋_GB2312"/>
        </w:rPr>
        <w:t xml:space="preserve">  5《环境标志产品政府采购实施的意见》（财库[2006]90号）；</w:t>
      </w:r>
      <w:r>
        <w:br w:type="textWrapping"/>
      </w:r>
      <w:r>
        <w:rPr>
          <w:rFonts w:ascii="仿宋_GB2312" w:hAnsi="仿宋_GB2312" w:eastAsia="仿宋_GB2312" w:cs="仿宋_GB2312"/>
        </w:rPr>
        <w:t xml:space="preserve">  6《关于促进残疾人就业政府采购政策的通知》（财库[2017]141号）；</w:t>
      </w:r>
      <w:r>
        <w:br w:type="textWrapping"/>
      </w:r>
      <w:r>
        <w:rPr>
          <w:rFonts w:ascii="仿宋_GB2312" w:hAnsi="仿宋_GB2312" w:eastAsia="仿宋_GB2312" w:cs="仿宋_GB2312"/>
        </w:rPr>
        <w:t xml:space="preserve">  7《财政部发展改革委生态环境部市场监管总局关于调整优化节能产品、环境标志产品政府采购执行机制的通知》（财库〔2019〕9号）；</w:t>
      </w:r>
      <w:r>
        <w:br w:type="textWrapping"/>
      </w:r>
      <w:r>
        <w:rPr>
          <w:rFonts w:ascii="仿宋_GB2312" w:hAnsi="仿宋_GB2312" w:eastAsia="仿宋_GB2312" w:cs="仿宋_GB2312"/>
        </w:rPr>
        <w:t xml:space="preserve">  8《财政部国务院扶贫办关于运用政府采购政策支持脱贫攻坚的通知》（财库〔2019〕27号）；</w:t>
      </w:r>
      <w:r>
        <w:br w:type="textWrapping"/>
      </w:r>
      <w:r>
        <w:rPr>
          <w:rFonts w:ascii="仿宋_GB2312" w:hAnsi="仿宋_GB2312" w:eastAsia="仿宋_GB2312" w:cs="仿宋_GB2312"/>
        </w:rPr>
        <w:t xml:space="preserve">  9陕西省财政厅关于印发《陕西省中小企业政府采购信用融资办法》（陕财办采〔2018〕23号）；</w:t>
      </w:r>
      <w:r>
        <w:br w:type="textWrapping"/>
      </w:r>
      <w:r>
        <w:rPr>
          <w:rFonts w:ascii="仿宋_GB2312" w:hAnsi="仿宋_GB2312" w:eastAsia="仿宋_GB2312" w:cs="仿宋_GB2312"/>
        </w:rPr>
        <w:t xml:space="preserve">  10《陕西省财政厅关于加快推进我省中小企业政府采购信用融资工作的通知》（陕财办采〔2020〕15号）；</w:t>
      </w:r>
      <w:r>
        <w:br w:type="textWrapping"/>
      </w:r>
      <w:r>
        <w:rPr>
          <w:rFonts w:ascii="仿宋_GB2312" w:hAnsi="仿宋_GB2312" w:eastAsia="仿宋_GB2312" w:cs="仿宋_GB2312"/>
        </w:rPr>
        <w:t xml:space="preserve">  11《关于促进中小企业健康发展的指导意见》、《陕西省中小企业政府釆购信用融资办法》（陕财办采[2018]23号）；</w:t>
      </w:r>
      <w:r>
        <w:br w:type="textWrapping"/>
      </w:r>
      <w:r>
        <w:rPr>
          <w:rFonts w:ascii="仿宋_GB2312" w:hAnsi="仿宋_GB2312" w:eastAsia="仿宋_GB2312" w:cs="仿宋_GB2312"/>
        </w:rPr>
        <w:t xml:space="preserve">  12其他需要落实的政府采购政策。</w:t>
      </w:r>
    </w:p>
    <w:p w14:paraId="61E9C6F2">
      <w:pPr>
        <w:pStyle w:val="36"/>
      </w:pPr>
      <w:r>
        <w:rPr>
          <w:rFonts w:ascii="仿宋_GB2312" w:hAnsi="仿宋_GB2312" w:eastAsia="仿宋_GB2312" w:cs="仿宋_GB2312"/>
        </w:rPr>
        <w:t>3.本项目的特定资格要求：</w:t>
      </w:r>
    </w:p>
    <w:p w14:paraId="10626C23">
      <w:pPr>
        <w:pStyle w:val="36"/>
      </w:pPr>
      <w:r>
        <w:rPr>
          <w:rFonts w:ascii="仿宋_GB2312" w:hAnsi="仿宋_GB2312" w:eastAsia="仿宋_GB2312" w:cs="仿宋_GB2312"/>
        </w:rPr>
        <w:t>合同包1(</w:t>
      </w:r>
      <w:r>
        <w:rPr>
          <w:rFonts w:hint="eastAsia" w:ascii="仿宋_GB2312" w:hAnsi="仿宋_GB2312" w:eastAsia="仿宋_GB2312" w:cs="仿宋_GB2312"/>
          <w:lang w:eastAsia="zh-CN"/>
        </w:rPr>
        <w:t>煤化工技术专业（群）教学资源库建设采购项目（二次）</w:t>
      </w:r>
      <w:r>
        <w:rPr>
          <w:rFonts w:ascii="仿宋_GB2312" w:hAnsi="仿宋_GB2312" w:eastAsia="仿宋_GB2312" w:cs="仿宋_GB2312"/>
        </w:rPr>
        <w:t>)特定资格要求如下:</w:t>
      </w:r>
    </w:p>
    <w:p w14:paraId="3338F172">
      <w:pPr>
        <w:pStyle w:val="36"/>
        <w:ind w:left="480"/>
      </w:pPr>
      <w:r>
        <w:rPr>
          <w:rFonts w:ascii="仿宋_GB2312" w:hAnsi="仿宋_GB2312" w:eastAsia="仿宋_GB2312" w:cs="仿宋_GB2312"/>
        </w:rPr>
        <w:t>（1）服务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r>
        <w:br w:type="textWrapping"/>
      </w:r>
      <w:r>
        <w:rPr>
          <w:rFonts w:ascii="仿宋_GB2312" w:hAnsi="仿宋_GB2312" w:eastAsia="仿宋_GB2312" w:cs="仿宋_GB2312"/>
        </w:rPr>
        <w:t>（2）参加政府采购活动前3年内经营活动中没有重大违法记录声明书；</w:t>
      </w:r>
      <w:r>
        <w:br w:type="textWrapping"/>
      </w:r>
      <w:r>
        <w:rPr>
          <w:rFonts w:ascii="仿宋_GB2312" w:hAnsi="仿宋_GB2312" w:eastAsia="仿宋_GB2312" w:cs="仿宋_GB2312"/>
        </w:rPr>
        <w:t>（3）投标人提供“信用中国”(www.creditchina.gov.cn)网站生成的带水印信用报告，信用中国”网站(www.creditchina.gov.cn)“记录失信被执行人、重大税收违法失信主体、政府采购严重违法失信行为”记录名单查询截图（打印件加盖投标单位公章），不得为中国政府采购网（www.ccgp.gov.cn）政府采购严重违法失信行为记录名单中被财政部门禁止参加政府采购活动的供应商（提供查询结果网页截图并加盖供应商公章）；</w:t>
      </w:r>
      <w:r>
        <w:br w:type="textWrapping"/>
      </w:r>
      <w:r>
        <w:rPr>
          <w:rFonts w:ascii="仿宋_GB2312" w:hAnsi="仿宋_GB2312" w:eastAsia="仿宋_GB2312" w:cs="仿宋_GB2312"/>
        </w:rPr>
        <w:t>（4）财务状况报告：提供完整的2024年度或2025年度的赋码财务审计报告（至少包括资产负债表、利润表、现金流量表及其附注）。新成立不足一年的公司须提供基本开户银行出具（投标文件递交截止时间前一个月内）的资信证明；</w:t>
      </w:r>
      <w:r>
        <w:br w:type="textWrapping"/>
      </w:r>
      <w:r>
        <w:rPr>
          <w:rFonts w:ascii="仿宋_GB2312" w:hAnsi="仿宋_GB2312" w:eastAsia="仿宋_GB2312" w:cs="仿宋_GB2312"/>
        </w:rPr>
        <w:t>（5）税收缴纳证明：服务商须提供2025年4月1日至投标截止时间止至少一个月完税证明，完税证明上应有税务机关的公章（加盖公章复印件）；依法免税的供应商应提供相关文件证明；</w:t>
      </w:r>
      <w:r>
        <w:br w:type="textWrapping"/>
      </w:r>
      <w:r>
        <w:rPr>
          <w:rFonts w:ascii="仿宋_GB2312" w:hAnsi="仿宋_GB2312" w:eastAsia="仿宋_GB2312" w:cs="仿宋_GB2312"/>
        </w:rPr>
        <w:t xml:space="preserve">（6）社会保障资金缴纳证明：服务商须提供2025年4月1日至投标截止时间止至少一个月的社会保障资金缴存单据或社保机构开具的社会保险参保缴费情况证明；依法不需要缴纳社会保障资金的应提供相关文件证明； </w:t>
      </w:r>
      <w:r>
        <w:br w:type="textWrapping"/>
      </w:r>
      <w:r>
        <w:rPr>
          <w:rFonts w:ascii="仿宋_GB2312" w:hAnsi="仿宋_GB2312" w:eastAsia="仿宋_GB2312" w:cs="仿宋_GB2312"/>
        </w:rPr>
        <w:t>（7）服务商须具有履行合同所必需的专业技术服务能力（提供相应的证明资料或承诺函）；</w:t>
      </w:r>
      <w:r>
        <w:br w:type="textWrapping"/>
      </w:r>
      <w:r>
        <w:rPr>
          <w:rFonts w:ascii="仿宋_GB2312" w:hAnsi="仿宋_GB2312" w:eastAsia="仿宋_GB2312" w:cs="仿宋_GB2312"/>
        </w:rPr>
        <w:t>（8)本项目不接受联合体投标，单位负责人为同一人或者存在直接控股、管理关系的不同投标人，不得参加同一合同项下的政府采购活动。</w:t>
      </w:r>
      <w:r>
        <w:br w:type="textWrapping"/>
      </w:r>
      <w:r>
        <w:rPr>
          <w:rFonts w:ascii="仿宋_GB2312" w:hAnsi="仿宋_GB2312" w:eastAsia="仿宋_GB2312" w:cs="仿宋_GB2312"/>
        </w:rPr>
        <w:t>（9）本项目专门面向中小微企业采购，供应商须提供中小企业声明函。</w:t>
      </w:r>
    </w:p>
    <w:p w14:paraId="5F2558BC">
      <w:pPr>
        <w:pStyle w:val="36"/>
        <w:outlineLvl w:val="3"/>
      </w:pPr>
      <w:r>
        <w:rPr>
          <w:rFonts w:ascii="仿宋_GB2312" w:hAnsi="仿宋_GB2312" w:eastAsia="仿宋_GB2312" w:cs="仿宋_GB2312"/>
          <w:b/>
          <w:sz w:val="24"/>
        </w:rPr>
        <w:t>三、获取采购文件</w:t>
      </w:r>
    </w:p>
    <w:p w14:paraId="0C54169E">
      <w:pPr>
        <w:pStyle w:val="36"/>
      </w:pPr>
      <w:r>
        <w:rPr>
          <w:rFonts w:ascii="仿宋_GB2312" w:hAnsi="仿宋_GB2312" w:eastAsia="仿宋_GB2312" w:cs="仿宋_GB2312"/>
        </w:rPr>
        <w:t>时间： 2026年0</w:t>
      </w:r>
      <w:r>
        <w:rPr>
          <w:rFonts w:hint="eastAsia" w:ascii="仿宋_GB2312" w:hAnsi="仿宋_GB2312" w:eastAsia="仿宋_GB2312" w:cs="仿宋_GB2312"/>
          <w:lang w:val="en-US" w:eastAsia="zh-CN"/>
        </w:rPr>
        <w:t>5</w:t>
      </w:r>
      <w:r>
        <w:rPr>
          <w:rFonts w:ascii="仿宋_GB2312" w:hAnsi="仿宋_GB2312" w:eastAsia="仿宋_GB2312" w:cs="仿宋_GB2312"/>
        </w:rPr>
        <w:t>月</w:t>
      </w:r>
      <w:r>
        <w:rPr>
          <w:rFonts w:hint="eastAsia" w:ascii="仿宋_GB2312" w:hAnsi="仿宋_GB2312" w:eastAsia="仿宋_GB2312" w:cs="仿宋_GB2312"/>
          <w:lang w:val="en-US" w:eastAsia="zh-CN"/>
        </w:rPr>
        <w:t>18</w:t>
      </w:r>
      <w:r>
        <w:rPr>
          <w:rFonts w:ascii="仿宋_GB2312" w:hAnsi="仿宋_GB2312" w:eastAsia="仿宋_GB2312" w:cs="仿宋_GB2312"/>
        </w:rPr>
        <w:t>日 至 2026年05月</w:t>
      </w:r>
      <w:r>
        <w:rPr>
          <w:rFonts w:hint="eastAsia" w:ascii="仿宋_GB2312" w:hAnsi="仿宋_GB2312" w:eastAsia="仿宋_GB2312" w:cs="仿宋_GB2312"/>
          <w:lang w:val="en-US" w:eastAsia="zh-CN"/>
        </w:rPr>
        <w:t>22</w:t>
      </w:r>
      <w:r>
        <w:rPr>
          <w:rFonts w:ascii="仿宋_GB2312" w:hAnsi="仿宋_GB2312" w:eastAsia="仿宋_GB2312" w:cs="仿宋_GB2312"/>
        </w:rPr>
        <w:t>日 ，每天上午 08:00:00 至 12:00:00 ，下午 14:00:00 至 18:00:00 （北京时间）</w:t>
      </w:r>
    </w:p>
    <w:p w14:paraId="546D21F3">
      <w:pPr>
        <w:pStyle w:val="36"/>
      </w:pPr>
      <w:r>
        <w:rPr>
          <w:rFonts w:ascii="仿宋_GB2312" w:hAnsi="仿宋_GB2312" w:eastAsia="仿宋_GB2312" w:cs="仿宋_GB2312"/>
        </w:rPr>
        <w:t>途径：陕西省公共资源交易平台</w:t>
      </w:r>
    </w:p>
    <w:p w14:paraId="479DD12E">
      <w:pPr>
        <w:pStyle w:val="36"/>
      </w:pPr>
      <w:r>
        <w:rPr>
          <w:rFonts w:ascii="仿宋_GB2312" w:hAnsi="仿宋_GB2312" w:eastAsia="仿宋_GB2312" w:cs="仿宋_GB2312"/>
        </w:rPr>
        <w:t>方式：在线获取</w:t>
      </w:r>
    </w:p>
    <w:p w14:paraId="42FE76DC">
      <w:pPr>
        <w:pStyle w:val="36"/>
      </w:pPr>
      <w:r>
        <w:rPr>
          <w:rFonts w:ascii="仿宋_GB2312" w:hAnsi="仿宋_GB2312" w:eastAsia="仿宋_GB2312" w:cs="仿宋_GB2312"/>
        </w:rPr>
        <w:t>售价： 0元</w:t>
      </w:r>
    </w:p>
    <w:p w14:paraId="30370EAE">
      <w:pPr>
        <w:pStyle w:val="36"/>
        <w:outlineLvl w:val="3"/>
      </w:pPr>
      <w:r>
        <w:rPr>
          <w:rFonts w:ascii="仿宋_GB2312" w:hAnsi="仿宋_GB2312" w:eastAsia="仿宋_GB2312" w:cs="仿宋_GB2312"/>
          <w:b/>
          <w:sz w:val="24"/>
        </w:rPr>
        <w:t>四、响应文件提交</w:t>
      </w:r>
    </w:p>
    <w:p w14:paraId="1EBEEF67">
      <w:pPr>
        <w:pStyle w:val="36"/>
      </w:pPr>
      <w:r>
        <w:rPr>
          <w:rFonts w:ascii="仿宋_GB2312" w:hAnsi="仿宋_GB2312" w:eastAsia="仿宋_GB2312" w:cs="仿宋_GB2312"/>
        </w:rPr>
        <w:t>截止时间： 2026年05月</w:t>
      </w:r>
      <w:r>
        <w:rPr>
          <w:rFonts w:hint="eastAsia" w:ascii="仿宋_GB2312" w:hAnsi="仿宋_GB2312" w:eastAsia="仿宋_GB2312" w:cs="仿宋_GB2312"/>
          <w:lang w:val="en-US" w:eastAsia="zh-CN"/>
        </w:rPr>
        <w:t>28</w:t>
      </w:r>
      <w:r>
        <w:rPr>
          <w:rFonts w:ascii="仿宋_GB2312" w:hAnsi="仿宋_GB2312" w:eastAsia="仿宋_GB2312" w:cs="仿宋_GB2312"/>
        </w:rPr>
        <w:t xml:space="preserve">日 </w:t>
      </w:r>
      <w:r>
        <w:rPr>
          <w:rFonts w:hint="eastAsia" w:ascii="仿宋_GB2312" w:hAnsi="仿宋_GB2312" w:eastAsia="仿宋_GB2312" w:cs="仿宋_GB2312"/>
          <w:lang w:val="en-US" w:eastAsia="zh-CN"/>
        </w:rPr>
        <w:t>13</w:t>
      </w:r>
      <w:r>
        <w:rPr>
          <w:rFonts w:ascii="仿宋_GB2312" w:hAnsi="仿宋_GB2312" w:eastAsia="仿宋_GB2312" w:cs="仿宋_GB2312"/>
        </w:rPr>
        <w:t>时30分00秒 （北京时间）</w:t>
      </w:r>
    </w:p>
    <w:p w14:paraId="3B057D8D">
      <w:pPr>
        <w:pStyle w:val="36"/>
      </w:pPr>
      <w:r>
        <w:rPr>
          <w:rFonts w:ascii="仿宋_GB2312" w:hAnsi="仿宋_GB2312" w:eastAsia="仿宋_GB2312" w:cs="仿宋_GB2312"/>
        </w:rPr>
        <w:t>地点：陕西省公共资源交易平台</w:t>
      </w:r>
    </w:p>
    <w:p w14:paraId="14E8CB39">
      <w:pPr>
        <w:pStyle w:val="36"/>
        <w:outlineLvl w:val="3"/>
      </w:pPr>
      <w:r>
        <w:rPr>
          <w:rFonts w:ascii="仿宋_GB2312" w:hAnsi="仿宋_GB2312" w:eastAsia="仿宋_GB2312" w:cs="仿宋_GB2312"/>
          <w:b/>
          <w:sz w:val="24"/>
        </w:rPr>
        <w:t>五、开启</w:t>
      </w:r>
    </w:p>
    <w:p w14:paraId="7D95DF36">
      <w:pPr>
        <w:pStyle w:val="36"/>
      </w:pPr>
      <w:r>
        <w:rPr>
          <w:rFonts w:ascii="仿宋_GB2312" w:hAnsi="仿宋_GB2312" w:eastAsia="仿宋_GB2312" w:cs="仿宋_GB2312"/>
        </w:rPr>
        <w:t>时间： 2026年05月</w:t>
      </w:r>
      <w:r>
        <w:rPr>
          <w:rFonts w:hint="eastAsia" w:ascii="仿宋_GB2312" w:hAnsi="仿宋_GB2312" w:eastAsia="仿宋_GB2312" w:cs="仿宋_GB2312"/>
          <w:lang w:val="en-US" w:eastAsia="zh-CN"/>
        </w:rPr>
        <w:t>28</w:t>
      </w:r>
      <w:r>
        <w:rPr>
          <w:rFonts w:ascii="仿宋_GB2312" w:hAnsi="仿宋_GB2312" w:eastAsia="仿宋_GB2312" w:cs="仿宋_GB2312"/>
        </w:rPr>
        <w:t xml:space="preserve">日 </w:t>
      </w:r>
      <w:r>
        <w:rPr>
          <w:rFonts w:hint="eastAsia" w:ascii="仿宋_GB2312" w:hAnsi="仿宋_GB2312" w:eastAsia="仿宋_GB2312" w:cs="仿宋_GB2312"/>
          <w:lang w:val="en-US" w:eastAsia="zh-CN"/>
        </w:rPr>
        <w:t>13</w:t>
      </w:r>
      <w:r>
        <w:rPr>
          <w:rFonts w:ascii="仿宋_GB2312" w:hAnsi="仿宋_GB2312" w:eastAsia="仿宋_GB2312" w:cs="仿宋_GB2312"/>
        </w:rPr>
        <w:t>时30分00秒 （北京时间）</w:t>
      </w:r>
    </w:p>
    <w:p w14:paraId="4C3A0DA0">
      <w:pPr>
        <w:pStyle w:val="36"/>
      </w:pPr>
      <w:r>
        <w:rPr>
          <w:rFonts w:ascii="仿宋_GB2312" w:hAnsi="仿宋_GB2312" w:eastAsia="仿宋_GB2312" w:cs="仿宋_GB2312"/>
        </w:rPr>
        <w:t>地点：榆林市公共资源交易中心</w:t>
      </w:r>
    </w:p>
    <w:p w14:paraId="2C15D46C">
      <w:pPr>
        <w:pStyle w:val="36"/>
        <w:outlineLvl w:val="3"/>
      </w:pPr>
      <w:r>
        <w:rPr>
          <w:rFonts w:ascii="仿宋_GB2312" w:hAnsi="仿宋_GB2312" w:eastAsia="仿宋_GB2312" w:cs="仿宋_GB2312"/>
          <w:b/>
          <w:sz w:val="24"/>
        </w:rPr>
        <w:t>六、公告期限</w:t>
      </w:r>
    </w:p>
    <w:p w14:paraId="7DB7CFA5">
      <w:pPr>
        <w:pStyle w:val="36"/>
      </w:pPr>
      <w:r>
        <w:rPr>
          <w:rFonts w:ascii="仿宋_GB2312" w:hAnsi="仿宋_GB2312" w:eastAsia="仿宋_GB2312" w:cs="仿宋_GB2312"/>
        </w:rPr>
        <w:t>自本公告发布之日起3个工作日。</w:t>
      </w:r>
    </w:p>
    <w:p w14:paraId="14775573">
      <w:pPr>
        <w:pStyle w:val="36"/>
        <w:outlineLvl w:val="3"/>
      </w:pPr>
      <w:r>
        <w:rPr>
          <w:rFonts w:ascii="仿宋_GB2312" w:hAnsi="仿宋_GB2312" w:eastAsia="仿宋_GB2312" w:cs="仿宋_GB2312"/>
          <w:b/>
          <w:sz w:val="24"/>
        </w:rPr>
        <w:t>七、其他补充事宜</w:t>
      </w:r>
    </w:p>
    <w:p w14:paraId="67E751BB">
      <w:pPr>
        <w:pStyle w:val="36"/>
      </w:pPr>
      <w:r>
        <w:rPr>
          <w:rFonts w:ascii="仿宋_GB2312" w:hAnsi="仿宋_GB2312" w:eastAsia="仿宋_GB2312" w:cs="仿宋_GB2312"/>
          <w:sz w:val="24"/>
        </w:rPr>
        <w:t>（1）供应商可用CA锁登录全国公共资源交易中心平台（陕西省）（http://www.sxggzyjy.cn/）,选择“电子交易平台-陕西政府采购交易系统-陕西省公共资源交易平台-供应商”进行登录，登录后选择“交易乙方”身份进入供应商界面进行报名并免费下载采购文件；</w:t>
      </w:r>
    </w:p>
    <w:p w14:paraId="1005920C">
      <w:pPr>
        <w:pStyle w:val="36"/>
      </w:pPr>
      <w:r>
        <w:rPr>
          <w:rFonts w:ascii="仿宋_GB2312" w:hAnsi="仿宋_GB2312" w:eastAsia="仿宋_GB2312" w:cs="仿宋_GB2312"/>
          <w:sz w:val="24"/>
        </w:rPr>
        <w:t>（2）本项目采用电子化不见面开标方式，开标时建议供应商使用带有麦克风和摄像头的笔记本电脑，登录不见面开标系统进行供应商签到和响应文件解密、二次报价等开标事宜；</w:t>
      </w:r>
    </w:p>
    <w:p w14:paraId="483C0A4A">
      <w:pPr>
        <w:pStyle w:val="36"/>
      </w:pPr>
      <w:r>
        <w:rPr>
          <w:rFonts w:ascii="仿宋_GB2312" w:hAnsi="仿宋_GB2312" w:eastAsia="仿宋_GB2312" w:cs="仿宋_GB2312"/>
          <w:sz w:val="24"/>
        </w:rPr>
        <w:t>（3）不见面开标/询标操作手册下载：供应商可登录全国公共资源交易平台（陕西省˙榆林市）（http://yl.sxggzyjy.cn/），选择“服务指南”，点击“下载专区”，点击榆林不见面开标系统操作手册（供应商）、榆林不见面开标大厅供应商询标操作手册V1.0，请供应商仔细阅读操作手册，了解操作流程，熟练掌握不见面开标、不见面询标操作相关事宜，若无法正常投标，供应商自行承担责任；</w:t>
      </w:r>
    </w:p>
    <w:p w14:paraId="34A7DCFC">
      <w:pPr>
        <w:pStyle w:val="36"/>
      </w:pPr>
      <w:r>
        <w:rPr>
          <w:rFonts w:ascii="仿宋_GB2312" w:hAnsi="仿宋_GB2312" w:eastAsia="仿宋_GB2312" w:cs="仿宋_GB2312"/>
          <w:sz w:val="24"/>
        </w:rPr>
        <w:t>（4）CA办理：供应商未办理陕西省公共资源交易中心CA锁的供应商可到榆林市市民中心三楼交易中心窗口或西安市高新三路信息港大厦一楼办事大厅办理，咨询电话  0912-351503、029-88661241或4006-369-888（陕西CA联系电话）。</w:t>
      </w:r>
    </w:p>
    <w:p w14:paraId="4B1600BC">
      <w:pPr>
        <w:pStyle w:val="36"/>
        <w:outlineLvl w:val="3"/>
      </w:pPr>
      <w:r>
        <w:rPr>
          <w:rFonts w:ascii="仿宋_GB2312" w:hAnsi="仿宋_GB2312" w:eastAsia="仿宋_GB2312" w:cs="仿宋_GB2312"/>
          <w:b/>
          <w:sz w:val="24"/>
        </w:rPr>
        <w:t>八、对本次招标提出询问，请按以下方式联系。</w:t>
      </w:r>
    </w:p>
    <w:p w14:paraId="68DEE1ED">
      <w:pPr>
        <w:pStyle w:val="36"/>
        <w:outlineLvl w:val="5"/>
        <w:rPr>
          <w:sz w:val="21"/>
          <w:szCs w:val="21"/>
        </w:rPr>
      </w:pPr>
      <w:r>
        <w:rPr>
          <w:rFonts w:ascii="仿宋_GB2312" w:hAnsi="仿宋_GB2312" w:eastAsia="仿宋_GB2312" w:cs="仿宋_GB2312"/>
          <w:b/>
          <w:sz w:val="16"/>
          <w:szCs w:val="21"/>
        </w:rPr>
        <w:t>1.采购人信息</w:t>
      </w:r>
    </w:p>
    <w:p w14:paraId="47484411">
      <w:pPr>
        <w:pStyle w:val="36"/>
        <w:rPr>
          <w:sz w:val="21"/>
          <w:szCs w:val="21"/>
        </w:rPr>
      </w:pPr>
      <w:r>
        <w:rPr>
          <w:rFonts w:ascii="仿宋_GB2312" w:hAnsi="仿宋_GB2312" w:eastAsia="仿宋_GB2312" w:cs="仿宋_GB2312"/>
          <w:sz w:val="21"/>
          <w:szCs w:val="21"/>
        </w:rPr>
        <w:t>名称：榆林职业技术学院</w:t>
      </w:r>
    </w:p>
    <w:p w14:paraId="14507F22">
      <w:pPr>
        <w:pStyle w:val="36"/>
        <w:rPr>
          <w:sz w:val="21"/>
          <w:szCs w:val="21"/>
        </w:rPr>
      </w:pPr>
      <w:r>
        <w:rPr>
          <w:rFonts w:ascii="仿宋_GB2312" w:hAnsi="仿宋_GB2312" w:eastAsia="仿宋_GB2312" w:cs="仿宋_GB2312"/>
          <w:sz w:val="21"/>
          <w:szCs w:val="21"/>
        </w:rPr>
        <w:t>地址：榆林高新产业园区西环路1号</w:t>
      </w:r>
    </w:p>
    <w:p w14:paraId="43BF840F">
      <w:pPr>
        <w:pStyle w:val="36"/>
        <w:rPr>
          <w:sz w:val="21"/>
          <w:szCs w:val="21"/>
        </w:rPr>
      </w:pPr>
      <w:r>
        <w:rPr>
          <w:rFonts w:ascii="仿宋_GB2312" w:hAnsi="仿宋_GB2312" w:eastAsia="仿宋_GB2312" w:cs="仿宋_GB2312"/>
          <w:sz w:val="21"/>
          <w:szCs w:val="21"/>
        </w:rPr>
        <w:t>联系方式：15319648665</w:t>
      </w:r>
    </w:p>
    <w:p w14:paraId="6083BE35">
      <w:pPr>
        <w:pStyle w:val="36"/>
        <w:outlineLvl w:val="5"/>
        <w:rPr>
          <w:sz w:val="21"/>
          <w:szCs w:val="21"/>
        </w:rPr>
      </w:pPr>
      <w:r>
        <w:rPr>
          <w:rFonts w:ascii="仿宋_GB2312" w:hAnsi="仿宋_GB2312" w:eastAsia="仿宋_GB2312" w:cs="仿宋_GB2312"/>
          <w:b/>
          <w:sz w:val="16"/>
          <w:szCs w:val="21"/>
        </w:rPr>
        <w:t>2.采购代理机构信息</w:t>
      </w:r>
    </w:p>
    <w:p w14:paraId="7AFD5EA0">
      <w:pPr>
        <w:pStyle w:val="36"/>
        <w:rPr>
          <w:sz w:val="21"/>
          <w:szCs w:val="21"/>
        </w:rPr>
      </w:pPr>
      <w:r>
        <w:rPr>
          <w:rFonts w:ascii="仿宋_GB2312" w:hAnsi="仿宋_GB2312" w:eastAsia="仿宋_GB2312" w:cs="仿宋_GB2312"/>
          <w:sz w:val="21"/>
          <w:szCs w:val="21"/>
        </w:rPr>
        <w:t>名称：陕西九图达项目管理有限公司</w:t>
      </w:r>
    </w:p>
    <w:p w14:paraId="1D9C3FCD">
      <w:pPr>
        <w:pStyle w:val="36"/>
        <w:rPr>
          <w:sz w:val="21"/>
          <w:szCs w:val="21"/>
        </w:rPr>
      </w:pPr>
      <w:r>
        <w:rPr>
          <w:rFonts w:ascii="仿宋_GB2312" w:hAnsi="仿宋_GB2312" w:eastAsia="仿宋_GB2312" w:cs="仿宋_GB2312"/>
          <w:sz w:val="21"/>
          <w:szCs w:val="21"/>
        </w:rPr>
        <w:t>地址：陕西省榆林市榆阳区尚德名苑南门西写字楼609</w:t>
      </w:r>
      <w:r>
        <w:rPr>
          <w:rFonts w:hint="eastAsia" w:ascii="仿宋_GB2312" w:hAnsi="仿宋_GB2312" w:eastAsia="仿宋_GB2312" w:cs="仿宋_GB2312"/>
          <w:sz w:val="21"/>
          <w:szCs w:val="21"/>
          <w:lang w:val="en-US" w:eastAsia="zh-CN"/>
        </w:rPr>
        <w:t>室</w:t>
      </w:r>
    </w:p>
    <w:p w14:paraId="5E860407">
      <w:pPr>
        <w:pStyle w:val="36"/>
        <w:rPr>
          <w:sz w:val="21"/>
          <w:szCs w:val="21"/>
        </w:rPr>
      </w:pPr>
      <w:r>
        <w:rPr>
          <w:rFonts w:ascii="仿宋_GB2312" w:hAnsi="仿宋_GB2312" w:eastAsia="仿宋_GB2312" w:cs="仿宋_GB2312"/>
          <w:sz w:val="21"/>
          <w:szCs w:val="21"/>
        </w:rPr>
        <w:t>联系方式：13325420185</w:t>
      </w:r>
    </w:p>
    <w:p w14:paraId="5FDA4C61">
      <w:pPr>
        <w:pStyle w:val="36"/>
        <w:outlineLvl w:val="5"/>
        <w:rPr>
          <w:sz w:val="21"/>
          <w:szCs w:val="21"/>
        </w:rPr>
      </w:pPr>
      <w:r>
        <w:rPr>
          <w:rFonts w:ascii="仿宋_GB2312" w:hAnsi="仿宋_GB2312" w:eastAsia="仿宋_GB2312" w:cs="仿宋_GB2312"/>
          <w:b/>
          <w:sz w:val="16"/>
          <w:szCs w:val="21"/>
        </w:rPr>
        <w:t>3.项目联系方式</w:t>
      </w:r>
    </w:p>
    <w:p w14:paraId="618DE8B3">
      <w:pPr>
        <w:pStyle w:val="36"/>
        <w:rPr>
          <w:rFonts w:hint="eastAsia" w:ascii="仿宋_GB2312" w:hAnsi="仿宋_GB2312" w:eastAsia="仿宋_GB2312" w:cs="仿宋_GB2312"/>
          <w:sz w:val="21"/>
          <w:szCs w:val="21"/>
          <w:lang w:val="en-US" w:eastAsia="zh-CN"/>
        </w:rPr>
      </w:pPr>
      <w:r>
        <w:rPr>
          <w:rFonts w:ascii="仿宋_GB2312" w:hAnsi="仿宋_GB2312" w:eastAsia="仿宋_GB2312" w:cs="仿宋_GB2312"/>
          <w:sz w:val="21"/>
          <w:szCs w:val="21"/>
        </w:rPr>
        <w:t>项目联系人：</w:t>
      </w:r>
      <w:r>
        <w:rPr>
          <w:rFonts w:hint="eastAsia" w:ascii="仿宋_GB2312" w:hAnsi="仿宋_GB2312" w:eastAsia="仿宋_GB2312" w:cs="仿宋_GB2312"/>
          <w:sz w:val="21"/>
          <w:szCs w:val="21"/>
          <w:lang w:val="en-US" w:eastAsia="zh-CN"/>
        </w:rPr>
        <w:t>经办</w:t>
      </w:r>
    </w:p>
    <w:p w14:paraId="1BE5E0A6">
      <w:pPr>
        <w:pStyle w:val="36"/>
        <w:rPr>
          <w:rFonts w:hint="default" w:eastAsia="仿宋_GB2312"/>
          <w:sz w:val="21"/>
          <w:szCs w:val="21"/>
          <w:lang w:val="en-US" w:eastAsia="zh-CN"/>
        </w:rPr>
      </w:pPr>
      <w:r>
        <w:rPr>
          <w:rFonts w:ascii="仿宋_GB2312" w:hAnsi="仿宋_GB2312" w:eastAsia="仿宋_GB2312" w:cs="仿宋_GB2312"/>
          <w:sz w:val="21"/>
          <w:szCs w:val="21"/>
        </w:rPr>
        <w:t>电话：</w:t>
      </w:r>
      <w:r>
        <w:rPr>
          <w:rFonts w:hint="eastAsia" w:ascii="仿宋_GB2312" w:hAnsi="仿宋_GB2312" w:eastAsia="仿宋_GB2312" w:cs="仿宋_GB2312"/>
          <w:sz w:val="21"/>
          <w:szCs w:val="21"/>
          <w:lang w:val="en-US" w:eastAsia="zh-CN"/>
        </w:rPr>
        <w:t>15029425465</w:t>
      </w:r>
    </w:p>
    <w:p w14:paraId="37340AAB">
      <w:pPr>
        <w:keepNext w:val="0"/>
        <w:keepLines w:val="0"/>
        <w:pageBreakBefore w:val="0"/>
        <w:kinsoku/>
        <w:overflowPunct/>
        <w:topLinePunct w:val="0"/>
        <w:autoSpaceDE/>
        <w:autoSpaceDN/>
        <w:bidi w:val="0"/>
        <w:adjustRightInd/>
        <w:snapToGrid/>
        <w:spacing w:line="360" w:lineRule="auto"/>
        <w:ind w:left="0"/>
        <w:textAlignment w:val="auto"/>
        <w:rPr>
          <w:rFonts w:hint="eastAsia" w:ascii="仿宋" w:hAnsi="仿宋" w:eastAsia="仿宋" w:cs="仿宋"/>
          <w:sz w:val="24"/>
          <w:szCs w:val="24"/>
        </w:rPr>
      </w:pPr>
      <w:r>
        <w:rPr>
          <w:rFonts w:ascii="仿宋_GB2312" w:hAnsi="仿宋_GB2312" w:eastAsia="仿宋_GB2312" w:cs="仿宋_GB2312"/>
          <w:sz w:val="22"/>
          <w:szCs w:val="28"/>
        </w:rPr>
        <w:t>陕西九图达项目管理有限公司</w:t>
      </w:r>
      <w:r>
        <w:rPr>
          <w:sz w:val="22"/>
          <w:szCs w:val="28"/>
        </w:rPr>
        <w:br w:type="textWrapping"/>
      </w:r>
    </w:p>
    <w:p w14:paraId="146C6691">
      <w:pPr>
        <w:keepNext w:val="0"/>
        <w:keepLines w:val="0"/>
        <w:pageBreakBefore w:val="0"/>
        <w:kinsoku/>
        <w:overflowPunct/>
        <w:topLinePunct w:val="0"/>
        <w:autoSpaceDE/>
        <w:autoSpaceDN/>
        <w:bidi w:val="0"/>
        <w:adjustRightInd/>
        <w:snapToGrid/>
        <w:spacing w:line="360" w:lineRule="auto"/>
        <w:ind w:left="0"/>
        <w:textAlignment w:val="auto"/>
        <w:rPr>
          <w:rFonts w:hint="eastAsia" w:ascii="仿宋" w:hAnsi="仿宋" w:eastAsia="仿宋" w:cs="仿宋"/>
          <w:sz w:val="24"/>
          <w:szCs w:val="24"/>
          <w:lang w:val="en-US" w:eastAsia="zh-CN"/>
        </w:rPr>
      </w:pPr>
    </w:p>
    <w:p w14:paraId="09393696">
      <w:pPr>
        <w:rPr>
          <w:rFonts w:hint="eastAsia" w:ascii="宋体" w:hAnsi="宋体" w:eastAsia="宋体" w:cs="宋体"/>
          <w:b/>
          <w:bCs/>
          <w:color w:val="auto"/>
          <w:sz w:val="36"/>
          <w:szCs w:val="44"/>
          <w:lang w:val="en-US" w:eastAsia="zh-CN"/>
        </w:rPr>
      </w:pPr>
      <w:r>
        <w:rPr>
          <w:rFonts w:hint="eastAsia" w:ascii="宋体" w:hAnsi="宋体" w:eastAsia="宋体" w:cs="宋体"/>
          <w:b/>
          <w:bCs/>
          <w:color w:val="auto"/>
          <w:sz w:val="36"/>
          <w:szCs w:val="44"/>
          <w:lang w:val="en-US" w:eastAsia="zh-CN"/>
        </w:rPr>
        <w:br w:type="page"/>
      </w:r>
    </w:p>
    <w:p w14:paraId="6208CE14">
      <w:pPr>
        <w:ind w:firstLine="2891" w:firstLineChars="800"/>
        <w:rPr>
          <w:rFonts w:hint="eastAsia" w:ascii="宋体" w:hAnsi="宋体" w:eastAsia="宋体" w:cs="宋体"/>
          <w:b/>
          <w:bCs/>
          <w:color w:val="auto"/>
          <w:sz w:val="36"/>
          <w:szCs w:val="44"/>
          <w:lang w:val="en-US" w:eastAsia="zh-CN"/>
        </w:rPr>
      </w:pPr>
      <w:r>
        <w:rPr>
          <w:rFonts w:hint="eastAsia" w:ascii="宋体" w:hAnsi="宋体" w:eastAsia="宋体" w:cs="宋体"/>
          <w:b/>
          <w:bCs/>
          <w:color w:val="auto"/>
          <w:sz w:val="36"/>
          <w:szCs w:val="44"/>
          <w:lang w:val="en-US" w:eastAsia="zh-CN"/>
        </w:rPr>
        <w:t>第二章 供应商须知</w:t>
      </w:r>
    </w:p>
    <w:p w14:paraId="0CA229F0">
      <w:pPr>
        <w:keepNext w:val="0"/>
        <w:keepLines w:val="0"/>
        <w:pageBreakBefore w:val="0"/>
        <w:kinsoku/>
        <w:wordWrap w:val="0"/>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供应商须知前附表</w:t>
      </w:r>
    </w:p>
    <w:tbl>
      <w:tblPr>
        <w:tblStyle w:val="24"/>
        <w:tblW w:w="9312"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8598"/>
      </w:tblGrid>
      <w:tr w14:paraId="6A574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blHeader/>
          <w:jc w:val="right"/>
        </w:trPr>
        <w:tc>
          <w:tcPr>
            <w:tcW w:w="714" w:type="dxa"/>
            <w:noWrap w:val="0"/>
            <w:vAlign w:val="center"/>
          </w:tcPr>
          <w:p w14:paraId="63B7081F">
            <w:pPr>
              <w:keepNext w:val="0"/>
              <w:keepLines w:val="0"/>
              <w:pageBreakBefore w:val="0"/>
              <w:kinsoku/>
              <w:wordWrap w:val="0"/>
              <w:overflowPunct/>
              <w:topLinePunct w:val="0"/>
              <w:autoSpaceDE/>
              <w:autoSpaceDN/>
              <w:bidi w:val="0"/>
              <w:adjustRightInd/>
              <w:snapToGrid/>
              <w:spacing w:line="240" w:lineRule="auto"/>
              <w:ind w:left="0" w:firstLine="0" w:firstLineChars="0"/>
              <w:jc w:val="center"/>
              <w:textAlignment w:val="auto"/>
              <w:rPr>
                <w:rFonts w:hint="eastAsia" w:ascii="宋体" w:hAnsi="宋体" w:eastAsia="宋体" w:cs="宋体"/>
                <w:b/>
                <w:color w:val="auto"/>
                <w:sz w:val="24"/>
                <w:szCs w:val="24"/>
              </w:rPr>
            </w:pPr>
            <w:bookmarkStart w:id="4" w:name="_Toc307476822"/>
            <w:bookmarkStart w:id="5" w:name="_Toc294649607"/>
            <w:bookmarkStart w:id="6" w:name="_Toc313435089"/>
            <w:bookmarkStart w:id="7" w:name="_Toc302465479"/>
            <w:bookmarkStart w:id="8" w:name="_Toc294689028"/>
            <w:bookmarkStart w:id="9" w:name="_Toc20762"/>
            <w:bookmarkStart w:id="10" w:name="_Toc307319708"/>
            <w:bookmarkStart w:id="11" w:name="_Toc294650433"/>
            <w:bookmarkStart w:id="12" w:name="_Toc294650331"/>
            <w:bookmarkStart w:id="13" w:name="_Toc294650191"/>
            <w:bookmarkStart w:id="14" w:name="_Toc32441"/>
            <w:bookmarkStart w:id="15" w:name="_Toc317063964"/>
            <w:r>
              <w:rPr>
                <w:rFonts w:hint="eastAsia" w:ascii="宋体" w:hAnsi="宋体" w:eastAsia="宋体" w:cs="宋体"/>
                <w:b/>
                <w:color w:val="auto"/>
                <w:sz w:val="24"/>
                <w:szCs w:val="24"/>
              </w:rPr>
              <w:t>项号</w:t>
            </w:r>
          </w:p>
        </w:tc>
        <w:tc>
          <w:tcPr>
            <w:tcW w:w="8598" w:type="dxa"/>
            <w:noWrap w:val="0"/>
            <w:vAlign w:val="center"/>
          </w:tcPr>
          <w:p w14:paraId="0E84D22E">
            <w:pPr>
              <w:keepNext w:val="0"/>
              <w:keepLines w:val="0"/>
              <w:pageBreakBefore w:val="0"/>
              <w:kinsoku/>
              <w:wordWrap w:val="0"/>
              <w:overflowPunct/>
              <w:topLinePunct w:val="0"/>
              <w:autoSpaceDE/>
              <w:autoSpaceDN/>
              <w:bidi w:val="0"/>
              <w:adjustRightInd/>
              <w:snapToGrid/>
              <w:spacing w:line="240" w:lineRule="auto"/>
              <w:ind w:left="0" w:firstLine="0" w:firstLineChars="0"/>
              <w:jc w:val="both"/>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编列内容</w:t>
            </w:r>
          </w:p>
        </w:tc>
      </w:tr>
      <w:tr w14:paraId="33444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right"/>
        </w:trPr>
        <w:tc>
          <w:tcPr>
            <w:tcW w:w="714" w:type="dxa"/>
            <w:noWrap w:val="0"/>
            <w:vAlign w:val="center"/>
          </w:tcPr>
          <w:p w14:paraId="23387EFE">
            <w:pPr>
              <w:keepNext w:val="0"/>
              <w:keepLines w:val="0"/>
              <w:pageBreakBefore w:val="0"/>
              <w:numPr>
                <w:ilvl w:val="0"/>
                <w:numId w:val="1"/>
              </w:numPr>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rPr>
            </w:pPr>
          </w:p>
        </w:tc>
        <w:tc>
          <w:tcPr>
            <w:tcW w:w="8598" w:type="dxa"/>
            <w:noWrap w:val="0"/>
            <w:vAlign w:val="center"/>
          </w:tcPr>
          <w:p w14:paraId="1569A0F9">
            <w:pPr>
              <w:keepNext w:val="0"/>
              <w:keepLines w:val="0"/>
              <w:pageBreakBefore w:val="0"/>
              <w:kinsoku/>
              <w:wordWrap w:val="0"/>
              <w:overflowPunct/>
              <w:topLinePunct w:val="0"/>
              <w:autoSpaceDE/>
              <w:autoSpaceDN/>
              <w:bidi w:val="0"/>
              <w:adjustRightInd/>
              <w:snapToGrid/>
              <w:spacing w:line="240" w:lineRule="auto"/>
              <w:ind w:left="0" w:firstLine="0" w:firstLineChars="0"/>
              <w:jc w:val="both"/>
              <w:textAlignment w:val="auto"/>
              <w:rPr>
                <w:rFonts w:hint="eastAsia" w:cs="宋体"/>
                <w:spacing w:val="3"/>
                <w:sz w:val="24"/>
                <w:szCs w:val="24"/>
                <w:lang w:val="en-US" w:eastAsia="zh-CN"/>
              </w:rPr>
            </w:pPr>
            <w:r>
              <w:rPr>
                <w:rFonts w:hint="eastAsia" w:ascii="宋体" w:hAnsi="宋体" w:eastAsia="宋体" w:cs="宋体"/>
                <w:i w:val="0"/>
                <w:iCs w:val="0"/>
                <w:caps w:val="0"/>
                <w:color w:val="auto"/>
                <w:spacing w:val="0"/>
                <w:kern w:val="0"/>
                <w:sz w:val="24"/>
                <w:szCs w:val="24"/>
                <w:shd w:val="clear" w:color="auto" w:fill="FFFFFF"/>
                <w:lang w:val="en-US" w:eastAsia="zh-CN" w:bidi="ar-SA"/>
              </w:rPr>
              <w:t>采购项目名称：</w:t>
            </w:r>
            <w:r>
              <w:rPr>
                <w:rFonts w:hint="eastAsia" w:cs="宋体"/>
                <w:spacing w:val="3"/>
                <w:sz w:val="24"/>
                <w:szCs w:val="24"/>
                <w:lang w:val="en-US" w:eastAsia="zh-CN"/>
              </w:rPr>
              <w:t>榆林职业技术学院煤化工技术专业（群）教学资源库建设采购项目（二次）</w:t>
            </w:r>
          </w:p>
          <w:p w14:paraId="2F4AA20B">
            <w:pPr>
              <w:keepNext w:val="0"/>
              <w:keepLines w:val="0"/>
              <w:pageBreakBefore w:val="0"/>
              <w:kinsoku/>
              <w:wordWrap w:val="0"/>
              <w:overflowPunct/>
              <w:topLinePunct w:val="0"/>
              <w:autoSpaceDE/>
              <w:autoSpaceDN/>
              <w:bidi w:val="0"/>
              <w:adjustRightInd/>
              <w:snapToGrid/>
              <w:spacing w:line="240" w:lineRule="auto"/>
              <w:ind w:left="0" w:firstLine="0" w:firstLineChars="0"/>
              <w:jc w:val="both"/>
              <w:textAlignment w:val="auto"/>
              <w:rPr>
                <w:rFonts w:hint="default"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项目编号：</w:t>
            </w:r>
            <w:r>
              <w:rPr>
                <w:rFonts w:hint="eastAsia" w:ascii="宋体" w:hAnsi="宋体" w:cs="宋体"/>
                <w:i w:val="0"/>
                <w:iCs w:val="0"/>
                <w:caps w:val="0"/>
                <w:color w:val="auto"/>
                <w:spacing w:val="0"/>
                <w:kern w:val="0"/>
                <w:sz w:val="24"/>
                <w:szCs w:val="24"/>
                <w:shd w:val="clear" w:color="auto" w:fill="FFFFFF"/>
                <w:lang w:val="en-US" w:eastAsia="zh-CN" w:bidi="ar-SA"/>
              </w:rPr>
              <w:t>JTD-2026-CG-0303.1B1</w:t>
            </w:r>
          </w:p>
          <w:p w14:paraId="3CDAE391">
            <w:pPr>
              <w:keepNext w:val="0"/>
              <w:keepLines w:val="0"/>
              <w:pageBreakBefore w:val="0"/>
              <w:kinsoku/>
              <w:wordWrap w:val="0"/>
              <w:overflowPunct/>
              <w:topLinePunct w:val="0"/>
              <w:autoSpaceDE/>
              <w:autoSpaceDN/>
              <w:bidi w:val="0"/>
              <w:adjustRightInd/>
              <w:snapToGrid/>
              <w:spacing w:line="240" w:lineRule="auto"/>
              <w:ind w:left="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项目地点：采购人指定地点</w:t>
            </w:r>
          </w:p>
        </w:tc>
      </w:tr>
      <w:tr w14:paraId="5E700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right"/>
        </w:trPr>
        <w:tc>
          <w:tcPr>
            <w:tcW w:w="714" w:type="dxa"/>
            <w:noWrap w:val="0"/>
            <w:vAlign w:val="center"/>
          </w:tcPr>
          <w:p w14:paraId="09FC88A8">
            <w:pPr>
              <w:keepNext w:val="0"/>
              <w:keepLines w:val="0"/>
              <w:pageBreakBefore w:val="0"/>
              <w:numPr>
                <w:ilvl w:val="0"/>
                <w:numId w:val="1"/>
              </w:numPr>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rPr>
            </w:pPr>
          </w:p>
        </w:tc>
        <w:tc>
          <w:tcPr>
            <w:tcW w:w="8598" w:type="dxa"/>
            <w:noWrap w:val="0"/>
            <w:vAlign w:val="center"/>
          </w:tcPr>
          <w:p w14:paraId="5D1D901A">
            <w:pPr>
              <w:keepNext w:val="0"/>
              <w:keepLines w:val="0"/>
              <w:pageBreakBefore w:val="0"/>
              <w:kinsoku/>
              <w:wordWrap w:val="0"/>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项目性质：</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SA"/>
              </w:rPr>
              <w:t>财政资金</w:t>
            </w:r>
          </w:p>
        </w:tc>
      </w:tr>
      <w:tr w14:paraId="62EB2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right"/>
        </w:trPr>
        <w:tc>
          <w:tcPr>
            <w:tcW w:w="714" w:type="dxa"/>
            <w:noWrap w:val="0"/>
            <w:vAlign w:val="center"/>
          </w:tcPr>
          <w:p w14:paraId="4BF97D39">
            <w:pPr>
              <w:keepNext w:val="0"/>
              <w:keepLines w:val="0"/>
              <w:pageBreakBefore w:val="0"/>
              <w:numPr>
                <w:ilvl w:val="0"/>
                <w:numId w:val="1"/>
              </w:numPr>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rPr>
            </w:pPr>
          </w:p>
        </w:tc>
        <w:tc>
          <w:tcPr>
            <w:tcW w:w="8598" w:type="dxa"/>
            <w:noWrap w:val="0"/>
            <w:vAlign w:val="center"/>
          </w:tcPr>
          <w:p w14:paraId="17ED897E">
            <w:pPr>
              <w:keepNext w:val="0"/>
              <w:keepLines w:val="0"/>
              <w:pageBreakBefore w:val="0"/>
              <w:kinsoku/>
              <w:wordWrap w:val="0"/>
              <w:overflowPunct/>
              <w:topLinePunct w:val="0"/>
              <w:autoSpaceDE/>
              <w:autoSpaceDN/>
              <w:bidi w:val="0"/>
              <w:adjustRightInd/>
              <w:snapToGrid/>
              <w:spacing w:line="240" w:lineRule="auto"/>
              <w:ind w:left="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采购人：</w:t>
            </w:r>
            <w:r>
              <w:rPr>
                <w:rFonts w:hint="eastAsia" w:ascii="宋体" w:hAnsi="宋体" w:eastAsia="宋体" w:cs="宋体"/>
                <w:i w:val="0"/>
                <w:iCs w:val="0"/>
                <w:caps w:val="0"/>
                <w:color w:val="auto"/>
                <w:spacing w:val="0"/>
                <w:sz w:val="24"/>
                <w:szCs w:val="24"/>
                <w:highlight w:val="none"/>
                <w:shd w:val="clear" w:color="auto" w:fill="FFFFFF"/>
              </w:rPr>
              <w:t>榆林职业技术学院</w:t>
            </w:r>
          </w:p>
          <w:p w14:paraId="579EF0AF">
            <w:pPr>
              <w:keepNext w:val="0"/>
              <w:keepLines w:val="0"/>
              <w:pageBreakBefore w:val="0"/>
              <w:kinsoku/>
              <w:wordWrap w:val="0"/>
              <w:overflowPunct/>
              <w:topLinePunct w:val="0"/>
              <w:autoSpaceDE/>
              <w:autoSpaceDN/>
              <w:bidi w:val="0"/>
              <w:adjustRightInd/>
              <w:snapToGrid/>
              <w:spacing w:line="240" w:lineRule="auto"/>
              <w:ind w:left="0" w:firstLine="0" w:firstLineChars="0"/>
              <w:jc w:val="both"/>
              <w:textAlignment w:val="auto"/>
              <w:rPr>
                <w:rFonts w:hint="default"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采购代理机构：</w:t>
            </w:r>
            <w:r>
              <w:rPr>
                <w:rFonts w:hint="eastAsia" w:ascii="宋体" w:hAnsi="宋体" w:cs="宋体"/>
                <w:i w:val="0"/>
                <w:iCs w:val="0"/>
                <w:caps w:val="0"/>
                <w:color w:val="auto"/>
                <w:spacing w:val="0"/>
                <w:kern w:val="0"/>
                <w:sz w:val="24"/>
                <w:szCs w:val="24"/>
                <w:shd w:val="clear" w:color="auto" w:fill="FFFFFF"/>
                <w:lang w:val="en-US" w:eastAsia="zh-CN" w:bidi="ar-SA"/>
              </w:rPr>
              <w:t>陕西九图达项目管理有限公司</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SA"/>
              </w:rPr>
              <w:t xml:space="preserve">      </w:t>
            </w:r>
          </w:p>
        </w:tc>
      </w:tr>
      <w:tr w14:paraId="783D7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right"/>
        </w:trPr>
        <w:tc>
          <w:tcPr>
            <w:tcW w:w="714" w:type="dxa"/>
            <w:noWrap w:val="0"/>
            <w:vAlign w:val="center"/>
          </w:tcPr>
          <w:p w14:paraId="14567982">
            <w:pPr>
              <w:keepNext w:val="0"/>
              <w:keepLines w:val="0"/>
              <w:pageBreakBefore w:val="0"/>
              <w:numPr>
                <w:ilvl w:val="0"/>
                <w:numId w:val="1"/>
              </w:numPr>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rPr>
            </w:pPr>
          </w:p>
        </w:tc>
        <w:tc>
          <w:tcPr>
            <w:tcW w:w="8598" w:type="dxa"/>
            <w:noWrap w:val="0"/>
            <w:vAlign w:val="center"/>
          </w:tcPr>
          <w:p w14:paraId="5F076135">
            <w:pPr>
              <w:keepNext w:val="0"/>
              <w:keepLines w:val="0"/>
              <w:pageBreakBefore w:val="0"/>
              <w:kinsoku/>
              <w:wordWrap w:val="0"/>
              <w:overflowPunct/>
              <w:topLinePunct w:val="0"/>
              <w:autoSpaceDE/>
              <w:autoSpaceDN/>
              <w:bidi w:val="0"/>
              <w:adjustRightInd/>
              <w:snapToGrid/>
              <w:spacing w:line="240" w:lineRule="auto"/>
              <w:ind w:left="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SA"/>
              </w:rPr>
              <w:t>采购内容</w:t>
            </w:r>
            <w:r>
              <w:rPr>
                <w:rFonts w:hint="eastAsia" w:ascii="宋体" w:hAnsi="宋体" w:cs="宋体"/>
                <w:i w:val="0"/>
                <w:iCs w:val="0"/>
                <w:caps w:val="0"/>
                <w:color w:val="auto"/>
                <w:spacing w:val="0"/>
                <w:kern w:val="0"/>
                <w:sz w:val="24"/>
                <w:szCs w:val="24"/>
                <w:highlight w:val="none"/>
                <w:shd w:val="clear" w:color="auto" w:fill="FFFFFF"/>
                <w:lang w:val="en-US" w:eastAsia="zh-CN" w:bidi="ar-SA"/>
              </w:rPr>
              <w:t>：</w:t>
            </w:r>
            <w:r>
              <w:rPr>
                <w:rFonts w:hint="eastAsia" w:ascii="宋体" w:hAnsi="宋体" w:cs="宋体"/>
                <w:b w:val="0"/>
                <w:bCs w:val="0"/>
                <w:color w:val="auto"/>
                <w:kern w:val="0"/>
                <w:sz w:val="24"/>
                <w:szCs w:val="24"/>
                <w:highlight w:val="none"/>
                <w:u w:val="none" w:color="000000"/>
                <w:shd w:val="clear" w:color="auto" w:fill="FFFFFF"/>
                <w:lang w:val="en-US" w:eastAsia="zh-CN"/>
              </w:rPr>
              <w:t>榆林职业技术学院煤化工技术专业（群）教学资源库建设采购项目</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SA"/>
              </w:rPr>
              <w:t>，详细内容见第四章</w:t>
            </w:r>
          </w:p>
        </w:tc>
      </w:tr>
      <w:tr w14:paraId="11985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jc w:val="right"/>
        </w:trPr>
        <w:tc>
          <w:tcPr>
            <w:tcW w:w="714" w:type="dxa"/>
            <w:noWrap w:val="0"/>
            <w:vAlign w:val="center"/>
          </w:tcPr>
          <w:p w14:paraId="30574D84">
            <w:pPr>
              <w:keepNext w:val="0"/>
              <w:keepLines w:val="0"/>
              <w:pageBreakBefore w:val="0"/>
              <w:numPr>
                <w:ilvl w:val="0"/>
                <w:numId w:val="1"/>
              </w:numPr>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rPr>
            </w:pPr>
          </w:p>
        </w:tc>
        <w:tc>
          <w:tcPr>
            <w:tcW w:w="8598" w:type="dxa"/>
            <w:noWrap w:val="0"/>
            <w:vAlign w:val="center"/>
          </w:tcPr>
          <w:p w14:paraId="6E2986F8">
            <w:pPr>
              <w:keepNext w:val="0"/>
              <w:keepLines w:val="0"/>
              <w:pageBreakBefore w:val="0"/>
              <w:widowControl/>
              <w:suppressLineNumbers w:val="0"/>
              <w:kinsoku/>
              <w:wordWrap w:val="0"/>
              <w:overflowPunct/>
              <w:topLinePunct w:val="0"/>
              <w:autoSpaceDE/>
              <w:autoSpaceDN/>
              <w:bidi w:val="0"/>
              <w:adjustRightInd/>
              <w:snapToGrid/>
              <w:spacing w:line="240" w:lineRule="auto"/>
              <w:ind w:left="0" w:firstLine="0" w:firstLineChars="0"/>
              <w:jc w:val="both"/>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SA"/>
              </w:rPr>
              <w:t>磋商文件递交截止时间及磋商时间和地点：</w:t>
            </w:r>
          </w:p>
          <w:p w14:paraId="333E8CBE">
            <w:pPr>
              <w:keepNext w:val="0"/>
              <w:keepLines w:val="0"/>
              <w:pageBreakBefore w:val="0"/>
              <w:widowControl/>
              <w:suppressLineNumbers w:val="0"/>
              <w:kinsoku/>
              <w:wordWrap w:val="0"/>
              <w:overflowPunct/>
              <w:topLinePunct w:val="0"/>
              <w:autoSpaceDE/>
              <w:autoSpaceDN/>
              <w:bidi w:val="0"/>
              <w:adjustRightInd/>
              <w:snapToGrid/>
              <w:spacing w:line="240" w:lineRule="auto"/>
              <w:ind w:left="0" w:firstLine="0" w:firstLineChars="0"/>
              <w:jc w:val="both"/>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SA"/>
              </w:rPr>
              <w:t>磋商文件递交截止时间：</w:t>
            </w:r>
            <w:r>
              <w:rPr>
                <w:rFonts w:hint="eastAsia" w:ascii="宋体" w:hAnsi="宋体" w:eastAsia="宋体" w:cs="宋体"/>
                <w:i w:val="0"/>
                <w:iCs w:val="0"/>
                <w:caps w:val="0"/>
                <w:color w:val="auto"/>
                <w:spacing w:val="0"/>
                <w:sz w:val="24"/>
                <w:szCs w:val="24"/>
                <w:highlight w:val="none"/>
                <w:shd w:val="clear" w:color="auto" w:fill="FFFFFF"/>
              </w:rPr>
              <w:t>202</w:t>
            </w:r>
            <w:r>
              <w:rPr>
                <w:rFonts w:hint="eastAsia" w:ascii="宋体" w:hAnsi="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cs="宋体"/>
                <w:i w:val="0"/>
                <w:iCs w:val="0"/>
                <w:caps w:val="0"/>
                <w:color w:val="auto"/>
                <w:spacing w:val="0"/>
                <w:sz w:val="24"/>
                <w:szCs w:val="24"/>
                <w:highlight w:val="none"/>
                <w:shd w:val="clear" w:color="auto" w:fill="FFFFFF"/>
                <w:lang w:val="en-US" w:eastAsia="zh-CN"/>
              </w:rPr>
              <w:t>5</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cs="宋体"/>
                <w:i w:val="0"/>
                <w:iCs w:val="0"/>
                <w:caps w:val="0"/>
                <w:color w:val="auto"/>
                <w:spacing w:val="0"/>
                <w:sz w:val="24"/>
                <w:szCs w:val="24"/>
                <w:highlight w:val="none"/>
                <w:shd w:val="clear" w:color="auto" w:fill="FFFFFF"/>
                <w:lang w:val="en-US" w:eastAsia="zh-CN"/>
              </w:rPr>
              <w:t>28</w:t>
            </w:r>
            <w:r>
              <w:rPr>
                <w:rFonts w:hint="eastAsia" w:ascii="宋体" w:hAnsi="宋体" w:eastAsia="宋体" w:cs="宋体"/>
                <w:i w:val="0"/>
                <w:iCs w:val="0"/>
                <w:caps w:val="0"/>
                <w:color w:val="auto"/>
                <w:spacing w:val="0"/>
                <w:sz w:val="24"/>
                <w:szCs w:val="24"/>
                <w:highlight w:val="none"/>
                <w:shd w:val="clear" w:color="auto" w:fill="FFFFFF"/>
              </w:rPr>
              <w:t>日</w:t>
            </w:r>
            <w:r>
              <w:rPr>
                <w:rFonts w:hint="eastAsia" w:ascii="宋体" w:hAnsi="宋体" w:cs="宋体"/>
                <w:i w:val="0"/>
                <w:iCs w:val="0"/>
                <w:caps w:val="0"/>
                <w:color w:val="auto"/>
                <w:spacing w:val="0"/>
                <w:sz w:val="24"/>
                <w:szCs w:val="24"/>
                <w:highlight w:val="none"/>
                <w:shd w:val="clear" w:color="auto" w:fill="FFFFFF"/>
                <w:lang w:val="en-US" w:eastAsia="zh-CN"/>
              </w:rPr>
              <w:t>13</w:t>
            </w:r>
            <w:r>
              <w:rPr>
                <w:rFonts w:hint="eastAsia" w:ascii="宋体" w:hAnsi="宋体" w:eastAsia="宋体" w:cs="宋体"/>
                <w:i w:val="0"/>
                <w:iCs w:val="0"/>
                <w:caps w:val="0"/>
                <w:color w:val="auto"/>
                <w:spacing w:val="0"/>
                <w:sz w:val="24"/>
                <w:szCs w:val="24"/>
                <w:highlight w:val="none"/>
                <w:shd w:val="clear" w:color="auto" w:fill="FFFFFF"/>
              </w:rPr>
              <w:t>时</w:t>
            </w:r>
            <w:r>
              <w:rPr>
                <w:rFonts w:hint="eastAsia" w:ascii="宋体" w:hAnsi="宋体" w:cs="宋体"/>
                <w:i w:val="0"/>
                <w:iCs w:val="0"/>
                <w:caps w:val="0"/>
                <w:color w:val="auto"/>
                <w:spacing w:val="0"/>
                <w:sz w:val="24"/>
                <w:szCs w:val="24"/>
                <w:highlight w:val="none"/>
                <w:shd w:val="clear" w:color="auto" w:fill="FFFFFF"/>
                <w:lang w:val="en-US" w:eastAsia="zh-CN"/>
              </w:rPr>
              <w:t>30</w:t>
            </w:r>
            <w:r>
              <w:rPr>
                <w:rFonts w:hint="eastAsia" w:ascii="宋体" w:hAnsi="宋体" w:eastAsia="宋体" w:cs="宋体"/>
                <w:i w:val="0"/>
                <w:iCs w:val="0"/>
                <w:caps w:val="0"/>
                <w:color w:val="auto"/>
                <w:spacing w:val="0"/>
                <w:sz w:val="24"/>
                <w:szCs w:val="24"/>
                <w:highlight w:val="none"/>
                <w:shd w:val="clear" w:color="auto" w:fill="FFFFFF"/>
              </w:rPr>
              <w:t>分</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SA"/>
              </w:rPr>
              <w:t>（北京时间）</w:t>
            </w:r>
          </w:p>
          <w:p w14:paraId="3F632AE4">
            <w:pPr>
              <w:keepNext w:val="0"/>
              <w:keepLines w:val="0"/>
              <w:pageBreakBefore w:val="0"/>
              <w:widowControl/>
              <w:suppressLineNumbers w:val="0"/>
              <w:kinsoku/>
              <w:wordWrap w:val="0"/>
              <w:overflowPunct/>
              <w:topLinePunct w:val="0"/>
              <w:autoSpaceDE/>
              <w:autoSpaceDN/>
              <w:bidi w:val="0"/>
              <w:adjustRightInd/>
              <w:snapToGrid/>
              <w:spacing w:line="240" w:lineRule="auto"/>
              <w:ind w:left="0" w:firstLine="0" w:firstLineChars="0"/>
              <w:jc w:val="both"/>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SA"/>
              </w:rPr>
              <w:t>磋商时间：</w:t>
            </w:r>
            <w:r>
              <w:rPr>
                <w:rFonts w:hint="eastAsia" w:ascii="宋体" w:hAnsi="宋体" w:eastAsia="宋体" w:cs="宋体"/>
                <w:i w:val="0"/>
                <w:iCs w:val="0"/>
                <w:caps w:val="0"/>
                <w:color w:val="auto"/>
                <w:spacing w:val="0"/>
                <w:sz w:val="24"/>
                <w:szCs w:val="24"/>
                <w:highlight w:val="none"/>
                <w:shd w:val="clear" w:color="auto" w:fill="FFFFFF"/>
              </w:rPr>
              <w:t>202</w:t>
            </w:r>
            <w:r>
              <w:rPr>
                <w:rFonts w:hint="eastAsia" w:ascii="宋体" w:hAnsi="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cs="宋体"/>
                <w:i w:val="0"/>
                <w:iCs w:val="0"/>
                <w:caps w:val="0"/>
                <w:color w:val="auto"/>
                <w:spacing w:val="0"/>
                <w:sz w:val="24"/>
                <w:szCs w:val="24"/>
                <w:highlight w:val="none"/>
                <w:shd w:val="clear" w:color="auto" w:fill="FFFFFF"/>
                <w:lang w:val="en-US" w:eastAsia="zh-CN"/>
              </w:rPr>
              <w:t>5</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cs="宋体"/>
                <w:i w:val="0"/>
                <w:iCs w:val="0"/>
                <w:caps w:val="0"/>
                <w:color w:val="auto"/>
                <w:spacing w:val="0"/>
                <w:sz w:val="24"/>
                <w:szCs w:val="24"/>
                <w:highlight w:val="none"/>
                <w:shd w:val="clear" w:color="auto" w:fill="FFFFFF"/>
                <w:lang w:val="en-US" w:eastAsia="zh-CN"/>
              </w:rPr>
              <w:t>28</w:t>
            </w:r>
            <w:r>
              <w:rPr>
                <w:rFonts w:hint="eastAsia" w:ascii="宋体" w:hAnsi="宋体" w:eastAsia="宋体" w:cs="宋体"/>
                <w:i w:val="0"/>
                <w:iCs w:val="0"/>
                <w:caps w:val="0"/>
                <w:color w:val="auto"/>
                <w:spacing w:val="0"/>
                <w:sz w:val="24"/>
                <w:szCs w:val="24"/>
                <w:highlight w:val="none"/>
                <w:shd w:val="clear" w:color="auto" w:fill="FFFFFF"/>
              </w:rPr>
              <w:t>日</w:t>
            </w:r>
            <w:r>
              <w:rPr>
                <w:rFonts w:hint="eastAsia" w:ascii="宋体" w:hAnsi="宋体" w:cs="宋体"/>
                <w:i w:val="0"/>
                <w:iCs w:val="0"/>
                <w:caps w:val="0"/>
                <w:color w:val="auto"/>
                <w:spacing w:val="0"/>
                <w:sz w:val="24"/>
                <w:szCs w:val="24"/>
                <w:highlight w:val="none"/>
                <w:shd w:val="clear" w:color="auto" w:fill="FFFFFF"/>
                <w:lang w:val="en-US" w:eastAsia="zh-CN"/>
              </w:rPr>
              <w:t>13</w:t>
            </w:r>
            <w:r>
              <w:rPr>
                <w:rFonts w:hint="eastAsia" w:ascii="宋体" w:hAnsi="宋体" w:eastAsia="宋体" w:cs="宋体"/>
                <w:i w:val="0"/>
                <w:iCs w:val="0"/>
                <w:caps w:val="0"/>
                <w:color w:val="auto"/>
                <w:spacing w:val="0"/>
                <w:sz w:val="24"/>
                <w:szCs w:val="24"/>
                <w:highlight w:val="none"/>
                <w:shd w:val="clear" w:color="auto" w:fill="FFFFFF"/>
              </w:rPr>
              <w:t>时</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rFonts w:hint="eastAsia" w:ascii="宋体" w:hAnsi="宋体" w:cs="宋体"/>
                <w:i w:val="0"/>
                <w:iCs w:val="0"/>
                <w:caps w:val="0"/>
                <w:color w:val="auto"/>
                <w:spacing w:val="0"/>
                <w:sz w:val="24"/>
                <w:szCs w:val="24"/>
                <w:highlight w:val="none"/>
                <w:shd w:val="clear" w:color="auto" w:fill="FFFFFF"/>
                <w:lang w:val="en-US" w:eastAsia="zh-CN"/>
              </w:rPr>
              <w:t>30</w:t>
            </w:r>
            <w:r>
              <w:rPr>
                <w:rFonts w:hint="eastAsia" w:ascii="宋体" w:hAnsi="宋体" w:eastAsia="宋体" w:cs="宋体"/>
                <w:i w:val="0"/>
                <w:iCs w:val="0"/>
                <w:caps w:val="0"/>
                <w:color w:val="auto"/>
                <w:spacing w:val="0"/>
                <w:sz w:val="24"/>
                <w:szCs w:val="24"/>
                <w:highlight w:val="none"/>
                <w:shd w:val="clear" w:color="auto" w:fill="FFFFFF"/>
              </w:rPr>
              <w:t>分</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SA"/>
              </w:rPr>
              <w:t>（北京时间）</w:t>
            </w:r>
          </w:p>
          <w:p w14:paraId="4161C8FF">
            <w:pPr>
              <w:keepNext w:val="0"/>
              <w:keepLines w:val="0"/>
              <w:pageBreakBefore w:val="0"/>
              <w:widowControl/>
              <w:suppressLineNumbers w:val="0"/>
              <w:kinsoku/>
              <w:wordWrap w:val="0"/>
              <w:overflowPunct/>
              <w:topLinePunct w:val="0"/>
              <w:autoSpaceDE/>
              <w:autoSpaceDN/>
              <w:bidi w:val="0"/>
              <w:adjustRightInd/>
              <w:snapToGrid/>
              <w:spacing w:line="240" w:lineRule="auto"/>
              <w:ind w:left="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SA"/>
              </w:rPr>
              <w:t>磋商地点：不见面开标系统（榆林市公共资源交易中心</w:t>
            </w:r>
            <w:r>
              <w:rPr>
                <w:rFonts w:hint="eastAsia" w:ascii="宋体" w:hAnsi="宋体" w:cs="宋体"/>
                <w:i w:val="0"/>
                <w:iCs w:val="0"/>
                <w:caps w:val="0"/>
                <w:color w:val="auto"/>
                <w:spacing w:val="0"/>
                <w:kern w:val="0"/>
                <w:sz w:val="24"/>
                <w:szCs w:val="24"/>
                <w:highlight w:val="none"/>
                <w:shd w:val="clear" w:color="auto" w:fill="FFFFFF"/>
                <w:lang w:val="en-US" w:eastAsia="zh-CN" w:bidi="ar-SA"/>
              </w:rPr>
              <w:t>）</w:t>
            </w:r>
          </w:p>
        </w:tc>
      </w:tr>
      <w:tr w14:paraId="3EE6C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right"/>
        </w:trPr>
        <w:tc>
          <w:tcPr>
            <w:tcW w:w="714" w:type="dxa"/>
            <w:noWrap w:val="0"/>
            <w:vAlign w:val="center"/>
          </w:tcPr>
          <w:p w14:paraId="7F091BD4">
            <w:pPr>
              <w:keepNext w:val="0"/>
              <w:keepLines w:val="0"/>
              <w:pageBreakBefore w:val="0"/>
              <w:numPr>
                <w:ilvl w:val="0"/>
                <w:numId w:val="1"/>
              </w:numPr>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rPr>
            </w:pPr>
          </w:p>
        </w:tc>
        <w:tc>
          <w:tcPr>
            <w:tcW w:w="8598" w:type="dxa"/>
            <w:noWrap w:val="0"/>
            <w:vAlign w:val="center"/>
          </w:tcPr>
          <w:p w14:paraId="67EC2116">
            <w:pPr>
              <w:keepNext w:val="0"/>
              <w:keepLines w:val="0"/>
              <w:pageBreakBefore w:val="0"/>
              <w:kinsoku/>
              <w:wordWrap w:val="0"/>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评审方法：</w:t>
            </w:r>
            <w:r>
              <w:rPr>
                <w:rFonts w:hint="eastAsia" w:ascii="宋体" w:hAnsi="宋体" w:eastAsia="宋体" w:cs="宋体"/>
                <w:color w:val="auto"/>
                <w:kern w:val="0"/>
                <w:sz w:val="24"/>
                <w:szCs w:val="24"/>
                <w:lang w:val="en-US" w:eastAsia="zh-CN" w:bidi="ar"/>
              </w:rPr>
              <w:t>采购人、政府采购代理机构通过组建竞争性磋商小组（以下简称磋商小组）与符合条件的供应商就采购货物、工程和服务事宜进行磋商，供应商按照磋商文件的要求提交响应文件和报价，采购人从磋商小组评审后提出的候选供应商名单中确定成交供应商。</w:t>
            </w:r>
          </w:p>
        </w:tc>
      </w:tr>
      <w:tr w14:paraId="7D0EA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right"/>
        </w:trPr>
        <w:tc>
          <w:tcPr>
            <w:tcW w:w="714" w:type="dxa"/>
            <w:noWrap w:val="0"/>
            <w:vAlign w:val="center"/>
          </w:tcPr>
          <w:p w14:paraId="0A0B6C76">
            <w:pPr>
              <w:keepNext w:val="0"/>
              <w:keepLines w:val="0"/>
              <w:pageBreakBefore w:val="0"/>
              <w:numPr>
                <w:ilvl w:val="0"/>
                <w:numId w:val="1"/>
              </w:numPr>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rPr>
            </w:pPr>
          </w:p>
        </w:tc>
        <w:tc>
          <w:tcPr>
            <w:tcW w:w="8598" w:type="dxa"/>
            <w:noWrap w:val="0"/>
            <w:vAlign w:val="center"/>
          </w:tcPr>
          <w:p w14:paraId="0AAECED3">
            <w:pPr>
              <w:keepNext w:val="0"/>
              <w:keepLines w:val="0"/>
              <w:pageBreakBefore w:val="0"/>
              <w:kinsoku/>
              <w:wordWrap w:val="0"/>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偏差：本项目不允许负偏差</w:t>
            </w:r>
          </w:p>
        </w:tc>
      </w:tr>
      <w:tr w14:paraId="309E1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jc w:val="right"/>
        </w:trPr>
        <w:tc>
          <w:tcPr>
            <w:tcW w:w="714" w:type="dxa"/>
            <w:noWrap w:val="0"/>
            <w:vAlign w:val="center"/>
          </w:tcPr>
          <w:p w14:paraId="05865F30">
            <w:pPr>
              <w:keepNext w:val="0"/>
              <w:keepLines w:val="0"/>
              <w:pageBreakBefore w:val="0"/>
              <w:numPr>
                <w:ilvl w:val="0"/>
                <w:numId w:val="1"/>
              </w:numPr>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rPr>
            </w:pPr>
          </w:p>
        </w:tc>
        <w:tc>
          <w:tcPr>
            <w:tcW w:w="8598" w:type="dxa"/>
            <w:noWrap w:val="0"/>
            <w:vAlign w:val="center"/>
          </w:tcPr>
          <w:p w14:paraId="5128CDD0">
            <w:pPr>
              <w:keepNext w:val="0"/>
              <w:keepLines w:val="0"/>
              <w:pageBreakBefore w:val="0"/>
              <w:widowControl/>
              <w:suppressLineNumbers w:val="0"/>
              <w:kinsoku/>
              <w:wordWrap w:val="0"/>
              <w:overflowPunct/>
              <w:topLinePunct w:val="0"/>
              <w:autoSpaceDE/>
              <w:autoSpaceDN/>
              <w:bidi w:val="0"/>
              <w:adjustRightInd/>
              <w:snapToGrid/>
              <w:spacing w:line="240" w:lineRule="auto"/>
              <w:ind w:left="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本合同包采购最高限价：</w:t>
            </w:r>
            <w:r>
              <w:rPr>
                <w:rFonts w:hint="eastAsia" w:ascii="宋体" w:hAnsi="宋体" w:cs="宋体"/>
                <w:b w:val="0"/>
                <w:bCs w:val="0"/>
                <w:i w:val="0"/>
                <w:iCs w:val="0"/>
                <w:caps w:val="0"/>
                <w:color w:val="auto"/>
                <w:spacing w:val="0"/>
                <w:kern w:val="0"/>
                <w:sz w:val="24"/>
                <w:szCs w:val="24"/>
                <w:shd w:val="clear" w:color="auto" w:fill="FFFFFF"/>
                <w:lang w:val="en-US" w:eastAsia="zh-CN" w:bidi="ar-SA"/>
              </w:rPr>
              <w:t>壹佰</w:t>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陆拾万元整（￥</w:t>
            </w:r>
            <w:r>
              <w:rPr>
                <w:rFonts w:hint="eastAsia" w:ascii="宋体" w:hAnsi="宋体" w:cs="宋体"/>
                <w:b w:val="0"/>
                <w:bCs w:val="0"/>
                <w:i w:val="0"/>
                <w:iCs w:val="0"/>
                <w:caps w:val="0"/>
                <w:color w:val="auto"/>
                <w:spacing w:val="0"/>
                <w:kern w:val="0"/>
                <w:sz w:val="24"/>
                <w:szCs w:val="24"/>
                <w:shd w:val="clear" w:color="auto" w:fill="FFFFFF"/>
                <w:lang w:val="en-US" w:eastAsia="zh-CN" w:bidi="ar-SA"/>
              </w:rPr>
              <w:t>1</w:t>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600000.00元），高于或等于最高限价的响应文件按无效响应文件处理。</w:t>
            </w:r>
          </w:p>
        </w:tc>
      </w:tr>
      <w:tr w14:paraId="70AB1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right"/>
        </w:trPr>
        <w:tc>
          <w:tcPr>
            <w:tcW w:w="714" w:type="dxa"/>
            <w:noWrap w:val="0"/>
            <w:vAlign w:val="center"/>
          </w:tcPr>
          <w:p w14:paraId="556ADA2B">
            <w:pPr>
              <w:keepNext w:val="0"/>
              <w:keepLines w:val="0"/>
              <w:pageBreakBefore w:val="0"/>
              <w:numPr>
                <w:ilvl w:val="0"/>
                <w:numId w:val="1"/>
              </w:numPr>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rPr>
            </w:pPr>
          </w:p>
        </w:tc>
        <w:tc>
          <w:tcPr>
            <w:tcW w:w="8598" w:type="dxa"/>
            <w:noWrap w:val="0"/>
            <w:vAlign w:val="center"/>
          </w:tcPr>
          <w:p w14:paraId="3CBD7139">
            <w:pPr>
              <w:keepNext w:val="0"/>
              <w:keepLines w:val="0"/>
              <w:pageBreakBefore w:val="0"/>
              <w:widowControl/>
              <w:suppressLineNumbers w:val="0"/>
              <w:kinsoku/>
              <w:wordWrap w:val="0"/>
              <w:overflowPunct/>
              <w:topLinePunct w:val="0"/>
              <w:autoSpaceDE/>
              <w:autoSpaceDN/>
              <w:bidi w:val="0"/>
              <w:adjustRightInd/>
              <w:snapToGrid/>
              <w:spacing w:line="240" w:lineRule="auto"/>
              <w:ind w:left="0" w:firstLine="0" w:firstLineChars="0"/>
              <w:jc w:val="both"/>
              <w:textAlignment w:val="auto"/>
              <w:rPr>
                <w:rFonts w:hint="default"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服务期限：</w:t>
            </w:r>
            <w:r>
              <w:rPr>
                <w:rFonts w:hint="eastAsia" w:ascii="宋体" w:hAnsi="宋体" w:eastAsia="宋体" w:cs="宋体"/>
                <w:sz w:val="24"/>
                <w:shd w:val="clear" w:fill="FFFFFF" w:themeFill="background1"/>
                <w:lang w:eastAsia="zh-CN"/>
              </w:rPr>
              <w:t>合同签订之日起</w:t>
            </w:r>
            <w:r>
              <w:rPr>
                <w:rFonts w:hint="eastAsia" w:ascii="宋体" w:hAnsi="宋体" w:cs="宋体"/>
                <w:sz w:val="24"/>
                <w:shd w:val="clear" w:fill="FFFFFF" w:themeFill="background1"/>
                <w:lang w:val="en-US" w:eastAsia="zh-CN"/>
              </w:rPr>
              <w:t>180天</w:t>
            </w:r>
          </w:p>
        </w:tc>
      </w:tr>
      <w:tr w14:paraId="0182C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right"/>
        </w:trPr>
        <w:tc>
          <w:tcPr>
            <w:tcW w:w="714" w:type="dxa"/>
            <w:noWrap w:val="0"/>
            <w:vAlign w:val="center"/>
          </w:tcPr>
          <w:p w14:paraId="53432F6E">
            <w:pPr>
              <w:keepNext w:val="0"/>
              <w:keepLines w:val="0"/>
              <w:pageBreakBefore w:val="0"/>
              <w:numPr>
                <w:ilvl w:val="0"/>
                <w:numId w:val="1"/>
              </w:numPr>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rPr>
            </w:pPr>
          </w:p>
        </w:tc>
        <w:tc>
          <w:tcPr>
            <w:tcW w:w="8598" w:type="dxa"/>
            <w:noWrap w:val="0"/>
            <w:vAlign w:val="center"/>
          </w:tcPr>
          <w:p w14:paraId="2BD30E20">
            <w:pPr>
              <w:pStyle w:val="29"/>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服务要求：符合现行行业规范合格标准</w:t>
            </w:r>
          </w:p>
        </w:tc>
      </w:tr>
      <w:tr w14:paraId="0E3A0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right"/>
        </w:trPr>
        <w:tc>
          <w:tcPr>
            <w:tcW w:w="714" w:type="dxa"/>
            <w:noWrap w:val="0"/>
            <w:vAlign w:val="center"/>
          </w:tcPr>
          <w:p w14:paraId="423D0255">
            <w:pPr>
              <w:keepNext w:val="0"/>
              <w:keepLines w:val="0"/>
              <w:pageBreakBefore w:val="0"/>
              <w:numPr>
                <w:ilvl w:val="0"/>
                <w:numId w:val="1"/>
              </w:numPr>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rPr>
            </w:pPr>
          </w:p>
        </w:tc>
        <w:tc>
          <w:tcPr>
            <w:tcW w:w="8598" w:type="dxa"/>
            <w:noWrap w:val="0"/>
            <w:vAlign w:val="center"/>
          </w:tcPr>
          <w:p w14:paraId="03EF152B">
            <w:pPr>
              <w:keepNext w:val="0"/>
              <w:keepLines w:val="0"/>
              <w:pageBreakBefore w:val="0"/>
              <w:kinsoku/>
              <w:wordWrap w:val="0"/>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付款方式：具体见合同约定。</w:t>
            </w:r>
          </w:p>
        </w:tc>
      </w:tr>
      <w:tr w14:paraId="54A75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right"/>
        </w:trPr>
        <w:tc>
          <w:tcPr>
            <w:tcW w:w="714" w:type="dxa"/>
            <w:noWrap w:val="0"/>
            <w:vAlign w:val="center"/>
          </w:tcPr>
          <w:p w14:paraId="780D69A7">
            <w:pPr>
              <w:keepNext w:val="0"/>
              <w:keepLines w:val="0"/>
              <w:pageBreakBefore w:val="0"/>
              <w:numPr>
                <w:ilvl w:val="0"/>
                <w:numId w:val="1"/>
              </w:numPr>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rPr>
            </w:pPr>
          </w:p>
        </w:tc>
        <w:tc>
          <w:tcPr>
            <w:tcW w:w="8598" w:type="dxa"/>
            <w:noWrap w:val="0"/>
            <w:vAlign w:val="center"/>
          </w:tcPr>
          <w:p w14:paraId="6E278785">
            <w:pPr>
              <w:keepNext w:val="0"/>
              <w:keepLines w:val="0"/>
              <w:pageBreakBefore w:val="0"/>
              <w:kinsoku/>
              <w:wordWrap w:val="0"/>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磋商保证金：</w:t>
            </w:r>
          </w:p>
          <w:p w14:paraId="0F4F3959">
            <w:pPr>
              <w:keepNext w:val="0"/>
              <w:keepLines w:val="0"/>
              <w:pageBreakBefore w:val="0"/>
              <w:kinsoku/>
              <w:wordWrap w:val="0"/>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执行榆政财采发【2023】8号文件，需填写投标信用承诺代替投标保证金</w:t>
            </w:r>
          </w:p>
        </w:tc>
      </w:tr>
      <w:tr w14:paraId="3DB15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right"/>
        </w:trPr>
        <w:tc>
          <w:tcPr>
            <w:tcW w:w="714" w:type="dxa"/>
            <w:noWrap w:val="0"/>
            <w:vAlign w:val="center"/>
          </w:tcPr>
          <w:p w14:paraId="1E17B1EF">
            <w:pPr>
              <w:keepNext w:val="0"/>
              <w:keepLines w:val="0"/>
              <w:pageBreakBefore w:val="0"/>
              <w:numPr>
                <w:ilvl w:val="0"/>
                <w:numId w:val="1"/>
              </w:numPr>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rPr>
            </w:pPr>
          </w:p>
        </w:tc>
        <w:tc>
          <w:tcPr>
            <w:tcW w:w="8598" w:type="dxa"/>
            <w:noWrap w:val="0"/>
            <w:vAlign w:val="center"/>
          </w:tcPr>
          <w:p w14:paraId="29191174">
            <w:pPr>
              <w:keepNext w:val="0"/>
              <w:keepLines w:val="0"/>
              <w:pageBreakBefore w:val="0"/>
              <w:kinsoku/>
              <w:wordWrap w:val="0"/>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磋商有效期：磋商响应文件从磋商之日起，磋商有效期为90日历天；成交供应商的磋商有效期延长至项目服务完毕。</w:t>
            </w:r>
          </w:p>
        </w:tc>
      </w:tr>
      <w:tr w14:paraId="34159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right"/>
        </w:trPr>
        <w:tc>
          <w:tcPr>
            <w:tcW w:w="714" w:type="dxa"/>
            <w:noWrap w:val="0"/>
            <w:vAlign w:val="center"/>
          </w:tcPr>
          <w:p w14:paraId="54C93D1A">
            <w:pPr>
              <w:keepNext w:val="0"/>
              <w:keepLines w:val="0"/>
              <w:pageBreakBefore w:val="0"/>
              <w:widowControl w:val="0"/>
              <w:numPr>
                <w:ilvl w:val="0"/>
                <w:numId w:val="1"/>
              </w:numPr>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rPr>
            </w:pPr>
          </w:p>
        </w:tc>
        <w:tc>
          <w:tcPr>
            <w:tcW w:w="8598" w:type="dxa"/>
            <w:noWrap w:val="0"/>
            <w:vAlign w:val="center"/>
          </w:tcPr>
          <w:p w14:paraId="11552E93">
            <w:pPr>
              <w:keepNext w:val="0"/>
              <w:keepLines w:val="0"/>
              <w:pageBreakBefore w:val="0"/>
              <w:kinsoku/>
              <w:wordWrap w:val="0"/>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纸质文件的递交</w:t>
            </w:r>
          </w:p>
          <w:p w14:paraId="71953F3F">
            <w:pPr>
              <w:keepNext w:val="0"/>
              <w:keepLines w:val="0"/>
              <w:pageBreakBefore w:val="0"/>
              <w:kinsoku/>
              <w:wordWrap w:val="0"/>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开标时服务商无需提交纸质磋商响应文件，待采购结果公告后，服务商须补交（可邮寄）纸质磋商响应文件叁份，投标文件电子Word版U盘一份（备案用）。</w:t>
            </w:r>
          </w:p>
          <w:p w14:paraId="34E36704">
            <w:pPr>
              <w:keepNext w:val="0"/>
              <w:keepLines w:val="0"/>
              <w:pageBreakBefore w:val="0"/>
              <w:kinsoku/>
              <w:wordWrap w:val="0"/>
              <w:overflowPunct/>
              <w:topLinePunct w:val="0"/>
              <w:autoSpaceDE/>
              <w:autoSpaceDN/>
              <w:bidi w:val="0"/>
              <w:adjustRightInd/>
              <w:snapToGrid/>
              <w:spacing w:line="240" w:lineRule="auto"/>
              <w:ind w:left="0" w:leftChars="0" w:firstLine="0" w:firstLineChars="0"/>
              <w:jc w:val="both"/>
              <w:textAlignment w:val="auto"/>
              <w:rPr>
                <w:rFonts w:hint="default" w:ascii="宋体" w:hAnsi="宋体" w:eastAsia="宋体" w:cs="宋体"/>
                <w:i w:val="0"/>
                <w:iCs w:val="0"/>
                <w:caps w:val="0"/>
                <w:color w:val="auto"/>
                <w:spacing w:val="0"/>
                <w:kern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SA"/>
              </w:rPr>
              <w:t>邮寄地址：</w:t>
            </w:r>
            <w:r>
              <w:rPr>
                <w:rFonts w:hint="eastAsia" w:ascii="宋体" w:hAnsi="宋体" w:cs="宋体"/>
                <w:i w:val="0"/>
                <w:iCs w:val="0"/>
                <w:caps w:val="0"/>
                <w:color w:val="auto"/>
                <w:spacing w:val="0"/>
                <w:kern w:val="0"/>
                <w:sz w:val="24"/>
                <w:szCs w:val="24"/>
                <w:highlight w:val="none"/>
                <w:shd w:val="clear" w:color="auto" w:fill="FFFFFF"/>
                <w:lang w:val="en-US" w:eastAsia="zh-CN" w:bidi="ar-SA"/>
              </w:rPr>
              <w:t>榆林市榆阳区尚德名苑西写字楼609室</w:t>
            </w:r>
          </w:p>
          <w:p w14:paraId="6C2921BB">
            <w:pPr>
              <w:keepNext w:val="0"/>
              <w:keepLines w:val="0"/>
              <w:pageBreakBefore w:val="0"/>
              <w:kinsoku/>
              <w:wordWrap w:val="0"/>
              <w:overflowPunct/>
              <w:topLinePunct w:val="0"/>
              <w:autoSpaceDE/>
              <w:autoSpaceDN/>
              <w:bidi w:val="0"/>
              <w:adjustRightInd/>
              <w:snapToGrid/>
              <w:spacing w:line="240" w:lineRule="auto"/>
              <w:ind w:left="0" w:leftChars="0" w:firstLine="0" w:firstLineChars="0"/>
              <w:jc w:val="both"/>
              <w:textAlignment w:val="auto"/>
              <w:rPr>
                <w:rFonts w:hint="default" w:ascii="宋体" w:hAnsi="宋体" w:eastAsia="宋体" w:cs="宋体"/>
                <w:i w:val="0"/>
                <w:iCs w:val="0"/>
                <w:caps w:val="0"/>
                <w:color w:val="auto"/>
                <w:spacing w:val="0"/>
                <w:kern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SA"/>
              </w:rPr>
              <w:t>收件人：</w:t>
            </w:r>
            <w:r>
              <w:rPr>
                <w:rFonts w:hint="eastAsia" w:ascii="宋体" w:hAnsi="宋体" w:cs="宋体"/>
                <w:i w:val="0"/>
                <w:iCs w:val="0"/>
                <w:caps w:val="0"/>
                <w:color w:val="auto"/>
                <w:spacing w:val="0"/>
                <w:kern w:val="0"/>
                <w:sz w:val="24"/>
                <w:szCs w:val="24"/>
                <w:highlight w:val="none"/>
                <w:shd w:val="clear" w:color="auto" w:fill="FFFFFF"/>
                <w:lang w:val="en-US" w:eastAsia="zh-CN" w:bidi="ar-SA"/>
              </w:rPr>
              <w:t>王宝军</w:t>
            </w:r>
          </w:p>
          <w:p w14:paraId="609DAB5D">
            <w:pPr>
              <w:keepNext w:val="0"/>
              <w:keepLines w:val="0"/>
              <w:pageBreakBefore w:val="0"/>
              <w:kinsoku/>
              <w:wordWrap w:val="0"/>
              <w:overflowPunct/>
              <w:topLinePunct w:val="0"/>
              <w:autoSpaceDE/>
              <w:autoSpaceDN/>
              <w:bidi w:val="0"/>
              <w:adjustRightInd/>
              <w:snapToGrid/>
              <w:spacing w:line="240" w:lineRule="auto"/>
              <w:ind w:left="0" w:leftChars="0" w:firstLine="0" w:firstLineChars="0"/>
              <w:jc w:val="both"/>
              <w:textAlignment w:val="auto"/>
              <w:rPr>
                <w:rFonts w:hint="default" w:ascii="宋体" w:hAnsi="宋体" w:eastAsia="宋体" w:cs="宋体"/>
                <w:i w:val="0"/>
                <w:iCs w:val="0"/>
                <w:caps w:val="0"/>
                <w:color w:val="auto"/>
                <w:spacing w:val="0"/>
                <w:kern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SA"/>
              </w:rPr>
              <w:t>收件联系电话：</w:t>
            </w:r>
            <w:r>
              <w:rPr>
                <w:rFonts w:hint="eastAsia" w:ascii="宋体" w:hAnsi="宋体" w:cs="宋体"/>
                <w:i w:val="0"/>
                <w:iCs w:val="0"/>
                <w:caps w:val="0"/>
                <w:color w:val="auto"/>
                <w:spacing w:val="0"/>
                <w:kern w:val="0"/>
                <w:sz w:val="24"/>
                <w:szCs w:val="24"/>
                <w:highlight w:val="none"/>
                <w:shd w:val="clear" w:color="auto" w:fill="FFFFFF"/>
                <w:lang w:val="en-US" w:eastAsia="zh-CN" w:bidi="ar-SA"/>
              </w:rPr>
              <w:t>15029425465</w:t>
            </w:r>
          </w:p>
          <w:p w14:paraId="7132AB2A">
            <w:pPr>
              <w:keepNext w:val="0"/>
              <w:keepLines w:val="0"/>
              <w:pageBreakBefore w:val="0"/>
              <w:kinsoku/>
              <w:wordWrap w:val="0"/>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采用电子化评审系统的采购项目，其纸质磋商响应文件应从政府采购项目投标文</w:t>
            </w:r>
          </w:p>
          <w:p w14:paraId="43C036B1">
            <w:pPr>
              <w:keepNext w:val="0"/>
              <w:keepLines w:val="0"/>
              <w:pageBreakBefore w:val="0"/>
              <w:kinsoku/>
              <w:wordWrap w:val="0"/>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件制作软件中导出进行印刷，并分别装订成册。项目分标段的，应按所投标段分别准备磋商响应文件。</w:t>
            </w:r>
          </w:p>
        </w:tc>
      </w:tr>
      <w:tr w14:paraId="1685F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right"/>
        </w:trPr>
        <w:tc>
          <w:tcPr>
            <w:tcW w:w="714" w:type="dxa"/>
            <w:noWrap w:val="0"/>
            <w:vAlign w:val="center"/>
          </w:tcPr>
          <w:p w14:paraId="4A103E87">
            <w:pPr>
              <w:keepNext w:val="0"/>
              <w:keepLines w:val="0"/>
              <w:pageBreakBefore w:val="0"/>
              <w:numPr>
                <w:ilvl w:val="0"/>
                <w:numId w:val="1"/>
              </w:numPr>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lang w:val="en-US" w:eastAsia="zh-CN"/>
              </w:rPr>
            </w:pPr>
          </w:p>
        </w:tc>
        <w:tc>
          <w:tcPr>
            <w:tcW w:w="8598" w:type="dxa"/>
            <w:noWrap w:val="0"/>
            <w:vAlign w:val="center"/>
          </w:tcPr>
          <w:p w14:paraId="086E423D">
            <w:pPr>
              <w:keepNext w:val="0"/>
              <w:keepLines w:val="0"/>
              <w:pageBreakBefore w:val="0"/>
              <w:kinsoku/>
              <w:wordWrap w:val="0"/>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资格证明文件：</w:t>
            </w:r>
          </w:p>
          <w:p w14:paraId="6AC927DD">
            <w:pPr>
              <w:keepNext w:val="0"/>
              <w:keepLines w:val="0"/>
              <w:pageBreakBefore w:val="0"/>
              <w:numPr>
                <w:ilvl w:val="0"/>
                <w:numId w:val="2"/>
              </w:numPr>
              <w:kinsoku/>
              <w:wordWrap w:val="0"/>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基本资格条件：符合《中华人民共和国政府采购法》第二十二条的规定；</w:t>
            </w:r>
          </w:p>
          <w:p w14:paraId="2717CA73">
            <w:pPr>
              <w:keepNext w:val="0"/>
              <w:keepLines w:val="0"/>
              <w:pageBreakBefore w:val="0"/>
              <w:numPr>
                <w:ilvl w:val="0"/>
                <w:numId w:val="2"/>
              </w:numPr>
              <w:kinsoku/>
              <w:wordWrap w:val="0"/>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特定资格条件：资格要求：（本项目为资格后审）</w:t>
            </w:r>
          </w:p>
          <w:p w14:paraId="3E0E3F33">
            <w:pPr>
              <w:keepNext w:val="0"/>
              <w:keepLines w:val="0"/>
              <w:pageBreakBefore w:val="0"/>
              <w:numPr>
                <w:ilvl w:val="0"/>
                <w:numId w:val="0"/>
              </w:numPr>
              <w:kinsoku/>
              <w:wordWrap w:val="0"/>
              <w:overflowPunct/>
              <w:topLinePunct w:val="0"/>
              <w:autoSpaceDE/>
              <w:autoSpaceDN/>
              <w:bidi w:val="0"/>
              <w:adjustRightInd/>
              <w:snapToGrid/>
              <w:spacing w:line="240" w:lineRule="auto"/>
              <w:ind w:left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服务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（2）参加政府采购活动前3年内经营活动中没有重大违法记录声明书；</w:t>
            </w:r>
          </w:p>
          <w:p w14:paraId="79793B9C">
            <w:pPr>
              <w:keepNext w:val="0"/>
              <w:keepLines w:val="0"/>
              <w:pageBreakBefore w:val="0"/>
              <w:numPr>
                <w:ilvl w:val="0"/>
                <w:numId w:val="0"/>
              </w:numPr>
              <w:kinsoku/>
              <w:wordWrap w:val="0"/>
              <w:overflowPunct/>
              <w:topLinePunct w:val="0"/>
              <w:autoSpaceDE/>
              <w:autoSpaceDN/>
              <w:bidi w:val="0"/>
              <w:adjustRightInd/>
              <w:snapToGrid/>
              <w:spacing w:line="240" w:lineRule="auto"/>
              <w:ind w:left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人提供</w:t>
            </w:r>
            <w:r>
              <w:rPr>
                <w:rFonts w:hint="eastAsia" w:ascii="宋体" w:hAnsi="宋体" w:eastAsia="宋体" w:cs="宋体"/>
                <w:color w:val="auto"/>
                <w:sz w:val="24"/>
                <w:szCs w:val="24"/>
              </w:rPr>
              <w:t>“信用中国”(www.creditchina.gov.cn)网站生成的带水印信用报告，信用中国”网站(www.creditchina.gov.cn)“记录失信被执行人、重大税收违法失信主体、政府采购严重违法失信行为”记录名单查询截图（打印件加盖投标单位公章），不得为中国政府采购网（www.ccgp.gov.cn）政府采购严重违法失信行为记录名单中被财政部门禁止参加政府采购活动的供应商（提供查询结果网页截图并加盖供应商公章）；</w:t>
            </w:r>
          </w:p>
          <w:p w14:paraId="667F9213">
            <w:pPr>
              <w:keepNext w:val="0"/>
              <w:keepLines w:val="0"/>
              <w:pageBreakBefore w:val="0"/>
              <w:numPr>
                <w:ilvl w:val="0"/>
                <w:numId w:val="0"/>
              </w:numPr>
              <w:kinsoku/>
              <w:wordWrap w:val="0"/>
              <w:overflowPunct/>
              <w:topLinePunct w:val="0"/>
              <w:autoSpaceDE/>
              <w:autoSpaceDN/>
              <w:bidi w:val="0"/>
              <w:adjustRightInd/>
              <w:snapToGrid/>
              <w:spacing w:line="240" w:lineRule="auto"/>
              <w:ind w:left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（4）财务状况报告：提供完整的2024年度</w:t>
            </w:r>
            <w:r>
              <w:rPr>
                <w:rFonts w:hint="eastAsia" w:ascii="宋体" w:hAnsi="宋体" w:cs="宋体"/>
                <w:color w:val="auto"/>
                <w:sz w:val="24"/>
                <w:szCs w:val="24"/>
                <w:lang w:val="en-US" w:eastAsia="zh-CN"/>
              </w:rPr>
              <w:t>或2025年度</w:t>
            </w:r>
            <w:r>
              <w:rPr>
                <w:rFonts w:hint="eastAsia" w:ascii="宋体" w:hAnsi="宋体" w:eastAsia="宋体" w:cs="宋体"/>
                <w:color w:val="auto"/>
                <w:sz w:val="24"/>
                <w:szCs w:val="24"/>
              </w:rPr>
              <w:t>的</w:t>
            </w:r>
            <w:r>
              <w:rPr>
                <w:rFonts w:hint="eastAsia" w:ascii="宋体" w:hAnsi="宋体" w:eastAsia="宋体" w:cs="宋体"/>
                <w:color w:val="auto"/>
                <w:sz w:val="24"/>
                <w:szCs w:val="24"/>
                <w:lang w:val="en-US" w:eastAsia="zh-CN"/>
              </w:rPr>
              <w:t>赋码</w:t>
            </w:r>
            <w:r>
              <w:rPr>
                <w:rFonts w:hint="eastAsia" w:ascii="宋体" w:hAnsi="宋体" w:eastAsia="宋体" w:cs="宋体"/>
                <w:color w:val="auto"/>
                <w:sz w:val="24"/>
                <w:szCs w:val="24"/>
              </w:rPr>
              <w:t>财务审计报告（至少包括资产负债表、利润表、现金流量表及其附注），新成立</w:t>
            </w:r>
            <w:r>
              <w:rPr>
                <w:rFonts w:hint="eastAsia" w:ascii="宋体" w:hAnsi="宋体" w:eastAsia="宋体" w:cs="宋体"/>
                <w:color w:val="auto"/>
                <w:sz w:val="24"/>
                <w:szCs w:val="24"/>
                <w:lang w:val="en-US" w:eastAsia="zh-CN"/>
              </w:rPr>
              <w:t>不足一年</w:t>
            </w:r>
            <w:r>
              <w:rPr>
                <w:rFonts w:hint="eastAsia" w:ascii="宋体" w:hAnsi="宋体" w:eastAsia="宋体" w:cs="宋体"/>
                <w:color w:val="auto"/>
                <w:sz w:val="24"/>
                <w:szCs w:val="24"/>
              </w:rPr>
              <w:t>的公司须提供基本开户银行出具（投标文件递交截止时间前一个月内）的资信证明；</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（5）税收缴纳证明：服务商须提供</w:t>
            </w:r>
            <w:r>
              <w:rPr>
                <w:rFonts w:hint="eastAsia" w:ascii="宋体" w:hAnsi="宋体" w:eastAsia="宋体" w:cs="宋体"/>
                <w:color w:val="auto"/>
                <w:sz w:val="24"/>
                <w:szCs w:val="24"/>
                <w:lang w:eastAsia="zh-CN"/>
              </w:rPr>
              <w:t>2025年</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eastAsia="zh-CN"/>
              </w:rPr>
              <w:t>月1日</w:t>
            </w:r>
            <w:r>
              <w:rPr>
                <w:rFonts w:hint="eastAsia" w:ascii="宋体" w:hAnsi="宋体" w:eastAsia="宋体" w:cs="宋体"/>
                <w:color w:val="auto"/>
                <w:sz w:val="24"/>
                <w:szCs w:val="24"/>
              </w:rPr>
              <w:t>至投标截止时间止至少一个月完税证明，完税证明上应有税务机关的公章（加盖公章复印件）；依法免税的供应商应提供相关文件证明；</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（6）社会保障资金缴纳证明：服务商须提供</w:t>
            </w:r>
            <w:r>
              <w:rPr>
                <w:rFonts w:hint="eastAsia" w:ascii="宋体" w:hAnsi="宋体" w:eastAsia="宋体" w:cs="宋体"/>
                <w:color w:val="auto"/>
                <w:sz w:val="24"/>
                <w:szCs w:val="24"/>
                <w:lang w:eastAsia="zh-CN"/>
              </w:rPr>
              <w:t>2025年</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eastAsia="zh-CN"/>
              </w:rPr>
              <w:t>月1日</w:t>
            </w:r>
            <w:r>
              <w:rPr>
                <w:rFonts w:hint="eastAsia" w:ascii="宋体" w:hAnsi="宋体" w:eastAsia="宋体" w:cs="宋体"/>
                <w:color w:val="auto"/>
                <w:sz w:val="24"/>
                <w:szCs w:val="24"/>
              </w:rPr>
              <w:t>至投标截止时间止至少一个月的社会保障资金缴存单据或社保机构开具的社会保险参保缴费情况证明；依法不需要缴纳社会保障资金的应提供相关文件证明； </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）服务商须具有履行合同所必需的专业技术</w:t>
            </w: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rPr>
              <w:t>能力（提供相应的证明资料或承诺函）；</w:t>
            </w:r>
          </w:p>
          <w:p w14:paraId="1019DAEB">
            <w:pPr>
              <w:keepNext w:val="0"/>
              <w:keepLines w:val="0"/>
              <w:pageBreakBefore w:val="0"/>
              <w:numPr>
                <w:ilvl w:val="0"/>
                <w:numId w:val="0"/>
              </w:numPr>
              <w:kinsoku/>
              <w:wordWrap w:val="0"/>
              <w:overflowPunct/>
              <w:topLinePunct w:val="0"/>
              <w:autoSpaceDE/>
              <w:autoSpaceDN/>
              <w:bidi w:val="0"/>
              <w:adjustRightInd/>
              <w:snapToGrid/>
              <w:spacing w:line="240" w:lineRule="auto"/>
              <w:ind w:leftChars="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)本项目不接受联合体投标，单位负责人为同一人或者存在直接控股、管理关系的不同投标人，不得参加同一合同项下的政府采购活动。</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9</w:t>
            </w:r>
            <w:r>
              <w:rPr>
                <w:rFonts w:hint="eastAsia" w:ascii="宋体" w:hAnsi="宋体" w:eastAsia="宋体" w:cs="宋体"/>
                <w:color w:val="auto"/>
                <w:sz w:val="24"/>
                <w:szCs w:val="24"/>
              </w:rPr>
              <w:t>）本项目专门面向</w:t>
            </w:r>
            <w:r>
              <w:rPr>
                <w:rFonts w:hint="eastAsia" w:ascii="宋体" w:hAnsi="宋体" w:eastAsia="宋体" w:cs="宋体"/>
                <w:color w:val="auto"/>
                <w:sz w:val="24"/>
                <w:szCs w:val="24"/>
                <w:lang w:val="en-US" w:eastAsia="zh-CN"/>
              </w:rPr>
              <w:t>中小微</w:t>
            </w:r>
            <w:r>
              <w:rPr>
                <w:rFonts w:hint="eastAsia" w:ascii="宋体" w:hAnsi="宋体" w:eastAsia="宋体" w:cs="宋体"/>
                <w:color w:val="auto"/>
                <w:sz w:val="24"/>
                <w:szCs w:val="24"/>
              </w:rPr>
              <w:t>企业采购，供应商须提供</w:t>
            </w:r>
            <w:r>
              <w:rPr>
                <w:rFonts w:hint="eastAsia" w:ascii="宋体" w:hAnsi="宋体" w:eastAsia="宋体" w:cs="宋体"/>
                <w:color w:val="auto"/>
                <w:sz w:val="24"/>
                <w:szCs w:val="24"/>
                <w:lang w:val="en-US" w:eastAsia="zh-CN"/>
              </w:rPr>
              <w:t>中小</w:t>
            </w:r>
            <w:r>
              <w:rPr>
                <w:rFonts w:hint="eastAsia" w:ascii="宋体" w:hAnsi="宋体" w:eastAsia="宋体" w:cs="宋体"/>
                <w:color w:val="auto"/>
                <w:sz w:val="24"/>
                <w:szCs w:val="24"/>
              </w:rPr>
              <w:t>企业声明函。</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备注：</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 1.本项目专门面向</w:t>
            </w:r>
            <w:r>
              <w:rPr>
                <w:rFonts w:hint="eastAsia" w:ascii="宋体" w:hAnsi="宋体" w:eastAsia="宋体" w:cs="宋体"/>
                <w:i w:val="0"/>
                <w:iCs w:val="0"/>
                <w:caps w:val="0"/>
                <w:color w:val="auto"/>
                <w:spacing w:val="0"/>
                <w:sz w:val="24"/>
                <w:szCs w:val="24"/>
                <w:highlight w:val="none"/>
                <w:shd w:val="clear" w:color="auto" w:fill="FFFFFF"/>
                <w:lang w:val="en-US" w:eastAsia="zh-CN"/>
              </w:rPr>
              <w:t>中小微</w:t>
            </w:r>
            <w:r>
              <w:rPr>
                <w:rFonts w:hint="eastAsia" w:ascii="宋体" w:hAnsi="宋体" w:eastAsia="宋体" w:cs="宋体"/>
                <w:color w:val="auto"/>
                <w:sz w:val="24"/>
                <w:szCs w:val="24"/>
              </w:rPr>
              <w:t>企业采购，供应商应填写</w:t>
            </w:r>
            <w:r>
              <w:rPr>
                <w:rFonts w:hint="eastAsia" w:ascii="宋体" w:hAnsi="宋体" w:eastAsia="宋体" w:cs="宋体"/>
                <w:i w:val="0"/>
                <w:iCs w:val="0"/>
                <w:caps w:val="0"/>
                <w:color w:val="auto"/>
                <w:spacing w:val="0"/>
                <w:sz w:val="24"/>
                <w:szCs w:val="24"/>
                <w:highlight w:val="none"/>
                <w:shd w:val="clear" w:color="auto" w:fill="FFFFFF"/>
                <w:lang w:val="en-US" w:eastAsia="zh-CN"/>
              </w:rPr>
              <w:t>中小微</w:t>
            </w:r>
            <w:r>
              <w:rPr>
                <w:rFonts w:hint="eastAsia" w:ascii="宋体" w:hAnsi="宋体" w:eastAsia="宋体" w:cs="宋体"/>
                <w:color w:val="auto"/>
                <w:sz w:val="24"/>
                <w:szCs w:val="24"/>
              </w:rPr>
              <w:t>企业声明函并对真实性负责(残疾人福利性企业及监狱企业视同为小型、微型企业)。</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 2.供应商依据《政府采购促进中小企业发展管理办法》相关规定享受扶持政策获得政府采购合同的，</w:t>
            </w:r>
            <w:r>
              <w:rPr>
                <w:rFonts w:hint="eastAsia" w:ascii="宋体" w:hAnsi="宋体" w:eastAsia="宋体" w:cs="宋体"/>
                <w:i w:val="0"/>
                <w:iCs w:val="0"/>
                <w:caps w:val="0"/>
                <w:color w:val="auto"/>
                <w:spacing w:val="0"/>
                <w:sz w:val="24"/>
                <w:szCs w:val="24"/>
                <w:highlight w:val="none"/>
                <w:shd w:val="clear" w:color="auto" w:fill="FFFFFF"/>
                <w:lang w:val="en-US" w:eastAsia="zh-CN"/>
              </w:rPr>
              <w:t>中小微</w:t>
            </w:r>
            <w:r>
              <w:rPr>
                <w:rFonts w:hint="eastAsia" w:ascii="宋体" w:hAnsi="宋体" w:eastAsia="宋体" w:cs="宋体"/>
                <w:color w:val="auto"/>
                <w:sz w:val="24"/>
                <w:szCs w:val="24"/>
              </w:rPr>
              <w:t>企业不得将合同分包给大中型企业，中型企业不得将合同分包给大型企业。</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 </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.以上为必备证明文件，不能全部提供的将拒绝其投标；(若有与法律规定不一致的，须按现行法律法规提供相应证书或材料)。</w:t>
            </w:r>
          </w:p>
        </w:tc>
      </w:tr>
      <w:tr w14:paraId="319BD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right"/>
        </w:trPr>
        <w:tc>
          <w:tcPr>
            <w:tcW w:w="714" w:type="dxa"/>
            <w:noWrap w:val="0"/>
            <w:vAlign w:val="center"/>
          </w:tcPr>
          <w:p w14:paraId="17B1C944">
            <w:pPr>
              <w:keepNext w:val="0"/>
              <w:keepLines w:val="0"/>
              <w:pageBreakBefore w:val="0"/>
              <w:numPr>
                <w:ilvl w:val="0"/>
                <w:numId w:val="1"/>
              </w:numPr>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lang w:val="en-US" w:eastAsia="zh-CN"/>
              </w:rPr>
            </w:pPr>
          </w:p>
        </w:tc>
        <w:tc>
          <w:tcPr>
            <w:tcW w:w="8598" w:type="dxa"/>
            <w:noWrap w:val="0"/>
            <w:vAlign w:val="center"/>
          </w:tcPr>
          <w:p w14:paraId="40FF0425">
            <w:pPr>
              <w:keepNext w:val="0"/>
              <w:keepLines w:val="0"/>
              <w:pageBreakBefore w:val="0"/>
              <w:kinsoku/>
              <w:wordWrap w:val="0"/>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合同签订：成交供应商</w:t>
            </w:r>
            <w:r>
              <w:rPr>
                <w:rFonts w:hint="eastAsia" w:ascii="宋体" w:hAnsi="宋体" w:cs="宋体"/>
                <w:i w:val="0"/>
                <w:iCs w:val="0"/>
                <w:caps w:val="0"/>
                <w:color w:val="auto"/>
                <w:spacing w:val="0"/>
                <w:kern w:val="0"/>
                <w:sz w:val="24"/>
                <w:szCs w:val="24"/>
                <w:shd w:val="clear" w:color="auto" w:fill="FFFFFF"/>
                <w:lang w:val="en-US" w:eastAsia="zh-CN" w:bidi="ar-SA"/>
              </w:rPr>
              <w:t>应在结果公示后10个工作日内</w:t>
            </w:r>
            <w:r>
              <w:rPr>
                <w:rFonts w:hint="eastAsia" w:ascii="宋体" w:hAnsi="宋体" w:eastAsia="宋体" w:cs="宋体"/>
                <w:i w:val="0"/>
                <w:iCs w:val="0"/>
                <w:caps w:val="0"/>
                <w:color w:val="auto"/>
                <w:spacing w:val="0"/>
                <w:kern w:val="0"/>
                <w:sz w:val="24"/>
                <w:szCs w:val="24"/>
                <w:shd w:val="clear" w:color="auto" w:fill="FFFFFF"/>
                <w:lang w:val="en-US" w:eastAsia="zh-CN" w:bidi="ar-SA"/>
              </w:rPr>
              <w:t>和采购人签订合同。</w:t>
            </w:r>
          </w:p>
        </w:tc>
      </w:tr>
      <w:tr w14:paraId="59B84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right"/>
        </w:trPr>
        <w:tc>
          <w:tcPr>
            <w:tcW w:w="714" w:type="dxa"/>
            <w:noWrap w:val="0"/>
            <w:vAlign w:val="center"/>
          </w:tcPr>
          <w:p w14:paraId="3D66A00E">
            <w:pPr>
              <w:keepNext w:val="0"/>
              <w:keepLines w:val="0"/>
              <w:pageBreakBefore w:val="0"/>
              <w:numPr>
                <w:ilvl w:val="0"/>
                <w:numId w:val="1"/>
              </w:numPr>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lang w:val="en-US" w:eastAsia="zh-CN"/>
              </w:rPr>
            </w:pPr>
          </w:p>
        </w:tc>
        <w:tc>
          <w:tcPr>
            <w:tcW w:w="8598" w:type="dxa"/>
            <w:noWrap w:val="0"/>
            <w:vAlign w:val="center"/>
          </w:tcPr>
          <w:p w14:paraId="1058E9E9">
            <w:pPr>
              <w:keepNext w:val="0"/>
              <w:keepLines w:val="0"/>
              <w:pageBreakBefore w:val="0"/>
              <w:kinsoku/>
              <w:wordWrap w:val="0"/>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其他：</w:t>
            </w:r>
          </w:p>
          <w:p w14:paraId="048FB387">
            <w:pPr>
              <w:keepNext w:val="0"/>
              <w:keepLines w:val="0"/>
              <w:pageBreakBefore w:val="0"/>
              <w:numPr>
                <w:ilvl w:val="0"/>
                <w:numId w:val="3"/>
              </w:numPr>
              <w:kinsoku/>
              <w:wordWrap w:val="0"/>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在本项目评标过程中，代理机构人员通过“信用中国”网站、中国政府采购网、“信用</w:t>
            </w:r>
            <w:r>
              <w:rPr>
                <w:rFonts w:hint="eastAsia" w:ascii="宋体" w:hAnsi="宋体" w:eastAsia="宋体" w:cs="宋体"/>
                <w:color w:val="auto"/>
                <w:sz w:val="24"/>
                <w:szCs w:val="24"/>
                <w:lang w:val="en-US" w:eastAsia="zh-CN"/>
              </w:rPr>
              <w:t>中国（陕西榆林）</w:t>
            </w:r>
            <w:r>
              <w:rPr>
                <w:rFonts w:hint="eastAsia" w:ascii="宋体" w:hAnsi="宋体" w:eastAsia="宋体" w:cs="宋体"/>
                <w:color w:val="auto"/>
                <w:sz w:val="24"/>
                <w:szCs w:val="24"/>
              </w:rPr>
              <w:t>”网站渠道查询本项目供应商的信用记录，并采取必要方式做好信用信息查询记录和证据留存，对列入失信被执行人、重大税收违法案件当事人名单、政府采购严重违法失信行为记录名单</w:t>
            </w:r>
            <w:r>
              <w:rPr>
                <w:rFonts w:hint="eastAsia" w:ascii="宋体" w:hAnsi="宋体" w:eastAsia="宋体" w:cs="宋体"/>
                <w:color w:val="auto"/>
                <w:sz w:val="24"/>
                <w:szCs w:val="24"/>
                <w:lang w:val="en-US" w:eastAsia="zh-CN"/>
              </w:rPr>
              <w:t>的</w:t>
            </w:r>
            <w:r>
              <w:rPr>
                <w:rFonts w:hint="eastAsia" w:ascii="宋体" w:hAnsi="宋体" w:eastAsia="宋体" w:cs="宋体"/>
                <w:color w:val="auto"/>
                <w:sz w:val="24"/>
                <w:szCs w:val="24"/>
              </w:rPr>
              <w:t>供应商，其投标无效；</w:t>
            </w:r>
          </w:p>
          <w:p w14:paraId="302BBB30">
            <w:pPr>
              <w:keepNext w:val="0"/>
              <w:keepLines w:val="0"/>
              <w:pageBreakBefore w:val="0"/>
              <w:numPr>
                <w:ilvl w:val="0"/>
                <w:numId w:val="3"/>
              </w:numPr>
              <w:kinsoku/>
              <w:wordWrap w:val="0"/>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针对同一项目，不同供应商使用同一计算机制作并生成电子响应文件的视为文件制作机器码一致</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一经发现，视为供应商相互串通投标，将导致投标均被拒绝且按串通投标处理。</w:t>
            </w:r>
          </w:p>
        </w:tc>
      </w:tr>
      <w:tr w14:paraId="28D6D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right"/>
        </w:trPr>
        <w:tc>
          <w:tcPr>
            <w:tcW w:w="714" w:type="dxa"/>
            <w:noWrap w:val="0"/>
            <w:vAlign w:val="center"/>
          </w:tcPr>
          <w:p w14:paraId="0F23BEC9">
            <w:pPr>
              <w:keepNext w:val="0"/>
              <w:keepLines w:val="0"/>
              <w:pageBreakBefore w:val="0"/>
              <w:numPr>
                <w:ilvl w:val="0"/>
                <w:numId w:val="1"/>
              </w:numPr>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lang w:val="en-US" w:eastAsia="zh-CN"/>
              </w:rPr>
            </w:pPr>
          </w:p>
        </w:tc>
        <w:tc>
          <w:tcPr>
            <w:tcW w:w="8598" w:type="dxa"/>
            <w:noWrap w:val="0"/>
            <w:vAlign w:val="center"/>
          </w:tcPr>
          <w:p w14:paraId="2CEDDFF4">
            <w:pPr>
              <w:keepNext w:val="0"/>
              <w:keepLines w:val="0"/>
              <w:pageBreakBefore w:val="0"/>
              <w:kinsoku/>
              <w:wordWrap w:val="0"/>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 xml:space="preserve">招标代理服务费： </w:t>
            </w:r>
          </w:p>
          <w:p w14:paraId="4A3B99E0">
            <w:pPr>
              <w:keepNext w:val="0"/>
              <w:keepLines w:val="0"/>
              <w:pageBreakBefore w:val="0"/>
              <w:kinsoku/>
              <w:wordWrap w:val="0"/>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zh-CN" w:eastAsia="zh-CN" w:bidi="ar-SA"/>
              </w:rPr>
            </w:pPr>
            <w:r>
              <w:rPr>
                <w:rFonts w:hint="eastAsia" w:ascii="宋体" w:hAnsi="宋体" w:eastAsia="宋体" w:cs="宋体"/>
                <w:i w:val="0"/>
                <w:iCs w:val="0"/>
                <w:caps w:val="0"/>
                <w:color w:val="auto"/>
                <w:spacing w:val="0"/>
                <w:kern w:val="0"/>
                <w:sz w:val="24"/>
                <w:szCs w:val="24"/>
                <w:shd w:val="clear" w:color="auto" w:fill="FFFFFF"/>
                <w:lang w:val="zh-CN" w:eastAsia="zh-CN" w:bidi="ar-SA"/>
              </w:rPr>
              <w:t>1、</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SA"/>
              </w:rPr>
              <w:t>招标代理</w:t>
            </w:r>
            <w:r>
              <w:rPr>
                <w:rFonts w:hint="eastAsia" w:ascii="宋体" w:hAnsi="宋体" w:eastAsia="宋体" w:cs="宋体"/>
                <w:i w:val="0"/>
                <w:iCs w:val="0"/>
                <w:caps w:val="0"/>
                <w:color w:val="auto"/>
                <w:spacing w:val="0"/>
                <w:kern w:val="0"/>
                <w:sz w:val="24"/>
                <w:szCs w:val="24"/>
                <w:highlight w:val="none"/>
                <w:shd w:val="clear" w:color="auto" w:fill="FFFFFF"/>
                <w:lang w:val="zh-CN" w:eastAsia="zh-CN" w:bidi="ar-SA"/>
              </w:rPr>
              <w:t>费由</w:t>
            </w:r>
            <w:r>
              <w:rPr>
                <w:rFonts w:hint="eastAsia" w:ascii="宋体" w:hAnsi="宋体" w:cs="宋体"/>
                <w:i w:val="0"/>
                <w:iCs w:val="0"/>
                <w:caps w:val="0"/>
                <w:color w:val="auto"/>
                <w:spacing w:val="0"/>
                <w:kern w:val="0"/>
                <w:sz w:val="24"/>
                <w:szCs w:val="24"/>
                <w:highlight w:val="none"/>
                <w:shd w:val="clear" w:color="auto" w:fill="FFFFFF"/>
                <w:lang w:val="en-US" w:eastAsia="zh-CN" w:bidi="ar-SA"/>
              </w:rPr>
              <w:t>采购</w:t>
            </w:r>
            <w:r>
              <w:rPr>
                <w:rFonts w:hint="eastAsia" w:ascii="宋体" w:hAnsi="宋体" w:eastAsia="宋体" w:cs="宋体"/>
                <w:i w:val="0"/>
                <w:iCs w:val="0"/>
                <w:caps w:val="0"/>
                <w:color w:val="auto"/>
                <w:spacing w:val="0"/>
                <w:kern w:val="0"/>
                <w:sz w:val="24"/>
                <w:szCs w:val="24"/>
                <w:highlight w:val="none"/>
                <w:shd w:val="clear" w:color="auto" w:fill="FFFFFF"/>
                <w:lang w:val="zh-CN" w:eastAsia="zh-CN" w:bidi="ar-SA"/>
              </w:rPr>
              <w:t>人支付。</w:t>
            </w:r>
          </w:p>
          <w:p w14:paraId="56AD77DE">
            <w:pPr>
              <w:keepNext w:val="0"/>
              <w:keepLines w:val="0"/>
              <w:pageBreakBefore w:val="0"/>
              <w:kinsoku/>
              <w:wordWrap w:val="0"/>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2、招标代理费参考《国家计委关于印发&lt;招标代理服务收费管理暂行办法&gt;的通知》（计价格[2002]1980号）和国家发展改革委员会办公厅颁发的《关于招标代理服务收费有关问题的通知》（发改办价格『2003』857号）文件规定的服务类收费标准。</w:t>
            </w:r>
          </w:p>
        </w:tc>
      </w:tr>
      <w:tr w14:paraId="253DD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right"/>
        </w:trPr>
        <w:tc>
          <w:tcPr>
            <w:tcW w:w="714" w:type="dxa"/>
            <w:noWrap w:val="0"/>
            <w:vAlign w:val="center"/>
          </w:tcPr>
          <w:p w14:paraId="6C5CD2CA">
            <w:pPr>
              <w:keepNext w:val="0"/>
              <w:keepLines w:val="0"/>
              <w:pageBreakBefore w:val="0"/>
              <w:numPr>
                <w:ilvl w:val="0"/>
                <w:numId w:val="1"/>
              </w:numPr>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lang w:val="en-US" w:eastAsia="zh-CN"/>
              </w:rPr>
            </w:pPr>
          </w:p>
        </w:tc>
        <w:tc>
          <w:tcPr>
            <w:tcW w:w="8598" w:type="dxa"/>
            <w:noWrap w:val="0"/>
            <w:vAlign w:val="center"/>
          </w:tcPr>
          <w:p w14:paraId="3A8BE489">
            <w:pPr>
              <w:keepNext w:val="0"/>
              <w:keepLines w:val="0"/>
              <w:pageBreakBefore w:val="0"/>
              <w:kinsoku/>
              <w:wordWrap w:val="0"/>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关于措辞的说明：构成竞争性磋商文件组成部分的各章节中出现的措辞“委托人”、“发包人“和“供应商”、“承包人”，在招标投标阶段应当分别按“采购人”“供应商”进行理解。</w:t>
            </w:r>
          </w:p>
        </w:tc>
      </w:tr>
      <w:tr w14:paraId="7C6EA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right"/>
        </w:trPr>
        <w:tc>
          <w:tcPr>
            <w:tcW w:w="714" w:type="dxa"/>
            <w:noWrap w:val="0"/>
            <w:vAlign w:val="center"/>
          </w:tcPr>
          <w:p w14:paraId="41586B4A">
            <w:pPr>
              <w:keepNext w:val="0"/>
              <w:keepLines w:val="0"/>
              <w:pageBreakBefore w:val="0"/>
              <w:numPr>
                <w:ilvl w:val="0"/>
                <w:numId w:val="1"/>
              </w:numPr>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lang w:val="en-US" w:eastAsia="zh-CN"/>
              </w:rPr>
            </w:pPr>
            <w:bookmarkStart w:id="16" w:name="OLE_LINK14" w:colFirst="1" w:colLast="1"/>
          </w:p>
        </w:tc>
        <w:tc>
          <w:tcPr>
            <w:tcW w:w="8598" w:type="dxa"/>
            <w:noWrap w:val="0"/>
            <w:vAlign w:val="center"/>
          </w:tcPr>
          <w:p w14:paraId="5E93D14B">
            <w:pPr>
              <w:keepNext w:val="0"/>
              <w:keepLines w:val="0"/>
              <w:pageBreakBefore w:val="0"/>
              <w:kinsoku/>
              <w:wordWrap w:val="0"/>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备选方案说明：不允许提供备选方案。</w:t>
            </w:r>
          </w:p>
        </w:tc>
      </w:tr>
      <w:tr w14:paraId="609FA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7" w:hRule="atLeast"/>
          <w:jc w:val="right"/>
        </w:trPr>
        <w:tc>
          <w:tcPr>
            <w:tcW w:w="714" w:type="dxa"/>
            <w:noWrap w:val="0"/>
            <w:vAlign w:val="center"/>
          </w:tcPr>
          <w:p w14:paraId="530B0390">
            <w:pPr>
              <w:keepNext w:val="0"/>
              <w:keepLines w:val="0"/>
              <w:pageBreakBefore w:val="0"/>
              <w:numPr>
                <w:ilvl w:val="0"/>
                <w:numId w:val="1"/>
              </w:numPr>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lang w:val="en-US" w:eastAsia="zh-CN"/>
              </w:rPr>
            </w:pPr>
          </w:p>
        </w:tc>
        <w:tc>
          <w:tcPr>
            <w:tcW w:w="8598" w:type="dxa"/>
            <w:noWrap w:val="0"/>
            <w:vAlign w:val="center"/>
          </w:tcPr>
          <w:p w14:paraId="7F1EA411">
            <w:pPr>
              <w:keepNext w:val="0"/>
              <w:keepLines w:val="0"/>
              <w:pageBreakBefore w:val="0"/>
              <w:kinsoku/>
              <w:wordWrap w:val="0"/>
              <w:overflowPunct/>
              <w:topLinePunct w:val="0"/>
              <w:autoSpaceDE/>
              <w:autoSpaceDN/>
              <w:bidi w:val="0"/>
              <w:adjustRightInd/>
              <w:snapToGrid/>
              <w:spacing w:line="240" w:lineRule="auto"/>
              <w:ind w:left="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color w:val="000000"/>
                <w:sz w:val="24"/>
                <w:szCs w:val="24"/>
              </w:rPr>
              <w:t>公共资源信用承诺:</w:t>
            </w:r>
            <w:r>
              <w:rPr>
                <w:rFonts w:hint="eastAsia" w:ascii="宋体" w:hAnsi="宋体" w:eastAsia="宋体" w:cs="宋体"/>
                <w:color w:val="000000"/>
                <w:sz w:val="24"/>
                <w:szCs w:val="24"/>
                <w:lang w:val="zh-TW"/>
              </w:rPr>
              <w:t>进入公共资源交易平台的各投标人，均应在“信用中国（陕西榆林）”网站进行注册、登录、自主上报信用承诺书（网址：</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s://credit.yl.gov.cn/）。各投标人注册、登录后根据承诺事项选择相应的模板填写《信用承诺书》，并载明承诺事由，投标人、投标人委托代理人员、投标信用的承诺事由为\“项目名称及标段\”。操作指南见附件。"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https://credit.yl.gov.cn/</w:t>
            </w:r>
            <w:r>
              <w:rPr>
                <w:rFonts w:hint="eastAsia" w:ascii="宋体" w:hAnsi="宋体" w:eastAsia="宋体" w:cs="宋体"/>
                <w:color w:val="000000"/>
                <w:sz w:val="24"/>
                <w:szCs w:val="24"/>
                <w:lang w:val="zh-TW"/>
              </w:rPr>
              <w:t>）。各投标人注册、登录后根据承诺事项选择相应的模板填写《信用承诺书》，并载明承诺事由，</w:t>
            </w:r>
            <w:r>
              <w:rPr>
                <w:rFonts w:hint="eastAsia" w:ascii="宋体" w:hAnsi="宋体" w:eastAsia="宋体" w:cs="宋体"/>
                <w:color w:val="000000"/>
                <w:sz w:val="24"/>
                <w:szCs w:val="24"/>
                <w:lang w:val="en-US" w:eastAsia="zh-CN"/>
              </w:rPr>
              <w:t>供应商（服务类）信用承诺、</w:t>
            </w:r>
            <w:r>
              <w:rPr>
                <w:rFonts w:hint="eastAsia" w:ascii="宋体" w:hAnsi="宋体" w:eastAsia="宋体" w:cs="宋体"/>
                <w:color w:val="000000"/>
                <w:sz w:val="24"/>
                <w:szCs w:val="24"/>
                <w:lang w:val="zh-TW"/>
              </w:rPr>
              <w:t>投标人</w:t>
            </w:r>
            <w:r>
              <w:rPr>
                <w:rFonts w:hint="eastAsia" w:ascii="宋体" w:hAnsi="宋体" w:eastAsia="宋体" w:cs="宋体"/>
                <w:color w:val="000000"/>
                <w:sz w:val="24"/>
                <w:szCs w:val="24"/>
                <w:lang w:val="en-US" w:eastAsia="zh-CN"/>
              </w:rPr>
              <w:t>信用承诺</w:t>
            </w:r>
            <w:r>
              <w:rPr>
                <w:rFonts w:hint="eastAsia" w:ascii="宋体" w:hAnsi="宋体" w:eastAsia="宋体" w:cs="宋体"/>
                <w:color w:val="000000"/>
                <w:sz w:val="24"/>
                <w:szCs w:val="24"/>
                <w:lang w:val="zh-TW"/>
              </w:rPr>
              <w:t>、投标人委托代理人员</w:t>
            </w:r>
            <w:r>
              <w:rPr>
                <w:rFonts w:hint="eastAsia" w:ascii="宋体" w:hAnsi="宋体" w:eastAsia="宋体" w:cs="宋体"/>
                <w:color w:val="000000"/>
                <w:sz w:val="24"/>
                <w:szCs w:val="24"/>
                <w:lang w:val="en-US" w:eastAsia="zh-CN"/>
              </w:rPr>
              <w:t>信用承诺</w:t>
            </w:r>
            <w:r>
              <w:rPr>
                <w:rFonts w:hint="eastAsia" w:ascii="宋体" w:hAnsi="宋体" w:eastAsia="宋体" w:cs="宋体"/>
                <w:color w:val="000000"/>
                <w:sz w:val="24"/>
                <w:szCs w:val="24"/>
                <w:lang w:val="zh-TW"/>
              </w:rPr>
              <w:t>、投标信用</w:t>
            </w:r>
            <w:r>
              <w:rPr>
                <w:rFonts w:hint="eastAsia" w:ascii="宋体" w:hAnsi="宋体" w:eastAsia="宋体" w:cs="宋体"/>
                <w:color w:val="000000"/>
                <w:sz w:val="24"/>
                <w:szCs w:val="24"/>
                <w:lang w:val="zh-TW" w:eastAsia="zh-CN"/>
              </w:rPr>
              <w:t>（</w:t>
            </w:r>
            <w:r>
              <w:rPr>
                <w:rFonts w:hint="eastAsia" w:ascii="宋体" w:hAnsi="宋体" w:eastAsia="宋体" w:cs="宋体"/>
                <w:color w:val="000000"/>
                <w:sz w:val="24"/>
                <w:szCs w:val="24"/>
                <w:lang w:val="en-US" w:eastAsia="zh-CN"/>
              </w:rPr>
              <w:t>保证金）</w:t>
            </w:r>
            <w:r>
              <w:rPr>
                <w:rFonts w:hint="eastAsia" w:ascii="宋体" w:hAnsi="宋体" w:eastAsia="宋体" w:cs="宋体"/>
                <w:color w:val="000000"/>
                <w:sz w:val="24"/>
                <w:szCs w:val="24"/>
                <w:lang w:val="zh-TW"/>
              </w:rPr>
              <w:t>承诺</w:t>
            </w:r>
            <w:r>
              <w:rPr>
                <w:rFonts w:hint="eastAsia" w:ascii="宋体" w:hAnsi="宋体" w:eastAsia="宋体" w:cs="宋体"/>
                <w:color w:val="000000"/>
                <w:sz w:val="24"/>
                <w:szCs w:val="24"/>
                <w:lang w:val="en-US" w:eastAsia="zh-CN"/>
              </w:rPr>
              <w:t>的</w:t>
            </w:r>
            <w:r>
              <w:rPr>
                <w:rFonts w:hint="eastAsia" w:ascii="宋体" w:hAnsi="宋体" w:eastAsia="宋体" w:cs="宋体"/>
                <w:color w:val="000000"/>
                <w:sz w:val="24"/>
                <w:szCs w:val="24"/>
                <w:lang w:val="zh-TW"/>
              </w:rPr>
              <w:t>事由</w:t>
            </w:r>
            <w:r>
              <w:rPr>
                <w:rFonts w:hint="eastAsia" w:ascii="宋体" w:hAnsi="宋体" w:eastAsia="宋体" w:cs="宋体"/>
                <w:color w:val="000000"/>
                <w:sz w:val="24"/>
                <w:szCs w:val="24"/>
                <w:lang w:val="en-US" w:eastAsia="zh-CN"/>
              </w:rPr>
              <w:t>均</w:t>
            </w:r>
            <w:r>
              <w:rPr>
                <w:rFonts w:hint="eastAsia" w:ascii="宋体" w:hAnsi="宋体" w:eastAsia="宋体" w:cs="宋体"/>
                <w:color w:val="000000"/>
                <w:sz w:val="24"/>
                <w:szCs w:val="24"/>
                <w:lang w:val="zh-TW"/>
              </w:rPr>
              <w:t>为“项目名称</w:t>
            </w:r>
            <w:r>
              <w:rPr>
                <w:rFonts w:hint="eastAsia" w:ascii="宋体" w:hAnsi="宋体" w:eastAsia="宋体" w:cs="宋体"/>
                <w:color w:val="000000"/>
                <w:sz w:val="24"/>
                <w:szCs w:val="24"/>
                <w:lang w:val="en-US" w:eastAsia="zh-CN"/>
              </w:rPr>
              <w:t>+项目编号</w:t>
            </w:r>
            <w:r>
              <w:rPr>
                <w:rFonts w:hint="eastAsia" w:ascii="宋体" w:hAnsi="宋体" w:eastAsia="宋体" w:cs="宋体"/>
                <w:color w:val="000000"/>
                <w:sz w:val="24"/>
                <w:szCs w:val="24"/>
                <w:lang w:val="zh-TW"/>
              </w:rPr>
              <w:t>”。</w:t>
            </w:r>
            <w:r>
              <w:rPr>
                <w:rFonts w:hint="eastAsia" w:ascii="宋体" w:hAnsi="宋体" w:eastAsia="宋体" w:cs="宋体"/>
                <w:color w:val="000000"/>
                <w:sz w:val="24"/>
                <w:szCs w:val="24"/>
                <w:lang w:val="en-US" w:eastAsia="zh-CN"/>
              </w:rPr>
              <w:t>需自主上报相关承诺书。公示后的承诺截图均须附在响应文件内。</w:t>
            </w:r>
            <w:r>
              <w:rPr>
                <w:rFonts w:hint="eastAsia" w:ascii="宋体" w:hAnsi="宋体" w:eastAsia="宋体" w:cs="宋体"/>
                <w:color w:val="000000"/>
                <w:sz w:val="24"/>
                <w:szCs w:val="24"/>
                <w:lang w:val="zh-TW"/>
              </w:rPr>
              <w:t>操作指南见附件。</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lang w:val="en-US" w:eastAsia="zh-CN"/>
              </w:rPr>
              <w:t>保证金承诺期限不小于磋商有效期限、其他承诺期限为一年。</w:t>
            </w:r>
            <w:r>
              <w:rPr>
                <w:rFonts w:hint="eastAsia" w:ascii="宋体" w:hAnsi="宋体" w:eastAsia="宋体" w:cs="宋体"/>
                <w:color w:val="000000"/>
                <w:kern w:val="0"/>
                <w:sz w:val="24"/>
                <w:szCs w:val="24"/>
                <w:lang w:val="en-US" w:eastAsia="zh-CN" w:bidi="ar"/>
              </w:rPr>
              <w:t>上传的附件（承诺书）</w:t>
            </w:r>
            <w:r>
              <w:rPr>
                <w:rFonts w:hint="eastAsia" w:ascii="宋体" w:hAnsi="宋体" w:eastAsia="宋体" w:cs="宋体"/>
                <w:color w:val="000000"/>
                <w:kern w:val="0"/>
                <w:sz w:val="24"/>
                <w:szCs w:val="24"/>
                <w:lang w:bidi="ar"/>
              </w:rPr>
              <w:t>中所有涉及签字、盖章的</w:t>
            </w:r>
            <w:r>
              <w:rPr>
                <w:rFonts w:hint="eastAsia" w:ascii="宋体" w:hAnsi="宋体" w:eastAsia="宋体" w:cs="宋体"/>
                <w:color w:val="000000"/>
                <w:kern w:val="0"/>
                <w:sz w:val="24"/>
                <w:szCs w:val="24"/>
                <w:lang w:val="en-US" w:eastAsia="zh-CN" w:bidi="ar"/>
              </w:rPr>
              <w:t>部分，均应按磋商文件的要求进行签字、盖章。不按要求进行签字、盖章的承诺附件均为无效承诺。</w:t>
            </w:r>
          </w:p>
        </w:tc>
      </w:tr>
      <w:tr w14:paraId="1C9AF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7" w:hRule="atLeast"/>
          <w:jc w:val="right"/>
        </w:trPr>
        <w:tc>
          <w:tcPr>
            <w:tcW w:w="714" w:type="dxa"/>
            <w:noWrap w:val="0"/>
            <w:vAlign w:val="center"/>
          </w:tcPr>
          <w:p w14:paraId="0C81E10E">
            <w:pPr>
              <w:keepNext w:val="0"/>
              <w:keepLines w:val="0"/>
              <w:pageBreakBefore w:val="0"/>
              <w:numPr>
                <w:ilvl w:val="0"/>
                <w:numId w:val="1"/>
              </w:numPr>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lang w:val="en-US" w:eastAsia="zh-CN"/>
              </w:rPr>
            </w:pPr>
          </w:p>
        </w:tc>
        <w:tc>
          <w:tcPr>
            <w:tcW w:w="8598" w:type="dxa"/>
            <w:noWrap w:val="0"/>
            <w:vAlign w:val="center"/>
          </w:tcPr>
          <w:p w14:paraId="1DD9455B">
            <w:pPr>
              <w:keepNext w:val="0"/>
              <w:keepLines w:val="0"/>
              <w:pageBreakBefore w:val="0"/>
              <w:kinsoku/>
              <w:wordWrap w:val="0"/>
              <w:overflowPunct/>
              <w:topLinePunct w:val="0"/>
              <w:autoSpaceDE/>
              <w:autoSpaceDN/>
              <w:bidi w:val="0"/>
              <w:adjustRightInd/>
              <w:snapToGrid/>
              <w:spacing w:line="240" w:lineRule="auto"/>
              <w:ind w:left="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zh-TW" w:eastAsia="zh-CN" w:bidi="ar-SA"/>
              </w:rPr>
            </w:pPr>
            <w:r>
              <w:rPr>
                <w:rFonts w:hint="eastAsia" w:ascii="宋体" w:hAnsi="宋体" w:eastAsia="宋体" w:cs="宋体"/>
                <w:i w:val="0"/>
                <w:iCs w:val="0"/>
                <w:caps w:val="0"/>
                <w:color w:val="auto"/>
                <w:spacing w:val="0"/>
                <w:kern w:val="0"/>
                <w:sz w:val="24"/>
                <w:szCs w:val="24"/>
                <w:shd w:val="clear" w:color="auto" w:fill="FFFFFF"/>
                <w:lang w:val="zh-TW" w:eastAsia="zh-CN" w:bidi="ar-SA"/>
              </w:rPr>
              <w:t>其他：</w:t>
            </w:r>
          </w:p>
          <w:p w14:paraId="6BE48F00">
            <w:pPr>
              <w:keepNext w:val="0"/>
              <w:keepLines w:val="0"/>
              <w:pageBreakBefore w:val="0"/>
              <w:kinsoku/>
              <w:wordWrap w:val="0"/>
              <w:overflowPunct/>
              <w:topLinePunct w:val="0"/>
              <w:autoSpaceDE/>
              <w:autoSpaceDN/>
              <w:bidi w:val="0"/>
              <w:adjustRightInd/>
              <w:snapToGrid/>
              <w:spacing w:line="240" w:lineRule="auto"/>
              <w:ind w:left="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zh-TW" w:eastAsia="zh-CN" w:bidi="ar-SA"/>
              </w:rPr>
            </w:pPr>
            <w:r>
              <w:rPr>
                <w:rFonts w:hint="eastAsia" w:ascii="宋体" w:hAnsi="宋体" w:eastAsia="宋体" w:cs="宋体"/>
                <w:i w:val="0"/>
                <w:iCs w:val="0"/>
                <w:caps w:val="0"/>
                <w:color w:val="auto"/>
                <w:spacing w:val="0"/>
                <w:kern w:val="0"/>
                <w:sz w:val="24"/>
                <w:szCs w:val="24"/>
                <w:shd w:val="clear" w:color="auto" w:fill="FFFFFF"/>
                <w:lang w:val="zh-TW" w:eastAsia="zh-CN" w:bidi="ar-SA"/>
              </w:rPr>
              <w:t>1、供应商对磋商文件有异议的，应当在投标截止时间前</w:t>
            </w:r>
            <w:r>
              <w:rPr>
                <w:rFonts w:hint="eastAsia" w:ascii="宋体" w:hAnsi="宋体" w:eastAsia="宋体" w:cs="宋体"/>
                <w:i w:val="0"/>
                <w:iCs w:val="0"/>
                <w:caps w:val="0"/>
                <w:color w:val="auto"/>
                <w:spacing w:val="0"/>
                <w:kern w:val="0"/>
                <w:sz w:val="24"/>
                <w:szCs w:val="24"/>
                <w:shd w:val="clear" w:color="auto" w:fill="FFFFFF"/>
                <w:lang w:val="en-US" w:eastAsia="zh-CN" w:bidi="ar-SA"/>
              </w:rPr>
              <w:t>5</w:t>
            </w:r>
            <w:r>
              <w:rPr>
                <w:rFonts w:hint="eastAsia" w:ascii="宋体" w:hAnsi="宋体" w:eastAsia="宋体" w:cs="宋体"/>
                <w:i w:val="0"/>
                <w:iCs w:val="0"/>
                <w:caps w:val="0"/>
                <w:color w:val="auto"/>
                <w:spacing w:val="0"/>
                <w:kern w:val="0"/>
                <w:sz w:val="24"/>
                <w:szCs w:val="24"/>
                <w:shd w:val="clear" w:color="auto" w:fill="FFFFFF"/>
                <w:lang w:val="zh-TW" w:eastAsia="zh-CN" w:bidi="ar-SA"/>
              </w:rPr>
              <w:t>天提出。</w:t>
            </w:r>
          </w:p>
          <w:p w14:paraId="38FDF59D">
            <w:pPr>
              <w:keepNext w:val="0"/>
              <w:keepLines w:val="0"/>
              <w:pageBreakBefore w:val="0"/>
              <w:kinsoku/>
              <w:wordWrap w:val="0"/>
              <w:overflowPunct/>
              <w:topLinePunct w:val="0"/>
              <w:autoSpaceDE/>
              <w:autoSpaceDN/>
              <w:bidi w:val="0"/>
              <w:adjustRightInd/>
              <w:snapToGrid/>
              <w:spacing w:line="240" w:lineRule="auto"/>
              <w:ind w:left="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zh-TW" w:eastAsia="zh-CN" w:bidi="ar-SA"/>
              </w:rPr>
            </w:pPr>
            <w:r>
              <w:rPr>
                <w:rFonts w:hint="eastAsia" w:ascii="宋体" w:hAnsi="宋体" w:eastAsia="宋体" w:cs="宋体"/>
                <w:i w:val="0"/>
                <w:iCs w:val="0"/>
                <w:caps w:val="0"/>
                <w:color w:val="auto"/>
                <w:spacing w:val="0"/>
                <w:kern w:val="0"/>
                <w:sz w:val="24"/>
                <w:szCs w:val="24"/>
                <w:shd w:val="clear" w:color="auto" w:fill="FFFFFF"/>
                <w:lang w:val="zh-TW" w:eastAsia="zh-CN" w:bidi="ar-SA"/>
              </w:rPr>
              <w:t>2、当供应商不足</w:t>
            </w:r>
            <w:r>
              <w:rPr>
                <w:rFonts w:hint="eastAsia" w:ascii="宋体" w:hAnsi="宋体" w:eastAsia="宋体" w:cs="宋体"/>
                <w:i w:val="0"/>
                <w:iCs w:val="0"/>
                <w:caps w:val="0"/>
                <w:color w:val="auto"/>
                <w:spacing w:val="0"/>
                <w:kern w:val="0"/>
                <w:sz w:val="24"/>
                <w:szCs w:val="24"/>
                <w:shd w:val="clear" w:color="auto" w:fill="FFFFFF"/>
                <w:lang w:val="en-US" w:eastAsia="zh-CN" w:bidi="ar-SA"/>
              </w:rPr>
              <w:t>三</w:t>
            </w:r>
            <w:r>
              <w:rPr>
                <w:rFonts w:hint="eastAsia" w:ascii="宋体" w:hAnsi="宋体" w:eastAsia="宋体" w:cs="宋体"/>
                <w:i w:val="0"/>
                <w:iCs w:val="0"/>
                <w:caps w:val="0"/>
                <w:color w:val="auto"/>
                <w:spacing w:val="0"/>
                <w:kern w:val="0"/>
                <w:sz w:val="24"/>
                <w:szCs w:val="24"/>
                <w:shd w:val="clear" w:color="auto" w:fill="FFFFFF"/>
                <w:lang w:val="zh-TW" w:eastAsia="zh-CN" w:bidi="ar-SA"/>
              </w:rPr>
              <w:t>家时，</w:t>
            </w:r>
            <w:r>
              <w:rPr>
                <w:rFonts w:hint="eastAsia" w:ascii="宋体" w:hAnsi="宋体" w:eastAsia="宋体" w:cs="宋体"/>
                <w:i w:val="0"/>
                <w:iCs w:val="0"/>
                <w:caps w:val="0"/>
                <w:color w:val="auto"/>
                <w:spacing w:val="0"/>
                <w:kern w:val="0"/>
                <w:sz w:val="24"/>
                <w:szCs w:val="24"/>
                <w:shd w:val="clear" w:color="auto" w:fill="FFFFFF"/>
                <w:lang w:val="en-US" w:eastAsia="zh-CN" w:bidi="ar-SA"/>
              </w:rPr>
              <w:t>不得开标</w:t>
            </w:r>
            <w:r>
              <w:rPr>
                <w:rFonts w:hint="eastAsia" w:ascii="宋体" w:hAnsi="宋体" w:eastAsia="宋体" w:cs="宋体"/>
                <w:i w:val="0"/>
                <w:iCs w:val="0"/>
                <w:caps w:val="0"/>
                <w:color w:val="auto"/>
                <w:spacing w:val="0"/>
                <w:kern w:val="0"/>
                <w:sz w:val="24"/>
                <w:szCs w:val="24"/>
                <w:shd w:val="clear" w:color="auto" w:fill="FFFFFF"/>
                <w:lang w:val="zh-TW" w:eastAsia="zh-CN" w:bidi="ar-SA"/>
              </w:rPr>
              <w:t>。</w:t>
            </w:r>
          </w:p>
          <w:p w14:paraId="0CB9C711">
            <w:pPr>
              <w:keepNext w:val="0"/>
              <w:keepLines w:val="0"/>
              <w:pageBreakBefore w:val="0"/>
              <w:kinsoku/>
              <w:wordWrap w:val="0"/>
              <w:overflowPunct/>
              <w:topLinePunct w:val="0"/>
              <w:autoSpaceDE/>
              <w:autoSpaceDN/>
              <w:bidi w:val="0"/>
              <w:adjustRightInd/>
              <w:snapToGrid/>
              <w:spacing w:line="240" w:lineRule="auto"/>
              <w:ind w:left="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3、按工信部联企业〔2011〕300号：本项目采购标的对应的中小企业划分所属行业为：</w:t>
            </w:r>
            <w:r>
              <w:rPr>
                <w:rFonts w:hint="eastAsia" w:ascii="宋体" w:hAnsi="宋体" w:eastAsia="宋体" w:cs="宋体"/>
                <w:i w:val="0"/>
                <w:iCs w:val="0"/>
                <w:caps w:val="0"/>
                <w:color w:val="auto"/>
                <w:spacing w:val="0"/>
                <w:kern w:val="0"/>
                <w:sz w:val="24"/>
                <w:szCs w:val="24"/>
                <w:shd w:val="clear" w:color="auto" w:fill="FFFFFF"/>
                <w:lang w:val="zh-TW" w:eastAsia="zh-CN" w:bidi="ar-SA"/>
              </w:rPr>
              <w:t>其他未列明行</w:t>
            </w:r>
            <w:r>
              <w:rPr>
                <w:rFonts w:hint="eastAsia" w:ascii="宋体" w:hAnsi="宋体" w:eastAsia="宋体" w:cs="宋体"/>
                <w:i w:val="0"/>
                <w:iCs w:val="0"/>
                <w:caps w:val="0"/>
                <w:color w:val="auto"/>
                <w:spacing w:val="0"/>
                <w:kern w:val="0"/>
                <w:sz w:val="24"/>
                <w:szCs w:val="24"/>
                <w:shd w:val="clear" w:color="auto" w:fill="FFFFFF"/>
                <w:lang w:val="en-US" w:eastAsia="zh-CN" w:bidi="ar-SA"/>
              </w:rPr>
              <w:t>业</w:t>
            </w:r>
          </w:p>
        </w:tc>
      </w:tr>
      <w:tr w14:paraId="543A3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jc w:val="right"/>
        </w:trPr>
        <w:tc>
          <w:tcPr>
            <w:tcW w:w="714" w:type="dxa"/>
            <w:noWrap w:val="0"/>
            <w:vAlign w:val="center"/>
          </w:tcPr>
          <w:p w14:paraId="60B33479">
            <w:pPr>
              <w:keepNext w:val="0"/>
              <w:keepLines w:val="0"/>
              <w:pageBreakBefore w:val="0"/>
              <w:numPr>
                <w:ilvl w:val="0"/>
                <w:numId w:val="1"/>
              </w:numPr>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lang w:val="en-US" w:eastAsia="zh-CN"/>
              </w:rPr>
            </w:pPr>
          </w:p>
        </w:tc>
        <w:tc>
          <w:tcPr>
            <w:tcW w:w="8598" w:type="dxa"/>
            <w:noWrap w:val="0"/>
            <w:vAlign w:val="center"/>
          </w:tcPr>
          <w:p w14:paraId="2BCA02F8">
            <w:pPr>
              <w:keepNext w:val="0"/>
              <w:keepLines w:val="0"/>
              <w:pageBreakBefore w:val="0"/>
              <w:numPr>
                <w:ilvl w:val="0"/>
                <w:numId w:val="4"/>
              </w:numPr>
              <w:kinsoku/>
              <w:wordWrap w:val="0"/>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本项目采用两轮报价（报价文件中报价为第一次报价，磋商现场为第二轮，第二轮报价时限由磋商小组确定）最后一轮报价开始时间：不见面系统通知。</w:t>
            </w:r>
          </w:p>
          <w:p w14:paraId="7C3D4885">
            <w:pPr>
              <w:keepNext w:val="0"/>
              <w:keepLines w:val="0"/>
              <w:pageBreakBefore w:val="0"/>
              <w:numPr>
                <w:ilvl w:val="0"/>
                <w:numId w:val="4"/>
              </w:numPr>
              <w:kinsoku/>
              <w:wordWrap w:val="0"/>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第二轮及以后轮次的报价均不得高于或等于当前轮次报价的前一轮报价，否则报价无效，其响应文件将被否决。</w:t>
            </w:r>
          </w:p>
        </w:tc>
      </w:tr>
      <w:tr w14:paraId="32611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right"/>
        </w:trPr>
        <w:tc>
          <w:tcPr>
            <w:tcW w:w="714" w:type="dxa"/>
            <w:noWrap w:val="0"/>
            <w:vAlign w:val="center"/>
          </w:tcPr>
          <w:p w14:paraId="798B4384">
            <w:pPr>
              <w:keepNext w:val="0"/>
              <w:keepLines w:val="0"/>
              <w:pageBreakBefore w:val="0"/>
              <w:numPr>
                <w:ilvl w:val="0"/>
                <w:numId w:val="1"/>
              </w:numPr>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lang w:val="en-US" w:eastAsia="zh-CN"/>
              </w:rPr>
            </w:pPr>
          </w:p>
        </w:tc>
        <w:tc>
          <w:tcPr>
            <w:tcW w:w="8598" w:type="dxa"/>
            <w:noWrap w:val="0"/>
            <w:vAlign w:val="center"/>
          </w:tcPr>
          <w:p w14:paraId="40771DC8">
            <w:pPr>
              <w:keepNext w:val="0"/>
              <w:keepLines w:val="0"/>
              <w:pageBreakBefore w:val="0"/>
              <w:kinsoku/>
              <w:wordWrap w:val="0"/>
              <w:overflowPunct/>
              <w:topLinePunct w:val="0"/>
              <w:autoSpaceDE/>
              <w:autoSpaceDN/>
              <w:bidi w:val="0"/>
              <w:adjustRightInd/>
              <w:snapToGrid/>
              <w:spacing w:line="240" w:lineRule="auto"/>
              <w:ind w:left="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磋商小组成员：3人，采购人代表1人、专家2人。</w:t>
            </w:r>
          </w:p>
        </w:tc>
      </w:tr>
      <w:tr w14:paraId="68530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right"/>
        </w:trPr>
        <w:tc>
          <w:tcPr>
            <w:tcW w:w="714" w:type="dxa"/>
            <w:noWrap w:val="0"/>
            <w:vAlign w:val="center"/>
          </w:tcPr>
          <w:p w14:paraId="3DEB175E">
            <w:pPr>
              <w:keepNext w:val="0"/>
              <w:keepLines w:val="0"/>
              <w:pageBreakBefore w:val="0"/>
              <w:numPr>
                <w:ilvl w:val="0"/>
                <w:numId w:val="1"/>
              </w:numPr>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lang w:val="en-US" w:eastAsia="zh-CN"/>
              </w:rPr>
            </w:pPr>
          </w:p>
        </w:tc>
        <w:tc>
          <w:tcPr>
            <w:tcW w:w="8598" w:type="dxa"/>
            <w:noWrap w:val="0"/>
            <w:vAlign w:val="center"/>
          </w:tcPr>
          <w:p w14:paraId="0A92DA11">
            <w:pPr>
              <w:keepNext w:val="0"/>
              <w:keepLines w:val="0"/>
              <w:pageBreakBefore w:val="0"/>
              <w:kinsoku/>
              <w:wordWrap w:val="0"/>
              <w:overflowPunct/>
              <w:topLinePunct w:val="0"/>
              <w:autoSpaceDE/>
              <w:autoSpaceDN/>
              <w:bidi w:val="0"/>
              <w:adjustRightInd/>
              <w:snapToGrid/>
              <w:spacing w:line="240" w:lineRule="auto"/>
              <w:ind w:left="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竞争性磋商文件解释权：本采购活动文件由采购人和采购代理机构解释。</w:t>
            </w:r>
          </w:p>
          <w:p w14:paraId="64EB567C">
            <w:pPr>
              <w:keepNext w:val="0"/>
              <w:keepLines w:val="0"/>
              <w:pageBreakBefore w:val="0"/>
              <w:kinsoku/>
              <w:wordWrap w:val="0"/>
              <w:overflowPunct/>
              <w:topLinePunct w:val="0"/>
              <w:autoSpaceDE/>
              <w:autoSpaceDN/>
              <w:bidi w:val="0"/>
              <w:adjustRightInd/>
              <w:snapToGrid/>
              <w:spacing w:line="240" w:lineRule="auto"/>
              <w:ind w:left="0" w:firstLine="0" w:firstLineChars="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未尽事宜，参照法律法规、规章及规范性文件的相关规定。</w:t>
            </w:r>
          </w:p>
        </w:tc>
      </w:tr>
      <w:bookmarkEnd w:id="4"/>
      <w:bookmarkEnd w:id="5"/>
      <w:bookmarkEnd w:id="6"/>
      <w:bookmarkEnd w:id="7"/>
      <w:bookmarkEnd w:id="8"/>
      <w:bookmarkEnd w:id="9"/>
      <w:bookmarkEnd w:id="10"/>
      <w:bookmarkEnd w:id="11"/>
      <w:bookmarkEnd w:id="12"/>
      <w:bookmarkEnd w:id="13"/>
      <w:bookmarkEnd w:id="14"/>
      <w:bookmarkEnd w:id="15"/>
      <w:bookmarkEnd w:id="16"/>
    </w:tbl>
    <w:p w14:paraId="59DF98D0">
      <w:pPr>
        <w:keepNext w:val="0"/>
        <w:keepLines w:val="0"/>
        <w:pageBreakBefore w:val="0"/>
        <w:widowControl w:val="0"/>
        <w:kinsoku/>
        <w:wordWrap w:val="0"/>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24"/>
          <w:szCs w:val="24"/>
        </w:rPr>
        <w:sectPr>
          <w:headerReference r:id="rId5" w:type="default"/>
          <w:footerReference r:id="rId6" w:type="default"/>
          <w:pgSz w:w="11906" w:h="16838"/>
          <w:pgMar w:top="1440" w:right="1417" w:bottom="1440" w:left="1417" w:header="851" w:footer="992" w:gutter="0"/>
          <w:pgNumType w:fmt="decimal"/>
          <w:cols w:space="720" w:num="1"/>
          <w:docGrid w:type="lines" w:linePitch="312" w:charSpace="0"/>
        </w:sectPr>
      </w:pPr>
    </w:p>
    <w:p w14:paraId="72A3B502">
      <w:pPr>
        <w:keepNext w:val="0"/>
        <w:keepLines w:val="0"/>
        <w:pageBreakBefore w:val="0"/>
        <w:widowControl w:val="0"/>
        <w:kinsoku/>
        <w:wordWrap w:val="0"/>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供应商须知</w:t>
      </w:r>
    </w:p>
    <w:p w14:paraId="6CB9954B">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bookmarkStart w:id="17" w:name="_Toc48834156"/>
      <w:bookmarkStart w:id="18" w:name="_Toc48834086"/>
      <w:bookmarkStart w:id="19" w:name="_Toc48834283"/>
      <w:bookmarkStart w:id="20" w:name="_Toc32331"/>
      <w:bookmarkStart w:id="21" w:name="_Toc48834524"/>
      <w:bookmarkStart w:id="22" w:name="_Toc48834445"/>
      <w:r>
        <w:rPr>
          <w:rFonts w:hint="eastAsia" w:ascii="宋体" w:hAnsi="宋体" w:eastAsia="宋体" w:cs="宋体"/>
          <w:b/>
          <w:bCs/>
          <w:color w:val="auto"/>
          <w:sz w:val="24"/>
          <w:szCs w:val="24"/>
        </w:rPr>
        <w:t>一、定义</w:t>
      </w:r>
      <w:bookmarkEnd w:id="17"/>
      <w:bookmarkEnd w:id="18"/>
      <w:bookmarkEnd w:id="19"/>
      <w:bookmarkEnd w:id="20"/>
      <w:bookmarkEnd w:id="21"/>
      <w:bookmarkEnd w:id="22"/>
    </w:p>
    <w:p w14:paraId="32909C11">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（一）采购人：</w:t>
      </w:r>
      <w:r>
        <w:rPr>
          <w:rFonts w:hint="eastAsia" w:ascii="宋体" w:hAnsi="宋体" w:eastAsia="宋体" w:cs="宋体"/>
          <w:color w:val="auto"/>
          <w:sz w:val="24"/>
          <w:szCs w:val="24"/>
          <w:highlight w:val="none"/>
          <w:lang w:val="en-US" w:eastAsia="zh-CN"/>
        </w:rPr>
        <w:t>榆林职业技术学院</w:t>
      </w:r>
    </w:p>
    <w:p w14:paraId="63B9E49A">
      <w:pPr>
        <w:pStyle w:val="9"/>
        <w:rPr>
          <w:rFonts w:hint="default" w:eastAsia="宋体"/>
          <w:highlight w:val="yellow"/>
          <w:lang w:val="en-US"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二</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监督单位：</w:t>
      </w:r>
      <w:r>
        <w:rPr>
          <w:rFonts w:hint="eastAsia" w:ascii="宋体" w:hAnsi="宋体" w:eastAsia="宋体" w:cs="宋体"/>
          <w:color w:val="auto"/>
          <w:sz w:val="24"/>
          <w:szCs w:val="24"/>
          <w:lang w:val="en-US" w:eastAsia="zh-CN"/>
        </w:rPr>
        <w:t xml:space="preserve"> </w:t>
      </w:r>
      <w:r>
        <w:rPr>
          <w:rFonts w:hint="eastAsia" w:ascii="宋体" w:hAnsi="宋体" w:cs="宋体"/>
          <w:color w:val="auto"/>
          <w:sz w:val="24"/>
          <w:szCs w:val="24"/>
          <w:lang w:val="en-US" w:eastAsia="zh-CN"/>
        </w:rPr>
        <w:t>榆林市财政局</w:t>
      </w:r>
    </w:p>
    <w:p w14:paraId="6CE3BDE3">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cs="宋体"/>
          <w:color w:val="auto"/>
          <w:sz w:val="24"/>
          <w:szCs w:val="24"/>
          <w:lang w:val="en-US"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三</w:t>
      </w:r>
      <w:r>
        <w:rPr>
          <w:rFonts w:hint="eastAsia" w:ascii="宋体" w:hAnsi="宋体" w:eastAsia="宋体" w:cs="宋体"/>
          <w:color w:val="auto"/>
          <w:sz w:val="24"/>
          <w:szCs w:val="24"/>
        </w:rPr>
        <w:t>）采购代理机构：</w:t>
      </w:r>
      <w:r>
        <w:rPr>
          <w:rFonts w:hint="eastAsia" w:ascii="宋体" w:hAnsi="宋体" w:cs="宋体"/>
          <w:color w:val="auto"/>
          <w:sz w:val="24"/>
          <w:szCs w:val="24"/>
          <w:lang w:val="en-US" w:eastAsia="zh-CN"/>
        </w:rPr>
        <w:t>陕西九图达项目管理有限公司</w:t>
      </w:r>
    </w:p>
    <w:p w14:paraId="18CDA54A">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rPr>
        <w:t>）供应商：拟向采购人提供货物、工程或者服务的法人、其他组织或者自然人</w:t>
      </w:r>
    </w:p>
    <w:p w14:paraId="6F92FA66">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五）特殊情形</w:t>
      </w:r>
    </w:p>
    <w:p w14:paraId="372B375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、特殊情形：指具有独立承担民事责任能力的其他组织或自然人。</w:t>
      </w:r>
    </w:p>
    <w:p w14:paraId="07AF83A2">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2、特殊情形规定</w:t>
      </w:r>
    </w:p>
    <w:p w14:paraId="170BC94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2-1、其他组织：</w:t>
      </w:r>
    </w:p>
    <w:p w14:paraId="65C0A41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①、事业单位参加</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的，应参照本</w:t>
      </w:r>
      <w:r>
        <w:rPr>
          <w:rFonts w:hint="eastAsia" w:ascii="宋体" w:hAnsi="宋体" w:eastAsia="宋体" w:cs="宋体"/>
          <w:color w:val="auto"/>
          <w:sz w:val="24"/>
          <w:szCs w:val="24"/>
          <w:lang w:val="en-US" w:eastAsia="zh-CN"/>
        </w:rPr>
        <w:t>招标</w:t>
      </w:r>
      <w:r>
        <w:rPr>
          <w:rFonts w:hint="eastAsia" w:ascii="宋体" w:hAnsi="宋体" w:eastAsia="宋体" w:cs="宋体"/>
          <w:color w:val="auto"/>
          <w:sz w:val="24"/>
          <w:szCs w:val="24"/>
        </w:rPr>
        <w:t>文件给出的</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文件格式制作，其中</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文件要求法人签字处可以是事业单位的法人签章；</w:t>
      </w:r>
    </w:p>
    <w:p w14:paraId="2CCD095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②、</w:t>
      </w:r>
      <w:r>
        <w:rPr>
          <w:rFonts w:hint="eastAsia" w:ascii="宋体" w:hAnsi="宋体" w:eastAsia="宋体" w:cs="宋体"/>
          <w:b w:val="0"/>
          <w:bCs w:val="0"/>
          <w:color w:val="auto"/>
          <w:sz w:val="24"/>
          <w:szCs w:val="24"/>
          <w:highlight w:val="none"/>
          <w:lang w:val="en-US" w:eastAsia="zh-CN"/>
        </w:rPr>
        <w:t>国际化教育项目服务公司等</w:t>
      </w:r>
      <w:r>
        <w:rPr>
          <w:rFonts w:hint="eastAsia" w:ascii="宋体" w:hAnsi="宋体" w:eastAsia="宋体" w:cs="宋体"/>
          <w:b w:val="0"/>
          <w:bCs w:val="0"/>
          <w:color w:val="auto"/>
          <w:sz w:val="24"/>
          <w:szCs w:val="24"/>
          <w:highlight w:val="none"/>
        </w:rPr>
        <w:t>行业法人的分支机构可以以自己的名义参加政府采购活动，但应提交以下资料：一是应提交法人和法人分支机构的营业执照或者法人登记证书或批准文件，二是应提交法人授权书。分支机构参加投标的可参照本竞争性</w:t>
      </w:r>
      <w:r>
        <w:rPr>
          <w:rFonts w:hint="eastAsia" w:ascii="宋体" w:hAnsi="宋体" w:eastAsia="宋体" w:cs="宋体"/>
          <w:b w:val="0"/>
          <w:bCs w:val="0"/>
          <w:color w:val="auto"/>
          <w:sz w:val="24"/>
          <w:szCs w:val="24"/>
          <w:highlight w:val="none"/>
          <w:lang w:eastAsia="zh-CN"/>
        </w:rPr>
        <w:t>磋商</w:t>
      </w:r>
      <w:r>
        <w:rPr>
          <w:rFonts w:hint="eastAsia" w:ascii="宋体" w:hAnsi="宋体" w:eastAsia="宋体" w:cs="宋体"/>
          <w:b w:val="0"/>
          <w:bCs w:val="0"/>
          <w:color w:val="auto"/>
          <w:sz w:val="24"/>
          <w:szCs w:val="24"/>
          <w:highlight w:val="none"/>
        </w:rPr>
        <w:t>文件给出的竞争性</w:t>
      </w:r>
      <w:r>
        <w:rPr>
          <w:rFonts w:hint="eastAsia" w:ascii="宋体" w:hAnsi="宋体" w:eastAsia="宋体" w:cs="宋体"/>
          <w:b w:val="0"/>
          <w:bCs w:val="0"/>
          <w:color w:val="auto"/>
          <w:sz w:val="24"/>
          <w:szCs w:val="24"/>
          <w:highlight w:val="none"/>
          <w:lang w:eastAsia="zh-CN"/>
        </w:rPr>
        <w:t>磋商</w:t>
      </w:r>
      <w:r>
        <w:rPr>
          <w:rFonts w:hint="eastAsia" w:ascii="宋体" w:hAnsi="宋体" w:eastAsia="宋体" w:cs="宋体"/>
          <w:b w:val="0"/>
          <w:bCs w:val="0"/>
          <w:color w:val="auto"/>
          <w:sz w:val="24"/>
          <w:szCs w:val="24"/>
          <w:highlight w:val="none"/>
        </w:rPr>
        <w:t>响应文件格式制作，其中竞争性</w:t>
      </w:r>
      <w:r>
        <w:rPr>
          <w:rFonts w:hint="eastAsia" w:ascii="宋体" w:hAnsi="宋体" w:eastAsia="宋体" w:cs="宋体"/>
          <w:b w:val="0"/>
          <w:bCs w:val="0"/>
          <w:color w:val="auto"/>
          <w:sz w:val="24"/>
          <w:szCs w:val="24"/>
          <w:highlight w:val="none"/>
          <w:lang w:eastAsia="zh-CN"/>
        </w:rPr>
        <w:t>磋商</w:t>
      </w:r>
      <w:r>
        <w:rPr>
          <w:rFonts w:hint="eastAsia" w:ascii="宋体" w:hAnsi="宋体" w:eastAsia="宋体" w:cs="宋体"/>
          <w:b w:val="0"/>
          <w:bCs w:val="0"/>
          <w:color w:val="auto"/>
          <w:sz w:val="24"/>
          <w:szCs w:val="24"/>
          <w:highlight w:val="none"/>
        </w:rPr>
        <w:t>响应文件要求法人签字处可以是分公司的负责人签字；</w:t>
      </w:r>
    </w:p>
    <w:p w14:paraId="3DF8C93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2-2 、自然人：自然人参加</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的，应参照本</w:t>
      </w:r>
      <w:r>
        <w:rPr>
          <w:rFonts w:hint="eastAsia" w:ascii="宋体" w:hAnsi="宋体" w:eastAsia="宋体" w:cs="宋体"/>
          <w:color w:val="auto"/>
          <w:sz w:val="24"/>
          <w:szCs w:val="24"/>
          <w:lang w:val="en-US" w:eastAsia="zh-CN"/>
        </w:rPr>
        <w:t>招标</w:t>
      </w:r>
      <w:r>
        <w:rPr>
          <w:rFonts w:hint="eastAsia" w:ascii="宋体" w:hAnsi="宋体" w:eastAsia="宋体" w:cs="宋体"/>
          <w:color w:val="auto"/>
          <w:sz w:val="24"/>
          <w:szCs w:val="24"/>
        </w:rPr>
        <w:t>文件给出的</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文件格式制作，其中</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文件要求盖公章处可以是自然人本人的手印；</w:t>
      </w:r>
    </w:p>
    <w:p w14:paraId="0B92D581">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bookmarkStart w:id="23" w:name="_Toc1840"/>
      <w:bookmarkStart w:id="24" w:name="_Toc48834087"/>
      <w:bookmarkStart w:id="25" w:name="_Toc48834157"/>
      <w:bookmarkStart w:id="26" w:name="_Toc48834446"/>
      <w:bookmarkStart w:id="27" w:name="_Toc48834525"/>
      <w:bookmarkStart w:id="28" w:name="_Toc48834284"/>
      <w:r>
        <w:rPr>
          <w:rFonts w:hint="eastAsia" w:ascii="宋体" w:hAnsi="宋体" w:eastAsia="宋体" w:cs="宋体"/>
          <w:b/>
          <w:bCs/>
          <w:color w:val="auto"/>
          <w:sz w:val="24"/>
          <w:szCs w:val="24"/>
        </w:rPr>
        <w:t>二、供应商注意事项</w:t>
      </w:r>
      <w:bookmarkEnd w:id="23"/>
      <w:bookmarkEnd w:id="24"/>
      <w:bookmarkEnd w:id="25"/>
      <w:bookmarkEnd w:id="26"/>
      <w:bookmarkEnd w:id="27"/>
      <w:bookmarkEnd w:id="28"/>
    </w:p>
    <w:p w14:paraId="74CA4E53">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bookmarkStart w:id="29" w:name="_Toc24852"/>
      <w:bookmarkStart w:id="30" w:name="_Toc30368"/>
      <w:bookmarkStart w:id="31" w:name="_Toc734"/>
      <w:bookmarkStart w:id="32" w:name="_Toc23045"/>
      <w:r>
        <w:rPr>
          <w:rFonts w:hint="eastAsia" w:ascii="宋体" w:hAnsi="宋体" w:eastAsia="宋体" w:cs="宋体"/>
          <w:color w:val="auto"/>
          <w:sz w:val="24"/>
          <w:szCs w:val="24"/>
        </w:rPr>
        <w:t>（一）询问</w:t>
      </w:r>
      <w:bookmarkEnd w:id="29"/>
      <w:bookmarkEnd w:id="30"/>
      <w:bookmarkEnd w:id="31"/>
      <w:bookmarkEnd w:id="32"/>
    </w:p>
    <w:p w14:paraId="2F760DC5">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bookmarkStart w:id="33" w:name="_Toc11418"/>
      <w:bookmarkStart w:id="34" w:name="_Toc16663"/>
      <w:bookmarkStart w:id="35" w:name="_Toc26397"/>
      <w:bookmarkStart w:id="36" w:name="_Toc7423"/>
      <w:r>
        <w:rPr>
          <w:rFonts w:hint="eastAsia" w:ascii="宋体" w:hAnsi="宋体" w:eastAsia="宋体" w:cs="宋体"/>
          <w:color w:val="auto"/>
          <w:sz w:val="24"/>
          <w:szCs w:val="24"/>
        </w:rPr>
        <w:t>供应商对政府采购活动事项有疑问的，可以向采购人提出询问，采购人应当及时作出答复，但答复的内容不得涉及商业秘密。</w:t>
      </w:r>
    </w:p>
    <w:p w14:paraId="37E16379">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w:t>
      </w:r>
      <w:bookmarkEnd w:id="33"/>
      <w:bookmarkEnd w:id="34"/>
      <w:bookmarkEnd w:id="35"/>
      <w:bookmarkEnd w:id="36"/>
      <w:r>
        <w:rPr>
          <w:rFonts w:hint="eastAsia" w:ascii="宋体" w:hAnsi="宋体" w:eastAsia="宋体" w:cs="宋体"/>
          <w:color w:val="auto"/>
          <w:sz w:val="24"/>
          <w:szCs w:val="24"/>
        </w:rPr>
        <w:t>质疑和投诉</w:t>
      </w:r>
    </w:p>
    <w:p w14:paraId="72F7512E">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供应商如果认为竞争性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文件中涉及的采购需求（包括供应商资格条件、评审要素及分值设置、采购内容和要求、合同条款等）使自身的合法权益受到损害，可以在竞争性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文件公告期限届满之日起７个工作日内，以书面形式向采购人提出质疑；</w:t>
      </w:r>
    </w:p>
    <w:p w14:paraId="0B9C6EC6">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供应商如果认为采购程序、采购过程或成交结果使自身的合法权益受到损害，可以在知道或应知其权益受到损害之日起 7个工作日内，以书面形式向代理机构提出质疑。</w:t>
      </w:r>
    </w:p>
    <w:p w14:paraId="2A413072">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采购人、采购代理机构将在收到书面质疑后7个工作日内做出答复，并以书面形式通知质疑人和其他有关供应商。</w:t>
      </w:r>
    </w:p>
    <w:p w14:paraId="4B461C4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供应商提出质疑应当提交质疑函和必要的证明材料，并按财政部《质疑函范本》给定的格式进行填写，范本下载详见【财政部国库司（gks.mof.gov.cn）】网站〖首页•〉政府采购管理〗栏目中的《政府采购供应商质疑函范本》。</w:t>
      </w:r>
    </w:p>
    <w:p w14:paraId="70931F53">
      <w:pPr>
        <w:keepNext w:val="0"/>
        <w:keepLines w:val="0"/>
        <w:pageBreakBefore w:val="0"/>
        <w:widowControl w:val="0"/>
        <w:kinsoku/>
        <w:wordWrap w:val="0"/>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《政府采购供应商质疑函范本》链接地址：</w:t>
      </w:r>
    </w:p>
    <w:p w14:paraId="372304BA">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http://gks.mof.gov.cn/zhengfucaigouguanli/201802/t20180201_2804589.html</w:t>
      </w:r>
    </w:p>
    <w:p w14:paraId="224C598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质疑人为自然人的，应当由本人在《质疑函》上签字；质疑人为法人或者其他组织的，应当由法定代表人、主要负责人，或者其授权代表在《质疑函》上签字或者盖章，并加盖公章。授权代表办理质疑事项时，除提交《质疑函》外，还应当提交《授权委托书》及授权代表的有效身份证明，《授权委托书》应当载明委托代理的具体权限和事项。</w:t>
      </w:r>
    </w:p>
    <w:p w14:paraId="7437570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在法定质疑期内，针对同一采购程序环节的质疑应当一次性提出</w:t>
      </w:r>
      <w:r>
        <w:rPr>
          <w:rFonts w:hint="eastAsia" w:ascii="宋体" w:hAnsi="宋体" w:eastAsia="宋体" w:cs="宋体"/>
          <w:color w:val="auto"/>
          <w:sz w:val="24"/>
          <w:szCs w:val="24"/>
          <w:lang w:eastAsia="zh-CN"/>
        </w:rPr>
        <w:t>。</w:t>
      </w:r>
    </w:p>
    <w:p w14:paraId="385D4D22">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3、有下列情形之一的，属于无效质疑，采购人、采购代理机构不予受理：</w:t>
      </w:r>
    </w:p>
    <w:p w14:paraId="42A180B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（1）质疑人不是参与所质疑项目采购活动的供应商；</w:t>
      </w:r>
    </w:p>
    <w:p w14:paraId="11FFB54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（2）质疑人与质疑事项不存在利害关系的；</w:t>
      </w:r>
    </w:p>
    <w:p w14:paraId="04124C2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（3）未在法定期限内提出质疑的；</w:t>
      </w:r>
    </w:p>
    <w:p w14:paraId="11B3BD6C">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（4）质疑未以书面形式提出，或《质疑函》主要内容构成不完整的，或缺乏必要的证明材料及证明材料不完整的；</w:t>
      </w:r>
    </w:p>
    <w:p w14:paraId="1AC9C632">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（5）《质疑函》没有合法有效的签字、盖章或授权的；</w:t>
      </w:r>
    </w:p>
    <w:p w14:paraId="5A9C0A9C">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（6）以非法手段取得证据、材料的；</w:t>
      </w:r>
    </w:p>
    <w:p w14:paraId="0FCAB1D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（7）质疑答复后，同一质疑人就同一事项再次提出质疑的；</w:t>
      </w:r>
    </w:p>
    <w:p w14:paraId="16B11A2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4、质疑人对采购代理机构或采购人的答复不满意，以及采购人、采购代理机构未在规定时间内做出答复的，可以在答复期满后15个工作日内向</w:t>
      </w:r>
      <w:r>
        <w:rPr>
          <w:rFonts w:hint="eastAsia" w:ascii="宋体" w:hAnsi="宋体" w:eastAsia="宋体" w:cs="宋体"/>
          <w:color w:val="auto"/>
          <w:sz w:val="24"/>
          <w:szCs w:val="24"/>
          <w:lang w:val="en-US" w:eastAsia="zh-CN"/>
        </w:rPr>
        <w:t>榆林市</w:t>
      </w:r>
      <w:r>
        <w:rPr>
          <w:rFonts w:hint="eastAsia" w:ascii="宋体" w:hAnsi="宋体" w:eastAsia="宋体" w:cs="宋体"/>
          <w:color w:val="auto"/>
          <w:sz w:val="24"/>
          <w:szCs w:val="24"/>
        </w:rPr>
        <w:t>财政局提出投诉。</w:t>
      </w:r>
    </w:p>
    <w:p w14:paraId="3E85852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5、供应商投诉的事项不得超出已质疑事项的范围。</w:t>
      </w:r>
    </w:p>
    <w:p w14:paraId="07D5EC0E">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6、对捏造事实、提供虚假材料进行质疑、投诉的行为予以严肃处理。</w:t>
      </w:r>
    </w:p>
    <w:p w14:paraId="7F06DCC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①《中华人民共和国政府采购法》《中华人民共和国政府采购法实施条例》《中华人民共和国招标投标法》《中华人民共和国招标投标法实施条例》《政府采购质疑和投诉办法》等法律法规的规定，供应商质疑、投诉应当有明确的请求和必要的证明材料。</w:t>
      </w:r>
    </w:p>
    <w:p w14:paraId="3C9160C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②投诉人在全国范围内十二个月内三次以上投诉查无实据的，由财政部门列入不良行为记录名单。</w:t>
      </w:r>
    </w:p>
    <w:p w14:paraId="4D5BABC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③捏造事实、提供虚假材料或者以非法手段取得证明材料的投诉将被驳回，并将提出投诉的供应商列入不良行为记录名单，禁止其一至三年内参加政府采购活动。</w:t>
      </w:r>
    </w:p>
    <w:p w14:paraId="667B6F4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7、依法严惩捏造事实诬告陷害、诽谤他人的行为。</w:t>
      </w:r>
    </w:p>
    <w:p w14:paraId="67AD049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①《中华人民共和国刑法》第243条【诬告陷害罪】捏造事实诬告陷害他人，意图使他人受刑事追究，情节严重的，处三年以下有期徒刑、拘役或者管制；造成严重后果的，处三年以上十年以下有期徒刑。</w:t>
      </w:r>
    </w:p>
    <w:p w14:paraId="004BAEBC">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②《中华人民共和国刑法》第246条【侮辱罪、诽谤罪】以暴力或者其他方法公然侮辱他人或者捏造事实诽谤他人，情节严重的，处三年以下有期徒刑、拘役、管制或者剥夺政治权利。</w:t>
      </w:r>
    </w:p>
    <w:p w14:paraId="0B0DFFD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质疑函递交地址：</w:t>
      </w:r>
      <w:r>
        <w:rPr>
          <w:rFonts w:hint="eastAsia" w:ascii="宋体" w:hAnsi="宋体" w:cs="宋体"/>
          <w:color w:val="auto"/>
          <w:sz w:val="24"/>
          <w:szCs w:val="24"/>
          <w:highlight w:val="none"/>
          <w:lang w:val="en-US" w:eastAsia="zh-CN"/>
        </w:rPr>
        <w:t>榆林市榆阳区尚德名苑西写字楼609室</w:t>
      </w:r>
    </w:p>
    <w:p w14:paraId="3042F87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w:t>
      </w:r>
      <w:r>
        <w:rPr>
          <w:rFonts w:hint="eastAsia" w:ascii="宋体" w:hAnsi="宋体" w:cs="宋体"/>
          <w:color w:val="auto"/>
          <w:sz w:val="24"/>
          <w:szCs w:val="24"/>
          <w:highlight w:val="none"/>
          <w:lang w:val="en-US" w:eastAsia="zh-CN"/>
        </w:rPr>
        <w:t>王宝军</w:t>
      </w:r>
      <w:r>
        <w:rPr>
          <w:rFonts w:hint="eastAsia" w:ascii="宋体" w:hAnsi="宋体" w:eastAsia="宋体" w:cs="宋体"/>
          <w:color w:val="auto"/>
          <w:sz w:val="24"/>
          <w:szCs w:val="24"/>
          <w:highlight w:val="none"/>
          <w:lang w:val="en-US" w:eastAsia="zh-CN"/>
        </w:rPr>
        <w:t xml:space="preserve"> </w:t>
      </w:r>
    </w:p>
    <w:p w14:paraId="7A807ED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w:t>
      </w:r>
      <w:r>
        <w:rPr>
          <w:rFonts w:hint="eastAsia" w:ascii="宋体" w:hAnsi="宋体" w:cs="宋体"/>
          <w:color w:val="auto"/>
          <w:sz w:val="24"/>
          <w:szCs w:val="24"/>
          <w:highlight w:val="none"/>
          <w:lang w:val="en-US" w:eastAsia="zh-CN"/>
        </w:rPr>
        <w:t>15029425465</w:t>
      </w:r>
    </w:p>
    <w:p w14:paraId="6FE30085">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9、投诉书递交地址：</w:t>
      </w:r>
      <w:r>
        <w:rPr>
          <w:rFonts w:hint="eastAsia" w:ascii="宋体" w:hAnsi="宋体" w:eastAsia="宋体" w:cs="宋体"/>
          <w:color w:val="auto"/>
          <w:sz w:val="24"/>
          <w:szCs w:val="24"/>
          <w:highlight w:val="none"/>
          <w:lang w:eastAsia="zh-CN"/>
        </w:rPr>
        <w:t>榆林市财政局</w:t>
      </w:r>
      <w:r>
        <w:rPr>
          <w:rFonts w:hint="eastAsia" w:ascii="宋体" w:hAnsi="宋体" w:eastAsia="宋体" w:cs="宋体"/>
          <w:color w:val="auto"/>
          <w:sz w:val="24"/>
          <w:szCs w:val="24"/>
          <w:highlight w:val="none"/>
        </w:rPr>
        <w:t xml:space="preserve">  </w:t>
      </w:r>
    </w:p>
    <w:p w14:paraId="13B8F4F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bookmarkStart w:id="37" w:name="_Toc13334"/>
      <w:bookmarkStart w:id="38" w:name="_Toc32437"/>
      <w:bookmarkStart w:id="39" w:name="_Toc16384"/>
      <w:bookmarkStart w:id="40" w:name="_Toc26247"/>
      <w:r>
        <w:rPr>
          <w:rFonts w:hint="eastAsia" w:ascii="宋体" w:hAnsi="宋体" w:eastAsia="宋体" w:cs="宋体"/>
          <w:color w:val="auto"/>
          <w:sz w:val="24"/>
          <w:szCs w:val="24"/>
          <w:highlight w:val="none"/>
          <w:lang w:val="en-US" w:eastAsia="zh-CN"/>
        </w:rPr>
        <w:t>地址：</w:t>
      </w:r>
      <w:r>
        <w:rPr>
          <w:rFonts w:hint="eastAsia" w:ascii="宋体" w:hAnsi="宋体" w:eastAsia="宋体" w:cs="宋体"/>
          <w:color w:val="auto"/>
          <w:sz w:val="24"/>
          <w:szCs w:val="24"/>
          <w:highlight w:val="none"/>
          <w:lang w:eastAsia="zh-CN"/>
        </w:rPr>
        <w:t>榆林市航宇路街道泰安路</w:t>
      </w:r>
      <w:r>
        <w:rPr>
          <w:rFonts w:hint="eastAsia" w:ascii="宋体" w:hAnsi="宋体" w:eastAsia="宋体" w:cs="宋体"/>
          <w:color w:val="auto"/>
          <w:sz w:val="24"/>
          <w:szCs w:val="24"/>
          <w:highlight w:val="none"/>
          <w:lang w:val="en-US" w:eastAsia="zh-CN"/>
        </w:rPr>
        <w:t>718室</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w:t>
      </w:r>
    </w:p>
    <w:p w14:paraId="498780F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（四）关于信用记录的查询和使用</w:t>
      </w:r>
    </w:p>
    <w:p w14:paraId="509AF0D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1、采购人、代理机构在资格审查阶段通过【</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"http://www.creditchina.gov.cn"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信用中国</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（www.creditchina.gov.cn）】、【</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"http://www.ccgp.gov.cn/cr/list"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中国政府采购网</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www.ccgp.gov.cn）】网站对供应商的信用情况进行甄别。对列入失信被执行人、重大税收违法案件当事人名单、政府采购严重违法失信行为记录名单及其他不符合《中华人民共和国政府采购法》第二十二条规定条件的供应商，拒绝其参</w:t>
      </w:r>
      <w:r>
        <w:rPr>
          <w:rFonts w:hint="eastAsia" w:ascii="宋体" w:hAnsi="宋体" w:eastAsia="宋体" w:cs="宋体"/>
          <w:color w:val="auto"/>
          <w:sz w:val="24"/>
          <w:szCs w:val="24"/>
          <w:lang w:val="en-US" w:eastAsia="zh-CN"/>
        </w:rPr>
        <w:t>与</w:t>
      </w:r>
      <w:r>
        <w:rPr>
          <w:rFonts w:hint="eastAsia" w:ascii="宋体" w:hAnsi="宋体" w:eastAsia="宋体" w:cs="宋体"/>
          <w:color w:val="auto"/>
          <w:sz w:val="24"/>
          <w:szCs w:val="24"/>
        </w:rPr>
        <w:t>本次投标活动。</w:t>
      </w:r>
    </w:p>
    <w:p w14:paraId="1F5270C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2、供应商在参加政府采购活动前3年内因违法经营被禁止在一定期限内参加政府采购活动，期限届满的，可以参加政府采购活动的，但供应商应提供相关证明材料。</w:t>
      </w:r>
    </w:p>
    <w:p w14:paraId="47AA7C2C">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3、供应商信用记录查询的结果，将以纸质截图或将截图保存至电子介质的形式留存。供应商未如实填报《供应商书面声明函》的，视为“供应商提供虚假材料谋取中标、成交的”行为，拒绝其参本次投标活动。</w:t>
      </w:r>
    </w:p>
    <w:bookmarkEnd w:id="37"/>
    <w:bookmarkEnd w:id="38"/>
    <w:bookmarkEnd w:id="39"/>
    <w:bookmarkEnd w:id="40"/>
    <w:p w14:paraId="2594696E">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bookmarkStart w:id="41" w:name="_Toc4661"/>
      <w:bookmarkStart w:id="42" w:name="_Toc4945"/>
      <w:bookmarkStart w:id="43" w:name="_Toc15976"/>
      <w:bookmarkStart w:id="44" w:name="_Toc30404"/>
      <w:bookmarkStart w:id="45" w:name="_Toc48834285"/>
      <w:bookmarkStart w:id="46" w:name="_Toc48834088"/>
      <w:bookmarkStart w:id="47" w:name="_Toc48834158"/>
      <w:bookmarkStart w:id="48" w:name="_Toc25185"/>
      <w:bookmarkStart w:id="49" w:name="_Toc48834447"/>
      <w:bookmarkStart w:id="50" w:name="_Toc48834526"/>
      <w:r>
        <w:rPr>
          <w:rFonts w:hint="eastAsia" w:ascii="宋体" w:hAnsi="宋体" w:eastAsia="宋体" w:cs="宋体"/>
          <w:color w:val="auto"/>
          <w:sz w:val="24"/>
          <w:szCs w:val="24"/>
        </w:rPr>
        <w:t>（五）执行优惠政策</w:t>
      </w:r>
    </w:p>
    <w:p w14:paraId="18758F5C">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对于小微企业（含小型、微型企业）、监狱企业、残疾人福利性单位参与本次投标，以及节能产品、环保产品的采购，执行国务院办公厅以及国家部委</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榆政采</w:t>
      </w:r>
      <w:r>
        <w:rPr>
          <w:rFonts w:hint="eastAsia" w:ascii="宋体" w:hAnsi="宋体" w:eastAsia="宋体" w:cs="宋体"/>
          <w:color w:val="auto"/>
          <w:sz w:val="24"/>
          <w:szCs w:val="24"/>
        </w:rPr>
        <w:t>有关文件。</w:t>
      </w:r>
    </w:p>
    <w:bookmarkEnd w:id="41"/>
    <w:bookmarkEnd w:id="42"/>
    <w:bookmarkEnd w:id="43"/>
    <w:bookmarkEnd w:id="44"/>
    <w:p w14:paraId="5A0BC16E">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bookmarkStart w:id="51" w:name="_Toc16492"/>
      <w:bookmarkStart w:id="52" w:name="_Toc1993"/>
      <w:bookmarkStart w:id="53" w:name="_Toc22982"/>
      <w:bookmarkStart w:id="54" w:name="_Toc16749"/>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小微企业</w:t>
      </w:r>
    </w:p>
    <w:p w14:paraId="7EC9FB0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（1）依据国务院批准的中小企业划分标准确定的中型企业、小型企业和微型企业，在政府采购活动中享受政策优惠。但与大企业的负责人为同一人，或者与大企业存在直接控股、管理关系的企业除外。</w:t>
      </w:r>
      <w:r>
        <w:rPr>
          <w:rFonts w:hint="eastAsia" w:ascii="宋体" w:hAnsi="宋体" w:eastAsia="宋体" w:cs="宋体"/>
          <w:color w:val="auto"/>
          <w:sz w:val="24"/>
          <w:szCs w:val="24"/>
        </w:rPr>
        <w:t>小微企业按《政府采购促进中小企业发展管办法》（财库〔2020〕46号）和《工业和信息化部、国家统计局、国家发展和改革委员会、财政部关于印发&lt;中小企业划型标准规定&gt;的通知》（工信部联企业【2011】300号）文规定标准确认。</w:t>
      </w:r>
    </w:p>
    <w:p w14:paraId="301E9C05">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（2）以联合体形式参加政府采购活动，联合体各方均为中小企业的，联合体视同中小企业。其中，联合体各方均为小微企业的，联合体视同小微企业。</w:t>
      </w:r>
    </w:p>
    <w:p w14:paraId="3F67829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 在政府采购活动中，监狱企业、残疾人福利性单位视同小型、微型企业，享受预留份额、评审中价格扣除等政府采购促进中小企业发展的政府采购政策。监狱企业、残疾人福利性单位属于小型、微型企业的，不重复享受政策。</w:t>
      </w:r>
    </w:p>
    <w:p w14:paraId="4D2C11A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符合条件的监狱企业、残疾人福利性单位在参加政府采购活动时，应当提供《小微企业声明函》、《残疾人福利性单位声明函》、《监狱企业声明函》（见附件），并对声明的真实性负责。享受小微企业政策优惠的中标人，《小微企业声明函》、《残疾人福利性单位声明函》、《监狱企业声明函》</w:t>
      </w:r>
      <w:r>
        <w:rPr>
          <w:rFonts w:hint="eastAsia" w:ascii="宋体" w:hAnsi="宋体" w:eastAsia="宋体" w:cs="宋体"/>
          <w:color w:val="auto"/>
          <w:sz w:val="24"/>
          <w:szCs w:val="24"/>
        </w:rPr>
        <w:t>随中标结果公告一同公示，接受社会监督。若提供的资料与事实不符，将承担经济和法律责任。</w:t>
      </w:r>
    </w:p>
    <w:p w14:paraId="3637C2B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5）货物由中小企业制造，即货物由中小企业生产且使用该中小企业商号或者注册商标。供应商提供的货物既有中小企业制造货物，也有大型企业制造货物的，不享受本办法规定的中小企业扶持政策。</w:t>
      </w:r>
    </w:p>
    <w:p w14:paraId="71A4665E">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（6）按榆政财采发【2022】10号文件的精神，</w:t>
      </w:r>
      <w:r>
        <w:rPr>
          <w:rFonts w:hint="eastAsia" w:ascii="宋体" w:hAnsi="宋体" w:eastAsia="宋体" w:cs="宋体"/>
          <w:color w:val="auto"/>
          <w:sz w:val="24"/>
          <w:szCs w:val="24"/>
          <w:highlight w:val="none"/>
        </w:rPr>
        <w:t>明确对非专门面向中小企业采购的货物服务项目，小微企业的价格扣除比例提高至20%。对于货物服务采购项目联合协议或者分包意向协议约定小微企业的合同份额占到合同总金额 30%以上的，价格扣除优惠提高至6%。</w:t>
      </w:r>
    </w:p>
    <w:p w14:paraId="0C7924A4">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（7）享受扶持政策获得政府采购合同的，小微企业不得将合同分包给大中型企业，中型企业不得将合同分包给大型企业。</w:t>
      </w:r>
    </w:p>
    <w:p w14:paraId="1F48241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2.节能产品、环境标志产品</w:t>
      </w:r>
    </w:p>
    <w:p w14:paraId="44589E1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（1）根据财库〔2019〕9号文件【财政部 发展改革委 生态环境部 市场监管总局 关于调整优化节能产品、环境标志产品政府采购执行机制的通知】，对政府采购节能产品、环境标志产品实施品目清单管理，依据国家确定的认证机构出具的、处于有效期之内的节能产品、环境标志产品认证证书，对获得证书的产品实施政府优先采购或强制采购。清单中的产品有效时间以中国环境标志产品认证证书有效截止日期为准，超过认证证书有效截止日期的自动失效。</w:t>
      </w:r>
    </w:p>
    <w:p w14:paraId="1D29B3E4">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执行财库〔2019〕9号文件：拟采购的产品属于</w:t>
      </w:r>
      <w:r>
        <w:rPr>
          <w:rFonts w:hint="eastAsia" w:ascii="宋体" w:hAnsi="宋体" w:eastAsia="宋体" w:cs="宋体"/>
          <w:color w:val="auto"/>
          <w:sz w:val="24"/>
          <w:szCs w:val="24"/>
          <w:lang w:val="en-US" w:eastAsia="zh-CN"/>
        </w:rPr>
        <w:t>节能产品、环境标志产品</w:t>
      </w:r>
      <w:r>
        <w:rPr>
          <w:rFonts w:hint="eastAsia" w:ascii="宋体" w:hAnsi="宋体" w:eastAsia="宋体" w:cs="宋体"/>
          <w:color w:val="auto"/>
          <w:sz w:val="24"/>
          <w:szCs w:val="24"/>
        </w:rPr>
        <w:t>品目清单范围的，供应商应当提供依据国家确定的认证机构出具的、处于有效期之内的节能产品、环境标志产品认证证书，对获得证书的产品实施政府优先采购或强制采购。</w:t>
      </w:r>
    </w:p>
    <w:p w14:paraId="666780DC">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）获得上述认证的产品在投标时应提供有效证明材料：品目清单和认证证书，缺一不优惠。以上所有证明文件彩色扫描件须加盖供应商</w:t>
      </w:r>
      <w:r>
        <w:rPr>
          <w:rFonts w:hint="eastAsia" w:ascii="宋体" w:hAnsi="宋体" w:eastAsia="宋体" w:cs="宋体"/>
          <w:color w:val="auto"/>
          <w:sz w:val="24"/>
          <w:szCs w:val="24"/>
          <w:lang w:val="en-US" w:eastAsia="zh-CN"/>
        </w:rPr>
        <w:t>鲜</w:t>
      </w:r>
      <w:r>
        <w:rPr>
          <w:rFonts w:hint="eastAsia" w:ascii="宋体" w:hAnsi="宋体" w:eastAsia="宋体" w:cs="宋体"/>
          <w:color w:val="auto"/>
          <w:sz w:val="24"/>
          <w:szCs w:val="24"/>
        </w:rPr>
        <w:t>章并注明“与原件一致”，否则不予</w:t>
      </w:r>
      <w:r>
        <w:rPr>
          <w:rFonts w:hint="eastAsia" w:ascii="宋体" w:hAnsi="宋体" w:eastAsia="宋体" w:cs="宋体"/>
          <w:color w:val="auto"/>
          <w:sz w:val="24"/>
          <w:szCs w:val="24"/>
          <w:lang w:val="en-US" w:eastAsia="zh-CN"/>
        </w:rPr>
        <w:t>享受</w:t>
      </w:r>
      <w:r>
        <w:rPr>
          <w:rFonts w:hint="eastAsia" w:ascii="宋体" w:hAnsi="宋体" w:eastAsia="宋体" w:cs="宋体"/>
          <w:color w:val="auto"/>
          <w:sz w:val="24"/>
          <w:szCs w:val="24"/>
        </w:rPr>
        <w:t>优惠。</w:t>
      </w:r>
    </w:p>
    <w:p w14:paraId="133E9A2A">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1）节能产品根据《财政部、国家发展和改革委员会关于印发&lt;节能产品政府采购实施意见&gt;的通知》（财库【2004】185号）、《国务院办公厅关于建立政府强制采购节能产品制度的通知》（国办发〔2007〕51号）的有关规定，以中国政府采购网（http://www.ccgp.gov.cn/）公布的最新一期节能产品政府采购清单为准。节能清单所列产品包括政府强制采购和优先采购的节能产品，标注“★”的品目为政府强制采购的节能产品，其他品目为政府优先采购的节能产品。</w:t>
      </w:r>
    </w:p>
    <w:p w14:paraId="4915446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环境标志产品根据《财政部、国家环保总局联合印发&lt;关于环境标志产品政府采购实施的意见&gt;》（财库【2006】90号）的规定，以中国政府采购网（http://www.ccgp.gov.cn/）公布的最新一期环境标志产品政府采购清单为准。环保清单所列产品为政府优先采购产品。</w:t>
      </w:r>
    </w:p>
    <w:p w14:paraId="595397B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（3）若节能、环境标志清单内的产品仅是构成投标产品的部件、组件或零件的，则该投标产品不享受鼓励优惠政策。</w:t>
      </w:r>
    </w:p>
    <w:p w14:paraId="2FB2285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（4）对于同时列入环保清单和节能产品政府采购清单的产品，应当优先于只列入其中一个清单的产品。</w:t>
      </w:r>
    </w:p>
    <w:p w14:paraId="06F98724">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（六）关于知识产权与保密事项</w:t>
      </w:r>
      <w:bookmarkEnd w:id="51"/>
      <w:bookmarkEnd w:id="52"/>
      <w:bookmarkEnd w:id="53"/>
      <w:bookmarkEnd w:id="54"/>
    </w:p>
    <w:p w14:paraId="2FA36B56">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1、所有涉及知识产权的产品及设计，供应商必须确保采购人拥有其合法的、不受限制的无偿使用权，并免受任何侵权诉讼或索偿，否则，由此产生的一切经济损失和法律责任由供应商承担。</w:t>
      </w:r>
    </w:p>
    <w:p w14:paraId="1526DB6A">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由采购人向供应商提供的所有资料，供应商不得向第三方透露或将其用于本次投标以外的任何用途。开标后，若采购人有要求，供应商须归还采购人认为需保密的文件和资料，并销毁所有相应的备份文件及资料。</w:t>
      </w:r>
    </w:p>
    <w:p w14:paraId="0F776B6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s">
            <w:drawing>
              <wp:anchor distT="0" distB="0" distL="114300" distR="114300" simplePos="0" relativeHeight="251660288" behindDoc="0" locked="0" layoutInCell="1" allowOverlap="1">
                <wp:simplePos x="0" y="0"/>
                <wp:positionH relativeFrom="page">
                  <wp:posOffset>6883400</wp:posOffset>
                </wp:positionH>
                <wp:positionV relativeFrom="paragraph">
                  <wp:posOffset>1591945</wp:posOffset>
                </wp:positionV>
                <wp:extent cx="197485" cy="197485"/>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97485" cy="197485"/>
                        </a:xfrm>
                        <a:prstGeom prst="rect">
                          <a:avLst/>
                        </a:prstGeom>
                        <a:noFill/>
                        <a:ln>
                          <a:noFill/>
                        </a:ln>
                      </wps:spPr>
                      <wps:txbx>
                        <w:txbxContent>
                          <w:p w14:paraId="2815E268">
                            <w:pPr>
                              <w:spacing w:before="0" w:line="156" w:lineRule="auto"/>
                              <w:ind w:left="20" w:right="0" w:firstLine="0"/>
                              <w:jc w:val="left"/>
                              <w:rPr>
                                <w:sz w:val="27"/>
                              </w:rPr>
                            </w:pPr>
                            <w:r>
                              <w:rPr>
                                <w:color w:val="C3C3C4"/>
                                <w:w w:val="100"/>
                                <w:sz w:val="27"/>
                              </w:rPr>
                              <w:t>｀</w:t>
                            </w:r>
                          </w:p>
                        </w:txbxContent>
                      </wps:txbx>
                      <wps:bodyPr vert="eaVert" lIns="0" tIns="0" rIns="0" bIns="0" upright="1"/>
                    </wps:wsp>
                  </a:graphicData>
                </a:graphic>
              </wp:anchor>
            </w:drawing>
          </mc:Choice>
          <mc:Fallback>
            <w:pict>
              <v:shape id="_x0000_s1026" o:spid="_x0000_s1026" o:spt="202" type="#_x0000_t202" style="position:absolute;left:0pt;margin-left:542pt;margin-top:125.35pt;height:15.55pt;width:15.55pt;mso-position-horizontal-relative:page;z-index:251660288;mso-width-relative:page;mso-height-relative:page;" filled="f" stroked="f" coordsize="21600,21600" o:gfxdata="UEsDBAoAAAAAAIdO4kAAAAAAAAAAAAAAAAAEAAAAZHJzL1BLAwQUAAAACACHTuJAXYNHW9gAAAAN&#10;AQAADwAAAGRycy9kb3ducmV2LnhtbE2PS0/DMBCE70j8B2uRuFHbhUAU4lSoFXBu2kturr0kEX5E&#10;sfvg37M9wXFmR7Pf1KuLd+yEcxpjUCAXAhgGE+0YegX73ftDCSxlHax2MaCCH0ywam5val3ZeA5b&#10;PLW5Z1QSUqUVDDlPFefJDOh1WsQJA92+4ux1Jjn33M76TOXe8aUQz9zrMdCHQU+4HtB8t0evoFt3&#10;jkezL8zn9pHrt3bz4bqNUvd3UrwCy3jJf2G44hM6NMR0iMdgE3OkRflEY7KCZSFegF0jUhYS2IGs&#10;UpbAm5r/X9H8AlBLAwQUAAAACACHTuJA/5/Nq74BAACBAwAADgAAAGRycy9lMm9Eb2MueG1srVNL&#10;jhMxEN0jcQfLe9KZEZ+hlc5IKBqEhABpgL3jLqct+SeXk+5cAG7Aig17zpVzTNndnYFhMws2drmq&#10;/KreK3t1PVjDDhBRe9fwi8WSM3DSt9rtGv7l882zK84wCdcK4x00/AjIr9dPn6z6UMOl77xpITIC&#10;cVj3oeFdSqGuKpQdWIELH8BRUPloRaJj3FVtFD2hW1NdLpcvq97HNkQvAZG8mzHIJ8T4GECvlJaw&#10;8XJvwaURNYIRiShhpwPydelWKZDpo1IIiZmGE9NUVipC9jav1Xol6l0UodNyakE8poUHnKzQjoqe&#10;oTYiCbaP+h8oq2X06FVaSG+rkUhRhFhcLB9oc9uJAIULSY3hLDr+P1j54fApMt3SS3jBmROWJn76&#10;8f308/fp1zdGPhKoD1hT3m2gzDS88QMlz34kZ+Y9qGjzTowYxUne41leGBKT+dLrV8+vqIqk0GQT&#10;enV/OURMb8Fblo2GR5peEVUc3mMaU+eUXMv5G21MmaBxfzkIM3uq3PnYYbbSsB0mOlvfHokNfQOq&#10;A+Ir7ZyZd46Uza9kNuJsbGdjH6LedXSpKFAK0GQKi+kV5dH/eS5t3P+c9R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dg0db2AAAAA0BAAAPAAAAAAAAAAEAIAAAACIAAABkcnMvZG93bnJldi54bWxQ&#10;SwECFAAUAAAACACHTuJA/5/Nq74BAACBAwAADgAAAAAAAAABACAAAAAnAQAAZHJzL2Uyb0RvYy54&#10;bWxQSwUGAAAAAAYABgBZAQAAVwUAAAAA&#10;">
                <v:fill on="f" focussize="0,0"/>
                <v:stroke on="f"/>
                <v:imagedata o:title=""/>
                <o:lock v:ext="edit" aspectratio="f"/>
                <v:textbox inset="0mm,0mm,0mm,0mm" style="layout-flow:vertical-ideographic;">
                  <w:txbxContent>
                    <w:p w14:paraId="2815E268">
                      <w:pPr>
                        <w:spacing w:before="0" w:line="156" w:lineRule="auto"/>
                        <w:ind w:left="20" w:right="0" w:firstLine="0"/>
                        <w:jc w:val="left"/>
                        <w:rPr>
                          <w:sz w:val="27"/>
                        </w:rPr>
                      </w:pPr>
                      <w:r>
                        <w:rPr>
                          <w:color w:val="C3C3C4"/>
                          <w:w w:val="100"/>
                          <w:sz w:val="27"/>
                        </w:rPr>
                        <w:t>｀</w:t>
                      </w:r>
                    </w:p>
                  </w:txbxContent>
                </v:textbox>
              </v:shape>
            </w:pict>
          </mc:Fallback>
        </mc:AlternateConten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七）</w:t>
      </w:r>
      <w:r>
        <w:rPr>
          <w:rFonts w:hint="eastAsia" w:ascii="宋体" w:hAnsi="宋体" w:eastAsia="宋体" w:cs="宋体"/>
          <w:color w:val="auto"/>
          <w:sz w:val="24"/>
          <w:szCs w:val="24"/>
        </w:rPr>
        <w:t>、准确理解政策支持范围。在货物采购项目中，货物由中小企业制造（货物由中小企业生产且使用该中小企业商号或 者注册商标）的，可享受中小企业扶持政策，对</w:t>
      </w:r>
      <w:r>
        <w:rPr>
          <w:rFonts w:hint="eastAsia" w:ascii="宋体" w:hAnsi="宋体" w:eastAsia="宋体" w:cs="宋体"/>
          <w:color w:val="auto"/>
          <w:sz w:val="24"/>
          <w:szCs w:val="24"/>
          <w:lang w:eastAsia="zh-CN"/>
        </w:rPr>
        <w:t>投标供应商</w:t>
      </w:r>
      <w:r>
        <w:rPr>
          <w:rFonts w:hint="eastAsia" w:ascii="宋体" w:hAnsi="宋体" w:eastAsia="宋体" w:cs="宋体"/>
          <w:color w:val="auto"/>
          <w:sz w:val="24"/>
          <w:szCs w:val="24"/>
        </w:rPr>
        <w:t>性质不作要求。如果一个采购项目或采购包</w:t>
      </w:r>
      <w:r>
        <w:rPr>
          <w:rFonts w:hint="eastAsia" w:ascii="宋体" w:hAnsi="宋体" w:eastAsia="宋体" w:cs="宋体"/>
          <w:color w:val="auto"/>
          <w:sz w:val="24"/>
          <w:szCs w:val="24"/>
          <w:lang w:val="en-US" w:eastAsia="zh-CN"/>
        </w:rPr>
        <w:t>包</w:t>
      </w:r>
      <w:r>
        <w:rPr>
          <w:rFonts w:hint="eastAsia" w:ascii="宋体" w:hAnsi="宋体" w:eastAsia="宋体" w:cs="宋体"/>
          <w:color w:val="auto"/>
          <w:sz w:val="24"/>
          <w:szCs w:val="24"/>
        </w:rPr>
        <w:t>含有多个采购标的的，则每个采购标的均应由中小企业制造 。在政府采购项目中，工程由中小企业承建的、服务由中小企业承接的，可享受中小企业扶持政策。供应商应当按照采购文件中明确的采购标的对应行业出具中小企业声明函。</w:t>
      </w:r>
      <w:r>
        <w:rPr>
          <w:rFonts w:hint="eastAsia" w:ascii="宋体" w:hAnsi="宋体" w:eastAsia="宋体" w:cs="宋体"/>
          <w:b/>
          <w:bCs/>
          <w:color w:val="auto"/>
          <w:sz w:val="24"/>
          <w:szCs w:val="24"/>
        </w:rPr>
        <w:t>专门面向中小企业采购的项目或者采购包，不再执行价格评审优惠的扶持政策。</w:t>
      </w:r>
    </w:p>
    <w:p w14:paraId="7B7D8B2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八</w:t>
      </w:r>
      <w:r>
        <w:rPr>
          <w:rFonts w:hint="eastAsia" w:ascii="宋体" w:hAnsi="宋体" w:eastAsia="宋体" w:cs="宋体"/>
          <w:color w:val="auto"/>
          <w:sz w:val="24"/>
          <w:szCs w:val="24"/>
        </w:rPr>
        <w:t>）政采贷业务</w:t>
      </w:r>
    </w:p>
    <w:p w14:paraId="0700DF4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bookmarkStart w:id="55" w:name="_Toc2340"/>
      <w:bookmarkStart w:id="56" w:name="_Toc18387"/>
      <w:bookmarkStart w:id="57" w:name="_Toc24866"/>
      <w:bookmarkStart w:id="58" w:name="_Toc19023"/>
      <w:r>
        <w:rPr>
          <w:rFonts w:hint="eastAsia" w:ascii="宋体" w:hAnsi="宋体" w:eastAsia="宋体" w:cs="宋体"/>
          <w:b w:val="0"/>
          <w:bCs w:val="0"/>
          <w:color w:val="auto"/>
          <w:sz w:val="24"/>
          <w:szCs w:val="24"/>
        </w:rPr>
        <w:t>为了进一步推动金融支持政策更好适应市场主体的需要，扎实落实国务院关于支持中小企业发展的政策措施，积极发挥政府采购政策功能，有效缓解中小企业融资难、融资贵问题，根据中办</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国办《关于促进中小企业健康发展的指导意见》、财政部</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工信部《政府采购促进中小企业发展</w:t>
      </w:r>
      <w:r>
        <w:rPr>
          <w:rFonts w:hint="eastAsia" w:ascii="宋体" w:hAnsi="宋体" w:eastAsia="宋体" w:cs="宋体"/>
          <w:b w:val="0"/>
          <w:bCs w:val="0"/>
          <w:color w:val="auto"/>
          <w:sz w:val="24"/>
          <w:szCs w:val="24"/>
          <w:lang w:val="en-US" w:eastAsia="zh-CN"/>
        </w:rPr>
        <w:t>管理</w:t>
      </w:r>
      <w:r>
        <w:rPr>
          <w:rFonts w:hint="eastAsia" w:ascii="宋体" w:hAnsi="宋体" w:eastAsia="宋体" w:cs="宋体"/>
          <w:b w:val="0"/>
          <w:bCs w:val="0"/>
          <w:color w:val="auto"/>
          <w:sz w:val="24"/>
          <w:szCs w:val="24"/>
        </w:rPr>
        <w:t>办法》（财库〔20</w:t>
      </w:r>
      <w:r>
        <w:rPr>
          <w:rFonts w:hint="eastAsia" w:ascii="宋体" w:hAnsi="宋体" w:eastAsia="宋体" w:cs="宋体"/>
          <w:b w:val="0"/>
          <w:bCs w:val="0"/>
          <w:color w:val="auto"/>
          <w:sz w:val="24"/>
          <w:szCs w:val="24"/>
          <w:lang w:val="en-US" w:eastAsia="zh-CN"/>
        </w:rPr>
        <w:t>20</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46</w:t>
      </w:r>
      <w:r>
        <w:rPr>
          <w:rFonts w:hint="eastAsia" w:ascii="宋体" w:hAnsi="宋体" w:eastAsia="宋体" w:cs="宋体"/>
          <w:b w:val="0"/>
          <w:bCs w:val="0"/>
          <w:color w:val="auto"/>
          <w:sz w:val="24"/>
          <w:szCs w:val="24"/>
        </w:rPr>
        <w:t>号）、《陕西省中小企业政府采购信用融资办法》（陕财办采〔2018〕23号）、《陕西省财政厅关于加快推进我省中小企业政府采购信用融资工作的通知》（陕财办采〔2020〕15号）</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《陕西省财政厅 中国人民银行西安分行关于深入推进政府采购信用融资业务的通知》</w:t>
      </w:r>
      <w:r>
        <w:rPr>
          <w:rFonts w:hint="eastAsia" w:ascii="宋体" w:hAnsi="宋体" w:eastAsia="宋体" w:cs="宋体"/>
          <w:b w:val="0"/>
          <w:bCs w:val="0"/>
          <w:color w:val="auto"/>
          <w:sz w:val="24"/>
          <w:szCs w:val="24"/>
        </w:rPr>
        <w:t>（陕财办采〔202</w:t>
      </w: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t>〕5号）等有关规定，按照</w:t>
      </w:r>
      <w:r>
        <w:rPr>
          <w:rFonts w:hint="eastAsia" w:ascii="宋体" w:hAnsi="宋体" w:eastAsia="宋体" w:cs="宋体"/>
          <w:b w:val="0"/>
          <w:bCs w:val="0"/>
          <w:color w:val="auto"/>
          <w:sz w:val="24"/>
          <w:szCs w:val="24"/>
          <w:lang w:val="en-US" w:eastAsia="zh-CN"/>
        </w:rPr>
        <w:t>政府</w:t>
      </w:r>
      <w:r>
        <w:rPr>
          <w:rFonts w:hint="eastAsia" w:ascii="宋体" w:hAnsi="宋体" w:eastAsia="宋体" w:cs="宋体"/>
          <w:b w:val="0"/>
          <w:bCs w:val="0"/>
          <w:color w:val="auto"/>
          <w:sz w:val="24"/>
          <w:szCs w:val="24"/>
        </w:rPr>
        <w:t>引导、</w:t>
      </w:r>
      <w:r>
        <w:rPr>
          <w:rFonts w:hint="eastAsia" w:ascii="宋体" w:hAnsi="宋体" w:eastAsia="宋体" w:cs="宋体"/>
          <w:b w:val="0"/>
          <w:bCs w:val="0"/>
          <w:color w:val="auto"/>
          <w:sz w:val="24"/>
          <w:szCs w:val="24"/>
          <w:lang w:val="en-US" w:eastAsia="zh-CN"/>
        </w:rPr>
        <w:t>市场运作、银企</w:t>
      </w:r>
      <w:r>
        <w:rPr>
          <w:rFonts w:hint="eastAsia" w:ascii="宋体" w:hAnsi="宋体" w:eastAsia="宋体" w:cs="宋体"/>
          <w:b w:val="0"/>
          <w:bCs w:val="0"/>
          <w:color w:val="auto"/>
          <w:sz w:val="24"/>
          <w:szCs w:val="24"/>
        </w:rPr>
        <w:t>自愿、风险自担的原则，中标（成交）供应商可根据自身资金需求，登录陕西省政府采购信用融资平台</w:t>
      </w:r>
      <w:r>
        <w:rPr>
          <w:rFonts w:hint="eastAsia" w:ascii="宋体" w:hAnsi="宋体" w:eastAsia="宋体" w:cs="宋体"/>
          <w:b w:val="0"/>
          <w:bCs w:val="0"/>
          <w:color w:val="auto"/>
          <w:spacing w:val="-6"/>
          <w:sz w:val="24"/>
          <w:szCs w:val="24"/>
        </w:rPr>
        <w:t>（http://www.ccgp-shaanxi.gov.cn/zcdservice/zcd/shanxi/）</w:t>
      </w:r>
      <w:r>
        <w:rPr>
          <w:rFonts w:hint="eastAsia" w:ascii="宋体" w:hAnsi="宋体" w:eastAsia="宋体" w:cs="宋体"/>
          <w:b w:val="0"/>
          <w:bCs w:val="0"/>
          <w:color w:val="auto"/>
          <w:sz w:val="24"/>
          <w:szCs w:val="24"/>
          <w:lang w:val="en-US" w:eastAsia="zh-CN"/>
        </w:rPr>
        <w:t>或中征平台（https://www.crcrfsp.com）</w:t>
      </w:r>
      <w:r>
        <w:rPr>
          <w:rFonts w:hint="eastAsia" w:ascii="宋体" w:hAnsi="宋体" w:eastAsia="宋体" w:cs="宋体"/>
          <w:b w:val="0"/>
          <w:bCs w:val="0"/>
          <w:color w:val="auto"/>
          <w:sz w:val="24"/>
          <w:szCs w:val="24"/>
        </w:rPr>
        <w:t>在线申请，依法参加政府采购信用融资活动。</w:t>
      </w:r>
    </w:p>
    <w:p w14:paraId="67EE0BE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p>
    <w:tbl>
      <w:tblPr>
        <w:tblStyle w:val="24"/>
        <w:tblW w:w="95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6"/>
        <w:gridCol w:w="1056"/>
        <w:gridCol w:w="1068"/>
        <w:gridCol w:w="1104"/>
        <w:gridCol w:w="1116"/>
        <w:gridCol w:w="1392"/>
        <w:gridCol w:w="1104"/>
        <w:gridCol w:w="2052"/>
      </w:tblGrid>
      <w:tr w14:paraId="6F50B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96" w:type="dxa"/>
            <w:tcBorders>
              <w:top w:val="nil"/>
              <w:left w:val="nil"/>
              <w:bottom w:val="nil"/>
              <w:right w:val="nil"/>
            </w:tcBorders>
            <w:noWrap/>
            <w:vAlign w:val="center"/>
          </w:tcPr>
          <w:p w14:paraId="3F46406F">
            <w:pPr>
              <w:keepNext w:val="0"/>
              <w:keepLines w:val="0"/>
              <w:widowControl/>
              <w:suppressLineNumbers w:val="0"/>
              <w:jc w:val="both"/>
              <w:textAlignment w:val="center"/>
              <w:rPr>
                <w:rFonts w:hint="eastAsia" w:ascii="楷体" w:hAnsi="楷体" w:eastAsia="楷体" w:cs="楷体"/>
                <w:i w:val="0"/>
                <w:iCs w:val="0"/>
                <w:color w:val="000000"/>
                <w:kern w:val="0"/>
                <w:sz w:val="32"/>
                <w:szCs w:val="32"/>
                <w:u w:val="none"/>
                <w:lang w:val="en-US" w:eastAsia="zh-CN" w:bidi="ar"/>
              </w:rPr>
            </w:pPr>
          </w:p>
        </w:tc>
        <w:tc>
          <w:tcPr>
            <w:tcW w:w="8892" w:type="dxa"/>
            <w:gridSpan w:val="7"/>
            <w:tcBorders>
              <w:top w:val="nil"/>
              <w:left w:val="nil"/>
              <w:bottom w:val="nil"/>
              <w:right w:val="nil"/>
            </w:tcBorders>
            <w:noWrap/>
            <w:vAlign w:val="center"/>
          </w:tcPr>
          <w:p w14:paraId="4E8F23E1">
            <w:pPr>
              <w:keepNext w:val="0"/>
              <w:keepLines w:val="0"/>
              <w:widowControl/>
              <w:suppressLineNumbers w:val="0"/>
              <w:jc w:val="center"/>
              <w:textAlignment w:val="center"/>
              <w:rPr>
                <w:rFonts w:ascii="楷体" w:hAnsi="楷体" w:eastAsia="楷体" w:cs="楷体"/>
                <w:i w:val="0"/>
                <w:iCs w:val="0"/>
                <w:color w:val="000000"/>
                <w:sz w:val="52"/>
                <w:szCs w:val="52"/>
                <w:u w:val="none"/>
              </w:rPr>
            </w:pPr>
            <w:r>
              <w:rPr>
                <w:rFonts w:hint="eastAsia" w:ascii="楷体" w:hAnsi="楷体" w:eastAsia="楷体" w:cs="楷体"/>
                <w:i w:val="0"/>
                <w:iCs w:val="0"/>
                <w:color w:val="000000"/>
                <w:kern w:val="0"/>
                <w:sz w:val="32"/>
                <w:szCs w:val="32"/>
                <w:u w:val="none"/>
                <w:lang w:val="en-US" w:eastAsia="zh-CN" w:bidi="ar"/>
              </w:rPr>
              <w:t>榆林市“政采贷”业务办理银行联系表</w:t>
            </w:r>
          </w:p>
        </w:tc>
      </w:tr>
      <w:tr w14:paraId="2F4AF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20236D4F">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序号</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54CFF64C">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银行名称</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66EFEB99">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产品名称</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8133803">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贷款额度</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70E19887">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贷款期限</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94493D0">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贷款利率</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743ACC3">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办理时效</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965B64D">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联系人</w:t>
            </w:r>
          </w:p>
        </w:tc>
      </w:tr>
      <w:tr w14:paraId="3C86E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41B1F1D">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2721D481">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长安银行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0FFFF08">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A281FC6">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51FB8ADA">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EDFB802">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C723D4A">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1E0D4E94">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魏  众15109123951</w:t>
            </w:r>
          </w:p>
        </w:tc>
      </w:tr>
      <w:tr w14:paraId="22C9E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2B440A3E">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25D80AE8">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中信银行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002EB1C4">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4D41002">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09AF974">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59013F67">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4CA5AE1">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44E3EC7A">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高  明18992218795</w:t>
            </w:r>
          </w:p>
        </w:tc>
      </w:tr>
      <w:tr w14:paraId="5F0EF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AA872BD">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3</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1913A44C">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光大银行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F6270AC">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3B6C642">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C285F1E">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74934089">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E4ED592">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79B75130">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尹皓永18791214448</w:t>
            </w:r>
          </w:p>
        </w:tc>
      </w:tr>
      <w:tr w14:paraId="56816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4CF83DC3">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4</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7FC3845E">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中国银行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70B05E55">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8BFD855">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09780F1">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72AB1084">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3.45%</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799EFD7">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2C0BAD1E">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李  浩18691230007</w:t>
            </w:r>
          </w:p>
        </w:tc>
      </w:tr>
      <w:tr w14:paraId="67ED3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6FA1A27">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5</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06CDFF7F">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招商银行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45E1F65">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C60887F">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841CBE8">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3BCA856">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8DE2258">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9ECDC12">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马  烨15596100007</w:t>
            </w:r>
          </w:p>
        </w:tc>
      </w:tr>
      <w:tr w14:paraId="6D4F0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B43F40F">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6</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24509A4E">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浦发银行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B9EF4FE">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A705387">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069AA0E9">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D112C14">
            <w:pPr>
              <w:keepNext w:val="0"/>
              <w:keepLines w:val="0"/>
              <w:widowControl/>
              <w:suppressLineNumbers w:val="0"/>
              <w:jc w:val="center"/>
              <w:textAlignment w:val="center"/>
              <w:rPr>
                <w:rFonts w:hint="default" w:ascii="楷体" w:hAnsi="楷体" w:eastAsia="楷体" w:cs="楷体"/>
                <w:i w:val="0"/>
                <w:iCs w:val="0"/>
                <w:color w:val="000000"/>
                <w:sz w:val="21"/>
                <w:szCs w:val="21"/>
                <w:u w:val="none"/>
                <w:lang w:val="en-US"/>
              </w:rPr>
            </w:pPr>
            <w:r>
              <w:rPr>
                <w:rFonts w:hint="eastAsia" w:ascii="楷体" w:hAnsi="楷体" w:eastAsia="楷体" w:cs="楷体"/>
                <w:i w:val="0"/>
                <w:iCs w:val="0"/>
                <w:color w:val="000000"/>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F52E51B">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16884B18">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朱  君15629169158</w:t>
            </w:r>
          </w:p>
        </w:tc>
      </w:tr>
      <w:tr w14:paraId="1DF5B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755C0A5">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7</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B898741">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农商银行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7D5F730E">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D3297AF">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3366064">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1-2年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7F352996">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3.45%-5.8%</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29EEE6E">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73053339">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王  璐15529875056</w:t>
            </w:r>
          </w:p>
        </w:tc>
      </w:tr>
      <w:tr w14:paraId="6CBD7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A439A28">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8</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5FBBD8D2">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农业银行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843C427">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7429162">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5B0DEF6">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6584BFF7">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3.1%</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88E5752">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08F33D5">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王  真15009226862</w:t>
            </w:r>
          </w:p>
        </w:tc>
      </w:tr>
      <w:tr w14:paraId="06A33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0B32566B">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9</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0A5E73BE">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民生银行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BD596B8">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BD3409D">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2222A69B">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1971DF76">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E59ED06">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6882536">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郝双双15991225850</w:t>
            </w:r>
          </w:p>
        </w:tc>
      </w:tr>
      <w:tr w14:paraId="61D10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44FEE216">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10</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5AF777EC">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兴业银行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756BA41E">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7509F0F">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512A89A">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1年期</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717FD4A6">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3.4%</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9D41C0E">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37A78EDA">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薛万隆18709258523</w:t>
            </w:r>
          </w:p>
        </w:tc>
      </w:tr>
      <w:tr w14:paraId="662D3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45644E5">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043A8E70">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广发银行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76C9BAA">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政采通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F0E3162">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2780F07F">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20AABB4">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3245305">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6BD6FB28">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李思嘉15191820101</w:t>
            </w:r>
          </w:p>
        </w:tc>
      </w:tr>
      <w:tr w14:paraId="0AD39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3C496A4">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4D22C3C">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建设银行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B5238F8">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E政通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73D9C4A">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25FABC37">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35ABF10">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3.2%</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22E9F98">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2FE251C5">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张 宇 15929397838</w:t>
            </w:r>
          </w:p>
        </w:tc>
      </w:tr>
    </w:tbl>
    <w:p w14:paraId="7C2928FB">
      <w:pPr>
        <w:keepNext w:val="0"/>
        <w:keepLines w:val="0"/>
        <w:pageBreakBefore w:val="0"/>
        <w:widowControl w:val="0"/>
        <w:numPr>
          <w:ilvl w:val="0"/>
          <w:numId w:val="5"/>
        </w:numPr>
        <w:kinsoku/>
        <w:wordWrap w:val="0"/>
        <w:overflowPunct/>
        <w:topLinePunct w:val="0"/>
        <w:autoSpaceDE/>
        <w:autoSpaceDN/>
        <w:bidi w:val="0"/>
        <w:adjustRightInd/>
        <w:snapToGrid/>
        <w:spacing w:line="360" w:lineRule="auto"/>
        <w:ind w:left="-30" w:leftChars="0" w:firstLine="24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供应商的投标费用自理</w:t>
      </w:r>
      <w:bookmarkEnd w:id="55"/>
      <w:bookmarkEnd w:id="56"/>
      <w:bookmarkEnd w:id="57"/>
      <w:bookmarkEnd w:id="58"/>
    </w:p>
    <w:p w14:paraId="424F6760">
      <w:pPr>
        <w:keepNext w:val="0"/>
        <w:keepLines w:val="0"/>
        <w:pageBreakBefore w:val="0"/>
        <w:widowControl w:val="0"/>
        <w:numPr>
          <w:ilvl w:val="0"/>
          <w:numId w:val="5"/>
        </w:numPr>
        <w:kinsoku/>
        <w:wordWrap w:val="0"/>
        <w:overflowPunct/>
        <w:topLinePunct w:val="0"/>
        <w:autoSpaceDE/>
        <w:autoSpaceDN/>
        <w:bidi w:val="0"/>
        <w:adjustRightInd/>
        <w:snapToGrid/>
        <w:spacing w:line="360" w:lineRule="auto"/>
        <w:ind w:left="-30" w:leftChars="0" w:firstLine="24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中小企业划型标准</w:t>
      </w:r>
    </w:p>
    <w:p w14:paraId="09414A1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一、根据《中华人民共和国中小企业促进法》和《国务院关于进一步促进中小企业发展的若干意见》(国发〔2009〕36号)，制定本规定。</w:t>
      </w:r>
    </w:p>
    <w:p w14:paraId="6522360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二、中小企业划分为中型、小型、微型三种类型，具体标准根据企业从业人员、营业收入、资产总额等指标，结合行业特点制定。</w:t>
      </w:r>
      <w:r>
        <w:rPr>
          <w:rFonts w:hint="eastAsia" w:ascii="宋体" w:hAnsi="宋体" w:cs="宋体"/>
          <w:color w:val="auto"/>
          <w:sz w:val="24"/>
          <w:szCs w:val="24"/>
          <w:lang w:val="en-US" w:eastAsia="zh-CN"/>
        </w:rPr>
        <w:t>本项目属于：</w:t>
      </w:r>
      <w:r>
        <w:rPr>
          <w:rFonts w:hint="eastAsia" w:ascii="宋体" w:hAnsi="宋体" w:eastAsia="宋体" w:cs="宋体"/>
          <w:b/>
          <w:bCs/>
          <w:color w:val="auto"/>
          <w:sz w:val="24"/>
          <w:szCs w:val="24"/>
        </w:rPr>
        <w:t>其他未列明行业</w:t>
      </w:r>
    </w:p>
    <w:p w14:paraId="46A08EA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096F130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四、各行业划型标准为：</w:t>
      </w:r>
    </w:p>
    <w:p w14:paraId="73861775">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（一）农、林、牧、渔业。营业收入20000万元以下的为中小微型企业。其中，营业收入500万元及以上的为中型企业，营业收入50万元及以上的为小型企业，营业收入50万元以下的为微型企业。</w:t>
      </w:r>
    </w:p>
    <w:p w14:paraId="1732145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854255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92003B4">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28A92B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18DC64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1BA2DE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5DF3C1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629D552">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C20332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9E02A2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2A3A9F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E8D968C">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044FD2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64F5F2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586A661">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（十六）其他未列明行业。从业人员300人以下的为中小微型企业。其中，从业人员100人及以上的为中型企业；从业人员10人及以上的为小型企业；从业人员10人以下的为微型企业。</w:t>
      </w:r>
    </w:p>
    <w:p w14:paraId="4298EF7C">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五、企业类型的划分以统计部门的统计数据为依据。</w:t>
      </w:r>
    </w:p>
    <w:p w14:paraId="38F6B37E">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六、本规定适用于在中华人民共和国境内依法设立的各类所有制和各种组织形式的企业。个体工商户和本规定以外的行业，参照本规定进行划型。</w:t>
      </w:r>
    </w:p>
    <w:p w14:paraId="2742CAC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七、本规定的中型企业标准上限即为大型企业标准的下限，国家统计部门据此制定大中小微型企业的统计分类。国务院有关部门据此进行相关数据分析，不得制定与本规定不一致的企业划型标准。</w:t>
      </w:r>
    </w:p>
    <w:p w14:paraId="574A5BE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八、本规定由工业和信息化部、国家统计局会同有关部门根据《国民经济行业分类》修订情况和企业发展变化情况适时修订。</w:t>
      </w:r>
    </w:p>
    <w:p w14:paraId="4A1B900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九、本规定由工业和信息化部、国家统计局会同有关部门负责解释。</w:t>
      </w:r>
    </w:p>
    <w:p w14:paraId="61FE50A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十、本规定自发布之日起执行，原国家经贸委、原国家计委、财政部和国家统计局2003年颁布的《中小企业标准暂行规定》同时废止。</w:t>
      </w:r>
    </w:p>
    <w:p w14:paraId="08B72293">
      <w:pPr>
        <w:pStyle w:val="12"/>
        <w:keepNext w:val="0"/>
        <w:keepLines w:val="0"/>
        <w:pageBreakBefore w:val="0"/>
        <w:widowControl w:val="0"/>
        <w:kinsoku/>
        <w:wordWrap w:val="0"/>
        <w:overflowPunct/>
        <w:topLinePunct w:val="0"/>
        <w:autoSpaceDE/>
        <w:autoSpaceDN/>
        <w:bidi w:val="0"/>
        <w:adjustRightInd/>
        <w:snapToGrid/>
        <w:spacing w:line="360" w:lineRule="auto"/>
        <w:ind w:firstLine="240" w:firstLineChars="1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（十一）政采文件</w:t>
      </w:r>
    </w:p>
    <w:p w14:paraId="38EE9F41">
      <w:pPr>
        <w:pStyle w:val="12"/>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rPr>
        <w:t xml:space="preserve">政府采购促进中小企业发展管理办法 </w:t>
      </w:r>
    </w:p>
    <w:p w14:paraId="52F1318B">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第一条 为了发挥政府采购的政策功能，促进中小企业 健康发展，根据《中华人民共和国政府采购法》、《中华人民 共和国中小企业促进法》等有关法律法规，制定本办法。 </w:t>
      </w:r>
    </w:p>
    <w:p w14:paraId="5E30A786">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 中视同中小企业。 </w:t>
      </w:r>
    </w:p>
    <w:p w14:paraId="45B4F442">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第三条 采购人在政府采购活动中应当通过加强采购 需求管理，落实预留采购份额、价格评审优惠、优先采购等 措施，提高中小企业在政府采购中的份额，支持中小企业发展。 </w:t>
      </w:r>
    </w:p>
    <w:p w14:paraId="234647CF">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第四条 在政府采购活动中，供应商提供的货物、工程或者服务符合下列情形的，享受本办法规定的中小企业扶持政策： </w:t>
      </w:r>
    </w:p>
    <w:p w14:paraId="7BDEC478">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（一）在货物采购项目中，货物由中小企业制造，即货物由中小企业生产且使用该中小企业商号或者注册商标； </w:t>
      </w:r>
    </w:p>
    <w:p w14:paraId="656EFC50">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（二）在工程采购项目中，工程由中小企业承建，即工程施工单位为中小企业； </w:t>
      </w:r>
    </w:p>
    <w:p w14:paraId="4DEA1DFE">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（三）在服务采购项目中，服务由中小企业承接，即提供服务的人员为中小企业依照《中华人民共和国劳动合同法》订立劳动合同的从业人员。</w:t>
      </w:r>
    </w:p>
    <w:p w14:paraId="6D92877E">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p>
    <w:p w14:paraId="1FC589AC">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第五条 采购人在政府采购活动中应当合理确定采购项目的采购需求，不得以企业注册资本、资产总额、营业收入、从业人员、利润、纳税额等规模条件和财务指标作为供应商的资格要求或者评审因素，不得在企业股权结构、经营 年限等方面对中小企业实行差别待遇或者歧视待遇。 </w:t>
      </w:r>
    </w:p>
    <w:p w14:paraId="271C1AB5">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第六条 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符合下列情形之一的，可不专门面向中小企业预留采购份额：</w:t>
      </w:r>
    </w:p>
    <w:p w14:paraId="1032C975">
      <w:pPr>
        <w:pStyle w:val="12"/>
        <w:spacing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（一）法律法规和国家有关政策明确规定优先或者应当面向事业单位、社会组织等非企业主体采购的；</w:t>
      </w:r>
      <w:r>
        <w:rPr>
          <w:rFonts w:hint="eastAsia" w:ascii="宋体" w:hAnsi="宋体" w:eastAsia="宋体" w:cs="宋体"/>
          <w:color w:val="000000"/>
          <w:sz w:val="24"/>
          <w:szCs w:val="24"/>
          <w:lang w:val="en-US" w:eastAsia="zh-CN"/>
        </w:rPr>
        <w:t>.</w:t>
      </w:r>
    </w:p>
    <w:p w14:paraId="5434A171">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（二）因确需使用不可替代的专利、专有技术，基础设施限制，或者提供特定公共服务等原因，只能从中小企业之 外的供应商处采购的； </w:t>
      </w:r>
    </w:p>
    <w:p w14:paraId="3ACCB443">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（三）按照本办法规定预留采购份额无法确保充分供应、充分竞争，或者存在可能影响政府采购目标实现的情形； </w:t>
      </w:r>
    </w:p>
    <w:p w14:paraId="2F9F803B">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（四）框架协议采购项目； </w:t>
      </w:r>
    </w:p>
    <w:p w14:paraId="195ABBCD">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（五）省级以上人民政府财政部门规定的其他情形。除上述情形外，其他均为适宜由中小企业提供的情形。</w:t>
      </w:r>
    </w:p>
    <w:p w14:paraId="23406095">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第七条 采购限额标准以上，200万元以下的货物和服务采购项目、400 万元以下的工程采购项目，适宜由中小企业提供的，采购人应当专门面向中小企业采购。 </w:t>
      </w:r>
    </w:p>
    <w:p w14:paraId="2B9376D1">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第八条 超过200万元的货物和服务采购项目、超过400万元的工程采购项目中适宜由中小企业提供的，预留该部分采购项目预算总额的30%以上专门面向中小企业采购，其中预留给小微企业的比例不低于60%。预留份额通过下列措施进行： </w:t>
      </w:r>
    </w:p>
    <w:p w14:paraId="507329FD">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（一）将采购项目整体或者设置采购包专门面向中小企业采购； </w:t>
      </w:r>
    </w:p>
    <w:p w14:paraId="671FDD14">
      <w:pPr>
        <w:pStyle w:val="12"/>
        <w:keepNext w:val="0"/>
        <w:keepLines w:val="0"/>
        <w:pageBreakBefore w:val="0"/>
        <w:widowControl w:val="0"/>
        <w:kinsoku/>
        <w:wordWrap/>
        <w:overflowPunct/>
        <w:topLinePunct w:val="0"/>
        <w:autoSpaceDE/>
        <w:autoSpaceDN/>
        <w:bidi w:val="0"/>
        <w:adjustRightInd/>
        <w:snapToGrid/>
        <w:spacing w:line="360" w:lineRule="auto"/>
        <w:ind w:left="420" w:leftChars="20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（二）要求供应商以联合体形式参加采购活动，且联合体中中小企业承担的部分达到一定比例； </w:t>
      </w:r>
    </w:p>
    <w:p w14:paraId="10BD01C5">
      <w:pPr>
        <w:pStyle w:val="12"/>
        <w:keepNext w:val="0"/>
        <w:keepLines w:val="0"/>
        <w:pageBreakBefore w:val="0"/>
        <w:widowControl w:val="0"/>
        <w:kinsoku/>
        <w:wordWrap/>
        <w:overflowPunct/>
        <w:topLinePunct w:val="0"/>
        <w:autoSpaceDE/>
        <w:autoSpaceDN/>
        <w:bidi w:val="0"/>
        <w:adjustRightInd/>
        <w:snapToGrid/>
        <w:spacing w:line="360" w:lineRule="auto"/>
        <w:ind w:left="420" w:leftChars="20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 xml:space="preserve">（三）要求获得采购合同的供应商将采购项目中的一定比例分包给一家或者多家中小企业。 组成联合体或者接受分包合同的中小企业与联合体内其他企业、分包企业之间不得存在直接控股、管理关系。 </w:t>
      </w:r>
    </w:p>
    <w:p w14:paraId="2E7CC57A">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第九条 对于经主管预算单位统筹后未预留份额专门面向中小企业采购的采购项目，以及预留份额项目中的非预留部分采购包，采购人、采购代理机构应当对符合本办法规定的小微企业报价给予 6%—10%（工程项目为 3%—5%）的扣除，用扣除后的价格参加评审。适用招标投标法的政府采购工程建设项目，采用综合评估法但未采用低价优先法计算价格分的，评标时应当在采用原报价进行评分的基础上增加其价格得分的 3%—5%作为其价格分。 接受大中型企业与小微企业组成联合体或者允许大中型企业向一家或者多家小微企业分包的采购项目，对于联合协议或者分包意向协议约定小微企业的合同份额占到合同总金额 30%以上的，采购人、采购代理机构应当对联合体或者大中型企业的报价给予 2%-3%（工程项目为 1%—2%）的扣除，用扣除后的价格参加评审。适用招标投标法的政府采购 工程建设项目，采用综合评估法但未采用低价优先法计算价格分的，评标时应当在采用原报价进行评分的基础上增加其价格得分的 1%—2%作为其价格分。组成联合体或者接受分包 的小微企业与联合体内其他企业、分包企业之间存在直接控股、管理关系的，不享受价格扣除优惠政策。 价格扣除比例或者价格分加分比例对小型企业和微型 企业同等对待，不作区分。具体采购项目的价格扣除比例或 者价格分加分比例，由采购人根据采购标的相关行业平均利 润率、市场竞争状况等，在本办法规定的幅度内确定。 </w:t>
      </w:r>
    </w:p>
    <w:p w14:paraId="514FACEC">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第十条 采购人应当严格按照本办法规定和主管预算单位制定的预留采购份额具体方案开展采购活动。预留份额的采购项目或者采购包，通过发布公告方式邀请供应商后，符合资格条件的中小企业数量不足3家的，应当中止采购活动，视同未预留份额的采购项目或者采购包，按照本办法第九条有关规定重新组织采购活动。 </w:t>
      </w:r>
    </w:p>
    <w:p w14:paraId="1F64148D">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第十一条 中小企业参加政府采购活动，应当出具本办 法规定的《中小企业声明函》（附 1），否则不得享受相关中 小企业扶持政策。任何单位和个人不得要求供应商提供《中小企业声明函》之外的中小企业身份证明文件。 </w:t>
      </w:r>
    </w:p>
    <w:p w14:paraId="6C4AC26C">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第十二条 采购项目涉及中小企业采购的，采购文件应当明确以下内容： </w:t>
      </w:r>
    </w:p>
    <w:p w14:paraId="2D8FC36C">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（一）预留份额的采购项目或者采购包，明确该项目或相关采购包专门面向中小企业采购，以及相关标的及预算金额； </w:t>
      </w:r>
    </w:p>
    <w:p w14:paraId="4BF74C2F">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（二）要求以联合体形式参加或者合同分包的，明确联合协议或者分包意向协议中中小企业合同金额应当达到的比例，并作为供应商资格条件； </w:t>
      </w:r>
    </w:p>
    <w:p w14:paraId="46452BCD">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（三）非预留份额的采购项目或者采购包，明确有关价格扣除比例或者价格分加分比例； </w:t>
      </w:r>
    </w:p>
    <w:p w14:paraId="5CFF9007">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（四）规定依据本办法规定享受扶持政策获得政府采购合同的，小微企业不得将合同分包给大中型企业，中型企业不得将合同分包给大型企业； </w:t>
      </w:r>
    </w:p>
    <w:p w14:paraId="74FC71D9">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（五）采购人认为具备相关条件的，明确对中小企业在资金支付期限、预付款比例等方面的优惠措施； </w:t>
      </w:r>
    </w:p>
    <w:p w14:paraId="7ADEC7B6">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（六）明确采购标的对应的中小企业划分标准所属行业； </w:t>
      </w:r>
    </w:p>
    <w:p w14:paraId="1F2B476B">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（七）法律法规和省级以上人民政府财政部门规定的其他事项。 </w:t>
      </w:r>
    </w:p>
    <w:p w14:paraId="6ED07A69">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第十三条 中标、成交供应商享受本办法规定的中小企业扶持政策的，采购人、采购代理机构应当随中标、成交结果公开中标、成交供应商的《中小企业声明函》。 适用招标投标法的政府采购工程建设项目，应当在公示中标候选人时公开中标候选人的《中小企业声明函》。 </w:t>
      </w:r>
    </w:p>
    <w:p w14:paraId="2C120256">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第十四条 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 </w:t>
      </w:r>
    </w:p>
    <w:p w14:paraId="2F4A29FC">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第十五条 鼓励各地区、各部门在采购活动中允许中小 企业引入信用担保手段，为中小企业在投标（响应）保证、 履约保证等方面提供专业化服务。鼓励中小企业依法合规通 过政府采购合同融资。</w:t>
      </w:r>
    </w:p>
    <w:p w14:paraId="4BC00827">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第十六条 政府采购监督检查、投诉处理及政府采购行 政处罚中对中小企业的认定，由货物制造商或者工程、服务 供应商注册登记所在地的县级以上人民政府中小企业主管 部门负责。 中小企业主管部门应当在收到财政部门或者有关招标 投标行政监督部门关于协助开展中小企业认定函后10个工作日内做出书面答复。 </w:t>
      </w:r>
    </w:p>
    <w:p w14:paraId="1E61FAA4">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第十七条 各地区、各部门应当对涉及中小企业采购的 预算项目实施全过程绩效管理，合理设置绩效目标和指标，落实扶持中小企业有关政策要求，定期开展绩效监控和评价， 强化绩效评价结果应用。 </w:t>
      </w:r>
    </w:p>
    <w:p w14:paraId="221B6BDC">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第十八条 主管预算单位应当自 2022 年起向同级财政部门报告本部门上一年度面向中小企业预留份额和采购的具体情况，并在中国政府采购网公开预留项目执行情况(附2)。未达到本办法规定的预留份额比例的，应当作出说明。 </w:t>
      </w:r>
    </w:p>
    <w:p w14:paraId="01375234">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第十九条 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 </w:t>
      </w:r>
    </w:p>
    <w:p w14:paraId="5E1EC867">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第二十条 供应商按照本办法规定提供声明函内容不实的，属于提供虚假材料谋取中标、成交，依照《中华人民共和国政府采购法》等国家有关规定追究相应责任。 适用招标投标法的政府采购工程建设项目，投标人按照本办法规定提供声明函内容不实的，属于弄虚作假骗取中标， 依照《中华人民共和国招标投标法》等国家有关规定追究相应责任。 </w:t>
      </w:r>
    </w:p>
    <w:p w14:paraId="1592B52E">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第二十一条 财政部门、中小企业主管部门及其工作人员在履行职责中违反本办法规定及存在其他滥用职权、玩忽 职守、徇私舞弊等违法违纪行为的，依照《中华人民共和国政府采购法》、《中华人民共和国公务员法》、《中华人民共和国监察法》、《中华人民共和国政府采购法实施条例》等国家有关规定追究相应责任；涉嫌犯罪的，依法移送有关国家机关处理。 </w:t>
      </w:r>
    </w:p>
    <w:p w14:paraId="6FA8DCD6">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第二十二条 对外援助项目、国家相关资格或者资质管理制度另有规定的项目，不适用本办法。 </w:t>
      </w:r>
    </w:p>
    <w:p w14:paraId="52B0271B">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第二十三条 关于视同中小企业的其他主体的政府采 购扶持政策，由财政部会同有关部门另行规定。 </w:t>
      </w:r>
    </w:p>
    <w:p w14:paraId="7B0A0A14">
      <w:pPr>
        <w:pStyle w:val="12"/>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第二十四条 省级财政部门可以会同中小企业主管部 门根据本办法的规定制定具体实施办法。 </w:t>
      </w:r>
    </w:p>
    <w:p w14:paraId="7E456037">
      <w:pPr>
        <w:pStyle w:val="12"/>
        <w:spacing w:line="360" w:lineRule="auto"/>
        <w:ind w:firstLine="480" w:firstLineChars="200"/>
      </w:pPr>
      <w:r>
        <w:rPr>
          <w:rFonts w:hint="eastAsia" w:ascii="宋体" w:hAnsi="宋体" w:eastAsia="宋体" w:cs="宋体"/>
          <w:color w:val="000000"/>
          <w:sz w:val="24"/>
          <w:szCs w:val="24"/>
        </w:rPr>
        <w:t>第二十五条 本办法自 2021 年 1 月 1 日起施行。《财政部工业和信息化部关于印发〈政府采购促进中小企业发展暂行办法〉的通知》（财库﹝2011﹞181 号）同时废止。</w:t>
      </w:r>
    </w:p>
    <w:p w14:paraId="6596930C">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pacing w:before="0" w:beforeAutospacing="0" w:after="0" w:afterAutospacing="0" w:line="420" w:lineRule="atLeast"/>
        <w:ind w:right="0"/>
        <w:jc w:val="both"/>
        <w:rPr>
          <w:rFonts w:hint="eastAsia" w:ascii="宋体" w:hAnsi="宋体" w:eastAsia="宋体" w:cs="宋体"/>
          <w:b/>
          <w:bCs/>
          <w:i w:val="0"/>
          <w:iCs w:val="0"/>
          <w:caps w:val="0"/>
          <w:color w:val="333333"/>
          <w:spacing w:val="0"/>
          <w:sz w:val="24"/>
          <w:szCs w:val="24"/>
          <w:u w:val="none"/>
        </w:rPr>
      </w:pPr>
      <w:r>
        <w:rPr>
          <w:rFonts w:hint="eastAsia" w:ascii="宋体" w:hAnsi="宋体" w:eastAsia="宋体" w:cs="宋体"/>
          <w:b/>
          <w:bCs/>
          <w:i w:val="0"/>
          <w:iCs w:val="0"/>
          <w:caps w:val="0"/>
          <w:color w:val="333333"/>
          <w:spacing w:val="0"/>
          <w:sz w:val="24"/>
          <w:szCs w:val="24"/>
          <w:u w:val="none"/>
          <w:shd w:val="clear" w:color="auto" w:fill="FFFFFF"/>
          <w:lang w:val="en-US" w:eastAsia="zh-CN"/>
        </w:rPr>
        <w:t>2.</w:t>
      </w:r>
      <w:r>
        <w:rPr>
          <w:rFonts w:hint="eastAsia" w:ascii="宋体" w:hAnsi="宋体" w:eastAsia="宋体" w:cs="宋体"/>
          <w:b/>
          <w:bCs/>
          <w:i w:val="0"/>
          <w:iCs w:val="0"/>
          <w:caps w:val="0"/>
          <w:color w:val="333333"/>
          <w:spacing w:val="0"/>
          <w:sz w:val="24"/>
          <w:szCs w:val="24"/>
          <w:u w:val="none"/>
          <w:shd w:val="clear" w:color="auto" w:fill="FFFFFF"/>
        </w:rPr>
        <w:t>榆林市财政局关于进一步加大政府采购支持中小企业力度的通知</w:t>
      </w:r>
    </w:p>
    <w:p w14:paraId="11E3E922">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pacing w:before="0" w:beforeAutospacing="0" w:after="0" w:afterAutospacing="0" w:line="420" w:lineRule="atLeast"/>
        <w:ind w:left="0" w:right="0" w:firstLine="420"/>
        <w:jc w:val="center"/>
        <w:rPr>
          <w:rFonts w:hint="eastAsia" w:ascii="宋体" w:hAnsi="宋体" w:eastAsia="宋体" w:cs="宋体"/>
          <w:i w:val="0"/>
          <w:iCs w:val="0"/>
          <w:caps w:val="0"/>
          <w:color w:val="333333"/>
          <w:spacing w:val="0"/>
          <w:sz w:val="24"/>
          <w:szCs w:val="24"/>
          <w:u w:val="none"/>
        </w:rPr>
      </w:pPr>
      <w:r>
        <w:rPr>
          <w:rFonts w:hint="eastAsia" w:ascii="宋体" w:hAnsi="宋体" w:eastAsia="宋体" w:cs="宋体"/>
          <w:i w:val="0"/>
          <w:iCs w:val="0"/>
          <w:caps w:val="0"/>
          <w:color w:val="333333"/>
          <w:spacing w:val="0"/>
          <w:sz w:val="24"/>
          <w:szCs w:val="24"/>
          <w:u w:val="none"/>
          <w:shd w:val="clear" w:color="auto" w:fill="FFFFFF"/>
        </w:rPr>
        <w:t> 榆政财采发〔2022〕10号</w:t>
      </w:r>
    </w:p>
    <w:p w14:paraId="44CA02D6">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pacing w:before="0" w:beforeAutospacing="0" w:after="0" w:afterAutospacing="0" w:line="420" w:lineRule="atLeast"/>
        <w:ind w:right="0" w:firstLine="480" w:firstLineChars="200"/>
        <w:jc w:val="left"/>
        <w:rPr>
          <w:rFonts w:hint="eastAsia" w:ascii="宋体" w:hAnsi="宋体" w:eastAsia="宋体" w:cs="宋体"/>
          <w:i w:val="0"/>
          <w:iCs w:val="0"/>
          <w:caps w:val="0"/>
          <w:color w:val="333333"/>
          <w:spacing w:val="0"/>
          <w:sz w:val="24"/>
          <w:szCs w:val="24"/>
          <w:u w:val="none"/>
        </w:rPr>
      </w:pPr>
      <w:r>
        <w:rPr>
          <w:rFonts w:hint="eastAsia" w:ascii="宋体" w:hAnsi="宋体" w:eastAsia="宋体" w:cs="宋体"/>
          <w:i w:val="0"/>
          <w:iCs w:val="0"/>
          <w:caps w:val="0"/>
          <w:color w:val="333333"/>
          <w:spacing w:val="0"/>
          <w:sz w:val="24"/>
          <w:szCs w:val="24"/>
          <w:u w:val="none"/>
          <w:shd w:val="clear" w:color="auto" w:fill="FFFFFF"/>
        </w:rPr>
        <w:t>市级各部门各单位，各县市区、榆林高新区、榆神工业区财政局，各政府采购代理机构，各评审专家:</w:t>
      </w:r>
    </w:p>
    <w:p w14:paraId="54FCB4EA">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pacing w:before="0" w:beforeAutospacing="0" w:after="0" w:afterAutospacing="0" w:line="420" w:lineRule="atLeast"/>
        <w:ind w:right="0" w:firstLine="480" w:firstLineChars="200"/>
        <w:jc w:val="left"/>
        <w:rPr>
          <w:rFonts w:hint="eastAsia" w:ascii="宋体" w:hAnsi="宋体" w:eastAsia="宋体" w:cs="宋体"/>
          <w:i w:val="0"/>
          <w:iCs w:val="0"/>
          <w:caps w:val="0"/>
          <w:color w:val="333333"/>
          <w:spacing w:val="0"/>
          <w:sz w:val="24"/>
          <w:szCs w:val="24"/>
          <w:u w:val="none"/>
        </w:rPr>
      </w:pPr>
      <w:r>
        <w:rPr>
          <w:rFonts w:hint="eastAsia" w:ascii="宋体" w:hAnsi="宋体" w:eastAsia="宋体" w:cs="宋体"/>
          <w:i w:val="0"/>
          <w:iCs w:val="0"/>
          <w:caps w:val="0"/>
          <w:color w:val="333333"/>
          <w:spacing w:val="0"/>
          <w:sz w:val="24"/>
          <w:szCs w:val="24"/>
          <w:u w:val="none"/>
          <w:shd w:val="clear" w:color="auto" w:fill="FFFFFF"/>
        </w:rPr>
        <w:t>为深入贯彻党中央、国务院和省委、省政府决策部署，全面落实中省关于稳住经济大盘的有关要求，加强政府采购领域对中小企业支持力度，降低中小企业参与门槛，根据《陕西省财政厅关于进一步加大政府采购支持中小企业力度的通知》（陕财办采〔2022〕5号）等相关规定要求，提出以下工作措施，请遵照执行：</w:t>
      </w:r>
    </w:p>
    <w:p w14:paraId="4F28B6E1">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pacing w:before="0" w:beforeAutospacing="0" w:after="0" w:afterAutospacing="0" w:line="420" w:lineRule="atLeast"/>
        <w:ind w:right="0" w:firstLine="480" w:firstLineChars="200"/>
        <w:jc w:val="left"/>
        <w:rPr>
          <w:rFonts w:hint="eastAsia" w:ascii="宋体" w:hAnsi="宋体" w:eastAsia="宋体" w:cs="宋体"/>
          <w:i w:val="0"/>
          <w:iCs w:val="0"/>
          <w:caps w:val="0"/>
          <w:color w:val="333333"/>
          <w:spacing w:val="0"/>
          <w:sz w:val="24"/>
          <w:szCs w:val="24"/>
          <w:u w:val="none"/>
        </w:rPr>
      </w:pPr>
      <w:r>
        <w:rPr>
          <w:rFonts w:hint="eastAsia" w:ascii="宋体" w:hAnsi="宋体" w:eastAsia="宋体" w:cs="宋体"/>
          <w:i w:val="0"/>
          <w:iCs w:val="0"/>
          <w:caps w:val="0"/>
          <w:color w:val="333333"/>
          <w:spacing w:val="0"/>
          <w:sz w:val="24"/>
          <w:szCs w:val="24"/>
          <w:u w:val="none"/>
          <w:shd w:val="clear" w:color="auto" w:fill="FFFFFF"/>
        </w:rPr>
        <w:t>一、提高政府采购面向中小企业预留份额。采购限额标准以上，200万元以下的货物和服务采购项目、400万元以下的工程采购项目，适宜由中小企业提供的，采购人应当专门面向中小企业采购。超过200万元的货物和服务采购项目、超过400万元的工程采购项目中适宜由中小企业提供的，面向中小企业的预留份额今年阶段性提高至40%以上，其中预留给小微企业比例不低于70%。采购单位应当通过加强采购需求管理，切实把政府采购面向中小企业预留份额的政策落到实处。</w:t>
      </w:r>
    </w:p>
    <w:p w14:paraId="4CA178E8">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pacing w:before="0" w:beforeAutospacing="0" w:after="0" w:afterAutospacing="0" w:line="420" w:lineRule="atLeast"/>
        <w:ind w:left="0" w:right="0" w:firstLine="420"/>
        <w:jc w:val="left"/>
        <w:rPr>
          <w:rFonts w:hint="eastAsia" w:ascii="宋体" w:hAnsi="宋体" w:eastAsia="宋体" w:cs="宋体"/>
          <w:i w:val="0"/>
          <w:iCs w:val="0"/>
          <w:caps w:val="0"/>
          <w:color w:val="333333"/>
          <w:spacing w:val="0"/>
          <w:sz w:val="24"/>
          <w:szCs w:val="24"/>
          <w:u w:val="none"/>
        </w:rPr>
      </w:pPr>
      <w:r>
        <w:rPr>
          <w:rFonts w:hint="eastAsia" w:ascii="宋体" w:hAnsi="宋体" w:eastAsia="宋体" w:cs="宋体"/>
          <w:i w:val="0"/>
          <w:iCs w:val="0"/>
          <w:caps w:val="0"/>
          <w:color w:val="333333"/>
          <w:spacing w:val="0"/>
          <w:sz w:val="24"/>
          <w:szCs w:val="24"/>
          <w:u w:val="none"/>
          <w:shd w:val="clear" w:color="auto" w:fill="FFFFFF"/>
        </w:rPr>
        <w:t>二、调整对小微企业的价格评审优惠幅度。明确对非专门面向中小企业采购的货物服务项目，小微企业的价格扣除比例提高至20%。对于货物服务采购项目联合协议或者分包意向协议约定小微企业的合同份额占到合同总金额30%以上的，价格扣除优惠提高至6%。自本通知执行之日起发布采购公告或者发出采购邀请的货物服务采购项目，按照本通知规定的评审优惠幅度执行。</w:t>
      </w:r>
    </w:p>
    <w:p w14:paraId="68B009E1">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pacing w:before="0" w:beforeAutospacing="0" w:after="0" w:afterAutospacing="0" w:line="420" w:lineRule="atLeast"/>
        <w:ind w:left="0" w:right="0" w:firstLine="420"/>
        <w:jc w:val="left"/>
        <w:rPr>
          <w:rFonts w:hint="eastAsia" w:ascii="宋体" w:hAnsi="宋体" w:eastAsia="宋体" w:cs="宋体"/>
          <w:i w:val="0"/>
          <w:iCs w:val="0"/>
          <w:caps w:val="0"/>
          <w:color w:val="333333"/>
          <w:spacing w:val="0"/>
          <w:sz w:val="24"/>
          <w:szCs w:val="24"/>
          <w:u w:val="none"/>
        </w:rPr>
      </w:pPr>
      <w:r>
        <w:rPr>
          <w:rFonts w:hint="eastAsia" w:ascii="宋体" w:hAnsi="宋体" w:eastAsia="宋体" w:cs="宋体"/>
          <w:i w:val="0"/>
          <w:iCs w:val="0"/>
          <w:caps w:val="0"/>
          <w:color w:val="333333"/>
          <w:spacing w:val="0"/>
          <w:sz w:val="24"/>
          <w:szCs w:val="24"/>
          <w:u w:val="none"/>
          <w:shd w:val="clear" w:color="auto" w:fill="FFFFFF"/>
        </w:rPr>
        <w:t>三、准确理解政策支持范围。在货物采购项目中，货物由中小企业制造（货物由中小企业生产且使用该中小企业商号或者注册商标）的，可享受中小企业扶持政策，对投标企业性质不作要求。如果一个采购项目或采购包含有多个采购标的的，则每个采购标的均应由中小企业制造。在政府采购项目中，工程由中小企业承建的、服务由中小企业承接的，可享受中小企业扶持政策。供应商应当按照采购文件中明确的采购标的对应行业出具中小企业声明函。专门面向中小企业采购的项目或者采购包，不再执行价格评审优惠的扶持政策。</w:t>
      </w:r>
    </w:p>
    <w:p w14:paraId="315BC115">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pacing w:before="0" w:beforeAutospacing="0" w:after="0" w:afterAutospacing="0" w:line="420" w:lineRule="atLeast"/>
        <w:ind w:left="0" w:right="0" w:firstLine="420"/>
        <w:jc w:val="left"/>
        <w:rPr>
          <w:rFonts w:hint="eastAsia" w:ascii="宋体" w:hAnsi="宋体" w:eastAsia="宋体" w:cs="宋体"/>
          <w:i w:val="0"/>
          <w:iCs w:val="0"/>
          <w:caps w:val="0"/>
          <w:color w:val="333333"/>
          <w:spacing w:val="0"/>
          <w:sz w:val="24"/>
          <w:szCs w:val="24"/>
          <w:u w:val="none"/>
        </w:rPr>
      </w:pPr>
      <w:r>
        <w:rPr>
          <w:rFonts w:hint="eastAsia" w:ascii="宋体" w:hAnsi="宋体" w:eastAsia="宋体" w:cs="宋体"/>
          <w:i w:val="0"/>
          <w:iCs w:val="0"/>
          <w:caps w:val="0"/>
          <w:color w:val="333333"/>
          <w:spacing w:val="0"/>
          <w:sz w:val="24"/>
          <w:szCs w:val="24"/>
          <w:u w:val="none"/>
          <w:shd w:val="clear" w:color="auto" w:fill="FFFFFF"/>
        </w:rPr>
        <w:t>四、完善采购文件编制。采购人和采购代理机构发布的采购公告和采购文件，应明确该项目或相关采购包是否专门面向中小企业采购，明确价格评审优惠政策和价格扣除比例，推动政策的有效执行。采购公告和采购文件应告知参加政府采购活动的中小企业，应当出具《政府采购促进中小企业发展管理办法》规定的《中小企业声明函》，否则不得享受相关中小企业扶持政策。任何单位和个人不得要求供应商提供《中小企业声明函》之外的中小企业身份证明文件。</w:t>
      </w:r>
    </w:p>
    <w:p w14:paraId="35771F86">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pacing w:before="0" w:beforeAutospacing="0" w:after="0" w:afterAutospacing="0" w:line="420" w:lineRule="atLeast"/>
        <w:ind w:left="0" w:right="0" w:firstLine="420"/>
        <w:jc w:val="left"/>
        <w:rPr>
          <w:rFonts w:hint="eastAsia" w:ascii="宋体" w:hAnsi="宋体" w:eastAsia="宋体" w:cs="宋体"/>
          <w:i w:val="0"/>
          <w:iCs w:val="0"/>
          <w:caps w:val="0"/>
          <w:color w:val="333333"/>
          <w:spacing w:val="0"/>
          <w:sz w:val="24"/>
          <w:szCs w:val="24"/>
          <w:u w:val="none"/>
        </w:rPr>
      </w:pPr>
      <w:r>
        <w:rPr>
          <w:rFonts w:hint="eastAsia" w:ascii="宋体" w:hAnsi="宋体" w:eastAsia="宋体" w:cs="宋体"/>
          <w:i w:val="0"/>
          <w:iCs w:val="0"/>
          <w:caps w:val="0"/>
          <w:color w:val="333333"/>
          <w:spacing w:val="0"/>
          <w:sz w:val="24"/>
          <w:szCs w:val="24"/>
          <w:u w:val="none"/>
          <w:shd w:val="clear" w:color="auto" w:fill="FFFFFF"/>
        </w:rPr>
        <w:t>五、支持中小企业政府采购信用融资工作。采购人、采购代理机构要加强政策宣传，在采购文件中明确注明融资平台、渠道等内容，主动向参与政府采购活动的供应商宣传政府采购信用贷款政策。采购人、采购代理机构对有贷款意向的供应商，要积极配合，提供相关信息、资料。</w:t>
      </w:r>
    </w:p>
    <w:p w14:paraId="32652C95">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pacing w:before="0" w:beforeAutospacing="0" w:after="0" w:afterAutospacing="0" w:line="420" w:lineRule="atLeast"/>
        <w:ind w:left="0" w:right="0" w:firstLine="420"/>
        <w:jc w:val="left"/>
        <w:rPr>
          <w:rFonts w:hint="eastAsia" w:ascii="宋体" w:hAnsi="宋体" w:eastAsia="宋体" w:cs="宋体"/>
          <w:i w:val="0"/>
          <w:iCs w:val="0"/>
          <w:caps w:val="0"/>
          <w:color w:val="333333"/>
          <w:spacing w:val="0"/>
          <w:sz w:val="24"/>
          <w:szCs w:val="24"/>
          <w:u w:val="none"/>
        </w:rPr>
      </w:pPr>
      <w:r>
        <w:rPr>
          <w:rFonts w:hint="eastAsia" w:ascii="宋体" w:hAnsi="宋体" w:eastAsia="宋体" w:cs="宋体"/>
          <w:i w:val="0"/>
          <w:iCs w:val="0"/>
          <w:caps w:val="0"/>
          <w:color w:val="333333"/>
          <w:spacing w:val="0"/>
          <w:sz w:val="24"/>
          <w:szCs w:val="24"/>
          <w:u w:val="none"/>
          <w:shd w:val="clear" w:color="auto" w:fill="FFFFFF"/>
        </w:rPr>
        <w:t>六、加快政府采购资金支付进度。政府采购合同应当约定资金支付的方式、时间和条件，明确逾期支付资金的违约责任。对于满足合同约定支付条件的，采购人应当自货物、工程、服务交付之日起30日内支付款项;合同另有约定的，付款期限最长不得超过60日。采购人与中小企业约定以货物、工程、服务交付后经检验或者验收合格作为支付中小企业款项条件的，付款期限应当自检验或者验收合格之日起算。</w:t>
      </w:r>
    </w:p>
    <w:p w14:paraId="7EF8E1B5">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pacing w:before="0" w:beforeAutospacing="0" w:after="0" w:afterAutospacing="0" w:line="420" w:lineRule="atLeast"/>
        <w:ind w:left="0" w:right="0" w:firstLine="420"/>
        <w:jc w:val="left"/>
        <w:rPr>
          <w:rFonts w:hint="eastAsia" w:ascii="宋体" w:hAnsi="宋体" w:eastAsia="宋体" w:cs="宋体"/>
          <w:i w:val="0"/>
          <w:iCs w:val="0"/>
          <w:caps w:val="0"/>
          <w:color w:val="333333"/>
          <w:spacing w:val="0"/>
          <w:sz w:val="24"/>
          <w:szCs w:val="24"/>
          <w:u w:val="none"/>
        </w:rPr>
      </w:pPr>
      <w:r>
        <w:rPr>
          <w:rFonts w:hint="eastAsia" w:ascii="宋体" w:hAnsi="宋体" w:eastAsia="宋体" w:cs="宋体"/>
          <w:i w:val="0"/>
          <w:iCs w:val="0"/>
          <w:caps w:val="0"/>
          <w:color w:val="333333"/>
          <w:spacing w:val="0"/>
          <w:sz w:val="24"/>
          <w:szCs w:val="24"/>
          <w:u w:val="none"/>
          <w:shd w:val="clear" w:color="auto" w:fill="FFFFFF"/>
        </w:rPr>
        <w:t>七、其他事项。县市区财政部门在审核采购人备案的采购项目时，对落实政府采购支持中小企业政策情况要严格把关。对于采购人、代理机构、评审专家未落实政府采购支持中小企业发展政策的行为，财政部门将根据政府采购法律法规做出严肃处理。</w:t>
      </w:r>
    </w:p>
    <w:p w14:paraId="6EFA93D1">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pacing w:before="0" w:beforeAutospacing="0" w:after="0" w:afterAutospacing="0" w:line="420" w:lineRule="atLeast"/>
        <w:ind w:left="0" w:right="0" w:firstLine="0"/>
        <w:rPr>
          <w:rFonts w:hint="eastAsia" w:ascii="宋体" w:hAnsi="宋体" w:eastAsia="宋体" w:cs="宋体"/>
          <w:i w:val="0"/>
          <w:iCs w:val="0"/>
          <w:caps w:val="0"/>
          <w:color w:val="333333"/>
          <w:spacing w:val="0"/>
          <w:sz w:val="24"/>
          <w:szCs w:val="24"/>
          <w:u w:val="none"/>
        </w:rPr>
      </w:pPr>
      <w:r>
        <w:rPr>
          <w:rFonts w:hint="eastAsia" w:ascii="宋体" w:hAnsi="宋体" w:eastAsia="宋体" w:cs="宋体"/>
          <w:i w:val="0"/>
          <w:iCs w:val="0"/>
          <w:caps w:val="0"/>
          <w:color w:val="333333"/>
          <w:spacing w:val="0"/>
          <w:sz w:val="24"/>
          <w:szCs w:val="24"/>
          <w:u w:val="none"/>
          <w:shd w:val="clear" w:color="auto" w:fill="FFFFFF"/>
        </w:rPr>
        <w:t> </w:t>
      </w:r>
    </w:p>
    <w:p w14:paraId="41809677">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pacing w:before="0" w:beforeAutospacing="0" w:after="0" w:afterAutospacing="0" w:line="420" w:lineRule="atLeast"/>
        <w:ind w:left="0" w:right="0" w:firstLine="420"/>
        <w:jc w:val="right"/>
        <w:rPr>
          <w:rFonts w:hint="eastAsia" w:ascii="宋体" w:hAnsi="宋体" w:eastAsia="宋体" w:cs="宋体"/>
          <w:i w:val="0"/>
          <w:iCs w:val="0"/>
          <w:caps w:val="0"/>
          <w:color w:val="333333"/>
          <w:spacing w:val="0"/>
          <w:sz w:val="24"/>
          <w:szCs w:val="24"/>
          <w:u w:val="none"/>
        </w:rPr>
      </w:pPr>
      <w:r>
        <w:rPr>
          <w:rFonts w:hint="eastAsia" w:ascii="宋体" w:hAnsi="宋体" w:eastAsia="宋体" w:cs="宋体"/>
          <w:i w:val="0"/>
          <w:iCs w:val="0"/>
          <w:caps w:val="0"/>
          <w:color w:val="333333"/>
          <w:spacing w:val="0"/>
          <w:sz w:val="24"/>
          <w:szCs w:val="24"/>
          <w:u w:val="none"/>
          <w:shd w:val="clear" w:color="auto" w:fill="FFFFFF"/>
        </w:rPr>
        <w:t>榆林市财政局</w:t>
      </w:r>
    </w:p>
    <w:p w14:paraId="57B697C4">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pacing w:before="0" w:beforeAutospacing="0" w:after="0" w:afterAutospacing="0" w:line="420" w:lineRule="atLeast"/>
        <w:ind w:left="0" w:right="0" w:firstLine="420"/>
        <w:jc w:val="right"/>
        <w:rPr>
          <w:rFonts w:hint="eastAsia" w:ascii="宋体" w:hAnsi="宋体" w:eastAsia="宋体" w:cs="宋体"/>
          <w:i w:val="0"/>
          <w:iCs w:val="0"/>
          <w:caps w:val="0"/>
          <w:color w:val="333333"/>
          <w:spacing w:val="0"/>
          <w:sz w:val="24"/>
          <w:szCs w:val="24"/>
          <w:u w:val="none"/>
          <w:shd w:val="clear" w:color="auto" w:fill="FFFFFF"/>
        </w:rPr>
      </w:pPr>
      <w:r>
        <w:rPr>
          <w:rFonts w:hint="eastAsia" w:ascii="宋体" w:hAnsi="宋体" w:eastAsia="宋体" w:cs="宋体"/>
          <w:i w:val="0"/>
          <w:iCs w:val="0"/>
          <w:caps w:val="0"/>
          <w:color w:val="333333"/>
          <w:spacing w:val="0"/>
          <w:sz w:val="24"/>
          <w:szCs w:val="24"/>
          <w:u w:val="none"/>
          <w:shd w:val="clear" w:color="auto" w:fill="FFFFFF"/>
        </w:rPr>
        <w:t>2022年6月15日</w:t>
      </w:r>
    </w:p>
    <w:p w14:paraId="10B102C9">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pacing w:before="0" w:beforeAutospacing="0" w:after="0" w:afterAutospacing="0" w:line="420" w:lineRule="atLeast"/>
        <w:ind w:left="0" w:right="0" w:firstLine="420"/>
        <w:jc w:val="right"/>
        <w:rPr>
          <w:rFonts w:hint="eastAsia" w:ascii="宋体" w:hAnsi="宋体" w:eastAsia="宋体" w:cs="宋体"/>
          <w:i w:val="0"/>
          <w:iCs w:val="0"/>
          <w:caps w:val="0"/>
          <w:color w:val="333333"/>
          <w:spacing w:val="0"/>
          <w:sz w:val="24"/>
          <w:szCs w:val="24"/>
          <w:u w:val="none"/>
          <w:shd w:val="clear" w:color="auto" w:fill="FFFFFF"/>
        </w:rPr>
      </w:pPr>
    </w:p>
    <w:p w14:paraId="5E4E90C2">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pacing w:before="0" w:beforeAutospacing="0" w:after="0" w:afterAutospacing="0" w:line="420" w:lineRule="atLeast"/>
        <w:ind w:left="0" w:right="0" w:firstLine="420"/>
        <w:jc w:val="right"/>
        <w:rPr>
          <w:rFonts w:hint="eastAsia" w:ascii="宋体" w:hAnsi="宋体" w:eastAsia="宋体" w:cs="宋体"/>
          <w:i w:val="0"/>
          <w:iCs w:val="0"/>
          <w:caps w:val="0"/>
          <w:color w:val="333333"/>
          <w:spacing w:val="0"/>
          <w:sz w:val="24"/>
          <w:szCs w:val="24"/>
          <w:u w:val="none"/>
          <w:shd w:val="clear" w:color="auto" w:fill="FFFFFF"/>
          <w:lang w:val="en-US" w:eastAsia="zh-CN"/>
        </w:rPr>
      </w:pPr>
    </w:p>
    <w:p w14:paraId="7468A268">
      <w:pPr>
        <w:pStyle w:val="7"/>
        <w:pageBreakBefore w:val="0"/>
        <w:numPr>
          <w:ilvl w:val="0"/>
          <w:numId w:val="0"/>
        </w:numPr>
        <w:kinsoku/>
        <w:wordWrap w:val="0"/>
        <w:overflowPunct/>
        <w:topLinePunct w:val="0"/>
        <w:autoSpaceDE/>
        <w:autoSpaceDN/>
        <w:bidi w:val="0"/>
        <w:ind w:leftChars="0"/>
        <w:rPr>
          <w:sz w:val="24"/>
          <w:szCs w:val="24"/>
        </w:rPr>
      </w:pPr>
      <w:r>
        <w:rPr>
          <w:rStyle w:val="27"/>
          <w:rFonts w:hint="eastAsia" w:ascii="宋体" w:hAnsi="宋体" w:eastAsia="宋体" w:cs="宋体"/>
          <w:bCs w:val="0"/>
          <w:color w:val="000000"/>
          <w:kern w:val="0"/>
          <w:sz w:val="24"/>
          <w:szCs w:val="24"/>
          <w:shd w:val="clear" w:color="auto" w:fill="FFFFFF"/>
          <w:vertAlign w:val="baseline"/>
          <w:lang w:val="en-US" w:eastAsia="zh-CN" w:bidi="ar"/>
        </w:rPr>
        <w:t>3.关于促进残疾人就业政府采购政策的通知</w:t>
      </w:r>
    </w:p>
    <w:p w14:paraId="0C144F75">
      <w:pPr>
        <w:keepNext w:val="0"/>
        <w:keepLines w:val="0"/>
        <w:pageBreakBefore w:val="0"/>
        <w:widowControl/>
        <w:suppressLineNumbers w:val="0"/>
        <w:shd w:val="clear" w:color="auto" w:fill="FFFFFF"/>
        <w:kinsoku/>
        <w:wordWrap w:val="0"/>
        <w:overflowPunct/>
        <w:topLinePunct w:val="0"/>
        <w:autoSpaceDE/>
        <w:autoSpaceDN/>
        <w:bidi w:val="0"/>
        <w:adjustRightInd/>
        <w:snapToGrid w:val="0"/>
        <w:spacing w:beforeAutospacing="0" w:afterAutospacing="0" w:line="360" w:lineRule="auto"/>
        <w:ind w:left="0" w:right="0"/>
        <w:jc w:val="center"/>
        <w:textAlignment w:val="baseline"/>
        <w:rPr>
          <w:sz w:val="24"/>
          <w:szCs w:val="24"/>
        </w:rPr>
      </w:pPr>
      <w:r>
        <w:rPr>
          <w:rFonts w:hint="eastAsia" w:ascii="宋体" w:hAnsi="宋体" w:eastAsia="宋体" w:cs="宋体"/>
          <w:b w:val="0"/>
          <w:bCs w:val="0"/>
          <w:color w:val="000000"/>
          <w:kern w:val="0"/>
          <w:sz w:val="24"/>
          <w:szCs w:val="24"/>
          <w:shd w:val="clear" w:color="auto" w:fill="FFFFFF"/>
          <w:vertAlign w:val="baseline"/>
          <w:lang w:val="en-US" w:eastAsia="zh-CN" w:bidi="ar"/>
        </w:rPr>
        <w:t>财库〔2017〕141号</w:t>
      </w:r>
    </w:p>
    <w:p w14:paraId="2992027F">
      <w:pPr>
        <w:keepNext w:val="0"/>
        <w:keepLines w:val="0"/>
        <w:pageBreakBefore w:val="0"/>
        <w:widowControl/>
        <w:suppressLineNumbers w:val="0"/>
        <w:shd w:val="clear" w:color="auto" w:fill="FFFFFF"/>
        <w:kinsoku/>
        <w:wordWrap w:val="0"/>
        <w:overflowPunct/>
        <w:topLinePunct w:val="0"/>
        <w:autoSpaceDE/>
        <w:autoSpaceDN/>
        <w:bidi w:val="0"/>
        <w:adjustRightInd/>
        <w:snapToGrid w:val="0"/>
        <w:spacing w:beforeAutospacing="0" w:afterAutospacing="0" w:line="360" w:lineRule="auto"/>
        <w:ind w:right="0" w:firstLine="480" w:firstLineChars="200"/>
        <w:jc w:val="left"/>
        <w:textAlignment w:val="baseline"/>
        <w:rPr>
          <w:sz w:val="24"/>
          <w:szCs w:val="24"/>
        </w:rPr>
      </w:pPr>
      <w:r>
        <w:rPr>
          <w:rFonts w:hint="eastAsia" w:ascii="宋体" w:hAnsi="宋体" w:eastAsia="宋体" w:cs="宋体"/>
          <w:b w:val="0"/>
          <w:bCs w:val="0"/>
          <w:color w:val="000000"/>
          <w:kern w:val="0"/>
          <w:sz w:val="24"/>
          <w:szCs w:val="24"/>
          <w:shd w:val="clear" w:color="auto" w:fill="FFFFFF"/>
          <w:vertAlign w:val="baseline"/>
          <w:lang w:val="en-US" w:eastAsia="zh-CN" w:bidi="ar"/>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14:paraId="2D833518">
      <w:pPr>
        <w:keepNext w:val="0"/>
        <w:keepLines w:val="0"/>
        <w:pageBreakBefore w:val="0"/>
        <w:widowControl/>
        <w:suppressLineNumbers w:val="0"/>
        <w:shd w:val="clear" w:color="auto" w:fill="FFFFFF"/>
        <w:kinsoku/>
        <w:wordWrap w:val="0"/>
        <w:overflowPunct/>
        <w:topLinePunct w:val="0"/>
        <w:autoSpaceDE/>
        <w:autoSpaceDN/>
        <w:bidi w:val="0"/>
        <w:adjustRightInd/>
        <w:snapToGrid w:val="0"/>
        <w:spacing w:beforeAutospacing="0" w:afterAutospacing="0" w:line="360" w:lineRule="auto"/>
        <w:ind w:left="0" w:right="0" w:firstLine="480" w:firstLineChars="200"/>
        <w:jc w:val="both"/>
        <w:textAlignment w:val="baseline"/>
        <w:rPr>
          <w:sz w:val="24"/>
          <w:szCs w:val="24"/>
        </w:rPr>
      </w:pPr>
      <w:r>
        <w:rPr>
          <w:rFonts w:hint="eastAsia" w:ascii="宋体" w:hAnsi="宋体" w:eastAsia="宋体" w:cs="宋体"/>
          <w:b w:val="0"/>
          <w:bCs w:val="0"/>
          <w:color w:val="000000"/>
          <w:kern w:val="0"/>
          <w:sz w:val="24"/>
          <w:szCs w:val="24"/>
          <w:shd w:val="clear" w:color="auto" w:fill="FFFFFF"/>
          <w:vertAlign w:val="baseline"/>
          <w:lang w:val="en-US" w:eastAsia="zh-CN" w:bidi="ar"/>
        </w:rPr>
        <w:t>为了发挥政府采购促进残疾人就业的作用，进一步保障残疾人权益，依照《政府采购法》、《残疾人保障法》等法律法规及相关规定，现就促进残疾人就业政府采购政策通知如下：</w:t>
      </w:r>
    </w:p>
    <w:p w14:paraId="667A15DF">
      <w:pPr>
        <w:keepNext w:val="0"/>
        <w:keepLines w:val="0"/>
        <w:pageBreakBefore w:val="0"/>
        <w:widowControl/>
        <w:suppressLineNumbers w:val="0"/>
        <w:shd w:val="clear" w:color="auto" w:fill="FFFFFF"/>
        <w:kinsoku/>
        <w:wordWrap w:val="0"/>
        <w:overflowPunct/>
        <w:topLinePunct w:val="0"/>
        <w:autoSpaceDE/>
        <w:autoSpaceDN/>
        <w:bidi w:val="0"/>
        <w:adjustRightInd/>
        <w:snapToGrid w:val="0"/>
        <w:spacing w:beforeAutospacing="0" w:afterAutospacing="0" w:line="360" w:lineRule="auto"/>
        <w:ind w:left="0" w:right="0" w:firstLine="480" w:firstLineChars="200"/>
        <w:jc w:val="both"/>
        <w:textAlignment w:val="baseline"/>
        <w:rPr>
          <w:sz w:val="24"/>
          <w:szCs w:val="24"/>
        </w:rPr>
      </w:pPr>
      <w:r>
        <w:rPr>
          <w:rFonts w:hint="eastAsia" w:ascii="宋体" w:hAnsi="宋体" w:eastAsia="宋体" w:cs="宋体"/>
          <w:b w:val="0"/>
          <w:bCs w:val="0"/>
          <w:color w:val="000000"/>
          <w:kern w:val="0"/>
          <w:sz w:val="24"/>
          <w:szCs w:val="24"/>
          <w:shd w:val="clear" w:color="auto" w:fill="FFFFFF"/>
          <w:vertAlign w:val="baseline"/>
          <w:lang w:val="en-US" w:eastAsia="zh-CN" w:bidi="ar"/>
        </w:rPr>
        <w:t>一、享受政府采购支持政策的残疾人福利性单位应当同时满足以下条件：</w:t>
      </w:r>
    </w:p>
    <w:p w14:paraId="750BD13B">
      <w:pPr>
        <w:keepNext w:val="0"/>
        <w:keepLines w:val="0"/>
        <w:pageBreakBefore w:val="0"/>
        <w:widowControl/>
        <w:suppressLineNumbers w:val="0"/>
        <w:shd w:val="clear" w:color="auto" w:fill="FFFFFF"/>
        <w:kinsoku/>
        <w:wordWrap w:val="0"/>
        <w:overflowPunct/>
        <w:topLinePunct w:val="0"/>
        <w:autoSpaceDE/>
        <w:autoSpaceDN/>
        <w:bidi w:val="0"/>
        <w:adjustRightInd/>
        <w:snapToGrid w:val="0"/>
        <w:spacing w:beforeAutospacing="0" w:afterAutospacing="0" w:line="360" w:lineRule="auto"/>
        <w:ind w:left="0" w:right="0" w:firstLine="480" w:firstLineChars="200"/>
        <w:jc w:val="both"/>
        <w:textAlignment w:val="baseline"/>
        <w:rPr>
          <w:sz w:val="24"/>
          <w:szCs w:val="24"/>
        </w:rPr>
      </w:pPr>
      <w:r>
        <w:rPr>
          <w:rFonts w:hint="eastAsia" w:ascii="宋体" w:hAnsi="宋体" w:eastAsia="宋体" w:cs="宋体"/>
          <w:b w:val="0"/>
          <w:bCs w:val="0"/>
          <w:color w:val="000000"/>
          <w:kern w:val="0"/>
          <w:sz w:val="24"/>
          <w:szCs w:val="24"/>
          <w:shd w:val="clear" w:color="auto" w:fill="FFFFFF"/>
          <w:vertAlign w:val="baseline"/>
          <w:lang w:val="en-US" w:eastAsia="zh-CN" w:bidi="ar"/>
        </w:rPr>
        <w:t>（一）安置的残疾人占本单位在职职工人数的比例不低于25%（含25%），并且安置的残疾人人数不少于10人（含10人）；</w:t>
      </w:r>
    </w:p>
    <w:p w14:paraId="7EC05465">
      <w:pPr>
        <w:keepNext w:val="0"/>
        <w:keepLines w:val="0"/>
        <w:pageBreakBefore w:val="0"/>
        <w:widowControl/>
        <w:suppressLineNumbers w:val="0"/>
        <w:shd w:val="clear" w:color="auto" w:fill="FFFFFF"/>
        <w:kinsoku/>
        <w:wordWrap w:val="0"/>
        <w:overflowPunct/>
        <w:topLinePunct w:val="0"/>
        <w:autoSpaceDE/>
        <w:autoSpaceDN/>
        <w:bidi w:val="0"/>
        <w:adjustRightInd/>
        <w:snapToGrid w:val="0"/>
        <w:spacing w:beforeAutospacing="0" w:afterAutospacing="0" w:line="360" w:lineRule="auto"/>
        <w:ind w:left="0" w:right="0" w:firstLine="480" w:firstLineChars="200"/>
        <w:jc w:val="both"/>
        <w:textAlignment w:val="baseline"/>
        <w:rPr>
          <w:sz w:val="24"/>
          <w:szCs w:val="24"/>
        </w:rPr>
      </w:pPr>
      <w:r>
        <w:rPr>
          <w:rFonts w:hint="eastAsia" w:ascii="宋体" w:hAnsi="宋体" w:eastAsia="宋体" w:cs="宋体"/>
          <w:b w:val="0"/>
          <w:bCs w:val="0"/>
          <w:color w:val="000000"/>
          <w:kern w:val="0"/>
          <w:sz w:val="24"/>
          <w:szCs w:val="24"/>
          <w:shd w:val="clear" w:color="auto" w:fill="FFFFFF"/>
          <w:vertAlign w:val="baseline"/>
          <w:lang w:val="en-US" w:eastAsia="zh-CN" w:bidi="ar"/>
        </w:rPr>
        <w:t>（二）依法与安置的每位残疾人签订了一年以上（含一年）的劳动合同或服务协议；</w:t>
      </w:r>
    </w:p>
    <w:p w14:paraId="26E7DA51">
      <w:pPr>
        <w:keepNext w:val="0"/>
        <w:keepLines w:val="0"/>
        <w:pageBreakBefore w:val="0"/>
        <w:widowControl/>
        <w:suppressLineNumbers w:val="0"/>
        <w:shd w:val="clear" w:color="auto" w:fill="FFFFFF"/>
        <w:kinsoku/>
        <w:wordWrap w:val="0"/>
        <w:overflowPunct/>
        <w:topLinePunct w:val="0"/>
        <w:autoSpaceDE/>
        <w:autoSpaceDN/>
        <w:bidi w:val="0"/>
        <w:adjustRightInd/>
        <w:snapToGrid w:val="0"/>
        <w:spacing w:beforeAutospacing="0" w:afterAutospacing="0" w:line="360" w:lineRule="auto"/>
        <w:ind w:left="0" w:right="0" w:firstLine="480" w:firstLineChars="200"/>
        <w:jc w:val="both"/>
        <w:textAlignment w:val="baseline"/>
        <w:rPr>
          <w:sz w:val="24"/>
          <w:szCs w:val="24"/>
        </w:rPr>
      </w:pPr>
      <w:r>
        <w:rPr>
          <w:rFonts w:hint="eastAsia" w:ascii="宋体" w:hAnsi="宋体" w:eastAsia="宋体" w:cs="宋体"/>
          <w:b w:val="0"/>
          <w:bCs w:val="0"/>
          <w:color w:val="000000"/>
          <w:kern w:val="0"/>
          <w:sz w:val="24"/>
          <w:szCs w:val="24"/>
          <w:shd w:val="clear" w:color="auto" w:fill="FFFFFF"/>
          <w:vertAlign w:val="baseline"/>
          <w:lang w:val="en-US" w:eastAsia="zh-CN" w:bidi="ar"/>
        </w:rPr>
        <w:t>（三）为安置的每位残疾人按月足额缴纳了基本养老保险、基本医疗保险、失业保险、工伤保险和生育保险等社会保险费；</w:t>
      </w:r>
    </w:p>
    <w:p w14:paraId="752348A9">
      <w:pPr>
        <w:keepNext w:val="0"/>
        <w:keepLines w:val="0"/>
        <w:pageBreakBefore w:val="0"/>
        <w:widowControl/>
        <w:suppressLineNumbers w:val="0"/>
        <w:shd w:val="clear" w:color="auto" w:fill="FFFFFF"/>
        <w:kinsoku/>
        <w:wordWrap w:val="0"/>
        <w:overflowPunct/>
        <w:topLinePunct w:val="0"/>
        <w:autoSpaceDE/>
        <w:autoSpaceDN/>
        <w:bidi w:val="0"/>
        <w:adjustRightInd/>
        <w:snapToGrid w:val="0"/>
        <w:spacing w:beforeAutospacing="0" w:afterAutospacing="0" w:line="360" w:lineRule="auto"/>
        <w:ind w:left="0" w:right="0" w:firstLine="480" w:firstLineChars="200"/>
        <w:jc w:val="both"/>
        <w:textAlignment w:val="baseline"/>
        <w:rPr>
          <w:sz w:val="24"/>
          <w:szCs w:val="24"/>
        </w:rPr>
      </w:pPr>
      <w:r>
        <w:rPr>
          <w:rFonts w:hint="eastAsia" w:ascii="宋体" w:hAnsi="宋体" w:eastAsia="宋体" w:cs="宋体"/>
          <w:b w:val="0"/>
          <w:bCs w:val="0"/>
          <w:color w:val="000000"/>
          <w:kern w:val="0"/>
          <w:sz w:val="24"/>
          <w:szCs w:val="24"/>
          <w:shd w:val="clear" w:color="auto" w:fill="FFFFFF"/>
          <w:vertAlign w:val="baseline"/>
          <w:lang w:val="en-US" w:eastAsia="zh-CN" w:bidi="ar"/>
        </w:rPr>
        <w:t>（四）通过银行等金融机构向安置的每位残疾人，按月支付了不低于单位所在区县适用的经省级人民政府批准的月最低工资标准的工资；</w:t>
      </w:r>
    </w:p>
    <w:p w14:paraId="5A377F64">
      <w:pPr>
        <w:keepNext w:val="0"/>
        <w:keepLines w:val="0"/>
        <w:pageBreakBefore w:val="0"/>
        <w:widowControl/>
        <w:suppressLineNumbers w:val="0"/>
        <w:shd w:val="clear" w:color="auto" w:fill="FFFFFF"/>
        <w:kinsoku/>
        <w:wordWrap w:val="0"/>
        <w:overflowPunct/>
        <w:topLinePunct w:val="0"/>
        <w:autoSpaceDE/>
        <w:autoSpaceDN/>
        <w:bidi w:val="0"/>
        <w:adjustRightInd/>
        <w:snapToGrid w:val="0"/>
        <w:spacing w:beforeAutospacing="0" w:afterAutospacing="0" w:line="360" w:lineRule="auto"/>
        <w:ind w:left="0" w:right="0" w:firstLine="480" w:firstLineChars="200"/>
        <w:jc w:val="both"/>
        <w:textAlignment w:val="baseline"/>
        <w:rPr>
          <w:sz w:val="24"/>
          <w:szCs w:val="24"/>
        </w:rPr>
      </w:pPr>
      <w:r>
        <w:rPr>
          <w:rFonts w:hint="eastAsia" w:ascii="宋体" w:hAnsi="宋体" w:eastAsia="宋体" w:cs="宋体"/>
          <w:b w:val="0"/>
          <w:bCs w:val="0"/>
          <w:color w:val="000000"/>
          <w:kern w:val="0"/>
          <w:sz w:val="24"/>
          <w:szCs w:val="24"/>
          <w:shd w:val="clear" w:color="auto" w:fill="FFFFFF"/>
          <w:vertAlign w:val="baseline"/>
          <w:lang w:val="en-US" w:eastAsia="zh-CN" w:bidi="ar"/>
        </w:rPr>
        <w:t>（五）提供本单位制造的货物、承担的工程或者服务（以下简称产品），或者提供其他残疾人福利性单位制造的货物（不包括使用非残疾人福利性单位注册商标的货物）。</w:t>
      </w:r>
    </w:p>
    <w:p w14:paraId="410638F3">
      <w:pPr>
        <w:keepNext w:val="0"/>
        <w:keepLines w:val="0"/>
        <w:pageBreakBefore w:val="0"/>
        <w:widowControl/>
        <w:suppressLineNumbers w:val="0"/>
        <w:shd w:val="clear" w:color="auto" w:fill="FFFFFF"/>
        <w:kinsoku/>
        <w:wordWrap w:val="0"/>
        <w:overflowPunct/>
        <w:topLinePunct w:val="0"/>
        <w:autoSpaceDE/>
        <w:autoSpaceDN/>
        <w:bidi w:val="0"/>
        <w:adjustRightInd/>
        <w:snapToGrid w:val="0"/>
        <w:spacing w:beforeAutospacing="0" w:afterAutospacing="0" w:line="360" w:lineRule="auto"/>
        <w:ind w:left="0" w:right="0" w:firstLine="480" w:firstLineChars="200"/>
        <w:jc w:val="both"/>
        <w:textAlignment w:val="baseline"/>
        <w:rPr>
          <w:sz w:val="24"/>
          <w:szCs w:val="24"/>
        </w:rPr>
      </w:pPr>
      <w:r>
        <w:rPr>
          <w:rFonts w:hint="eastAsia" w:ascii="宋体" w:hAnsi="宋体" w:eastAsia="宋体" w:cs="宋体"/>
          <w:b w:val="0"/>
          <w:bCs w:val="0"/>
          <w:color w:val="000000"/>
          <w:kern w:val="0"/>
          <w:sz w:val="24"/>
          <w:szCs w:val="24"/>
          <w:shd w:val="clear" w:color="auto" w:fill="FFFFFF"/>
          <w:vertAlign w:val="baseline"/>
          <w:lang w:val="en-US" w:eastAsia="zh-CN"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9FD9CAD">
      <w:pPr>
        <w:keepNext w:val="0"/>
        <w:keepLines w:val="0"/>
        <w:pageBreakBefore w:val="0"/>
        <w:widowControl/>
        <w:suppressLineNumbers w:val="0"/>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sz w:val="24"/>
          <w:szCs w:val="24"/>
        </w:rPr>
      </w:pPr>
      <w:r>
        <w:rPr>
          <w:rFonts w:hint="eastAsia" w:ascii="宋体" w:hAnsi="宋体" w:eastAsia="宋体" w:cs="宋体"/>
          <w:b w:val="0"/>
          <w:bCs w:val="0"/>
          <w:color w:val="000000"/>
          <w:kern w:val="0"/>
          <w:sz w:val="24"/>
          <w:szCs w:val="24"/>
          <w:shd w:val="clear" w:color="auto" w:fill="FFFFFF"/>
          <w:vertAlign w:val="baseline"/>
          <w:lang w:val="en-US" w:eastAsia="zh-CN" w:bidi="ar"/>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5FE6FC6F">
      <w:pPr>
        <w:keepNext w:val="0"/>
        <w:keepLines w:val="0"/>
        <w:pageBreakBefore w:val="0"/>
        <w:widowControl/>
        <w:suppressLineNumbers w:val="0"/>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sz w:val="24"/>
          <w:szCs w:val="24"/>
        </w:rPr>
      </w:pPr>
      <w:r>
        <w:rPr>
          <w:rFonts w:hint="eastAsia" w:ascii="宋体" w:hAnsi="宋体" w:eastAsia="宋体" w:cs="宋体"/>
          <w:b w:val="0"/>
          <w:bCs w:val="0"/>
          <w:color w:val="000000"/>
          <w:kern w:val="0"/>
          <w:sz w:val="24"/>
          <w:szCs w:val="24"/>
          <w:shd w:val="clear" w:color="auto" w:fill="FFFFFF"/>
          <w:vertAlign w:val="baseline"/>
          <w:lang w:val="en-US" w:eastAsia="zh-CN" w:bidi="ar"/>
        </w:rPr>
        <w:t>中标、成交供应商为残疾人福利性单位的，采购人或者其委托的采购代理机构应当随中标、成交结果同时公告其《残疾人福利性单位声明函》，接受社会监督。</w:t>
      </w:r>
    </w:p>
    <w:p w14:paraId="29C1C381">
      <w:pPr>
        <w:keepNext w:val="0"/>
        <w:keepLines w:val="0"/>
        <w:pageBreakBefore w:val="0"/>
        <w:widowControl/>
        <w:suppressLineNumbers w:val="0"/>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sz w:val="24"/>
          <w:szCs w:val="24"/>
        </w:rPr>
      </w:pPr>
      <w:r>
        <w:rPr>
          <w:rFonts w:hint="eastAsia" w:ascii="宋体" w:hAnsi="宋体" w:eastAsia="宋体" w:cs="宋体"/>
          <w:b w:val="0"/>
          <w:bCs w:val="0"/>
          <w:color w:val="000000"/>
          <w:kern w:val="0"/>
          <w:sz w:val="24"/>
          <w:szCs w:val="24"/>
          <w:shd w:val="clear" w:color="auto" w:fill="FFFFFF"/>
          <w:vertAlign w:val="baseline"/>
          <w:lang w:val="en-US" w:eastAsia="zh-CN" w:bidi="ar"/>
        </w:rPr>
        <w:t>供应商提供的《残疾人福利性单位声明函》与事实不符的，依照《政府采购法》第七十七条第一款的规定追究法律责任。</w:t>
      </w:r>
    </w:p>
    <w:p w14:paraId="2294B8C7">
      <w:pPr>
        <w:keepNext w:val="0"/>
        <w:keepLines w:val="0"/>
        <w:pageBreakBefore w:val="0"/>
        <w:widowControl/>
        <w:suppressLineNumbers w:val="0"/>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sz w:val="24"/>
          <w:szCs w:val="24"/>
        </w:rPr>
      </w:pPr>
      <w:r>
        <w:rPr>
          <w:rFonts w:hint="eastAsia" w:ascii="宋体" w:hAnsi="宋体" w:eastAsia="宋体" w:cs="宋体"/>
          <w:b w:val="0"/>
          <w:bCs w:val="0"/>
          <w:color w:val="000000"/>
          <w:kern w:val="0"/>
          <w:sz w:val="24"/>
          <w:szCs w:val="24"/>
          <w:shd w:val="clear" w:color="auto" w:fill="FFFFFF"/>
          <w:vertAlign w:val="baseline"/>
          <w:lang w:val="en-US" w:eastAsia="zh-CN" w:bidi="ar"/>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786D2C98">
      <w:pPr>
        <w:keepNext w:val="0"/>
        <w:keepLines w:val="0"/>
        <w:pageBreakBefore w:val="0"/>
        <w:widowControl/>
        <w:suppressLineNumbers w:val="0"/>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sz w:val="24"/>
          <w:szCs w:val="24"/>
        </w:rPr>
      </w:pPr>
      <w:r>
        <w:rPr>
          <w:rFonts w:hint="eastAsia" w:ascii="宋体" w:hAnsi="宋体" w:eastAsia="宋体" w:cs="宋体"/>
          <w:b w:val="0"/>
          <w:bCs w:val="0"/>
          <w:color w:val="000000"/>
          <w:kern w:val="0"/>
          <w:sz w:val="24"/>
          <w:szCs w:val="24"/>
          <w:shd w:val="clear" w:color="auto" w:fill="FFFFFF"/>
          <w:vertAlign w:val="baseline"/>
          <w:lang w:val="en-US" w:eastAsia="zh-CN" w:bidi="ar"/>
        </w:rPr>
        <w:t>四、采购人采购公开招标数额标准以上的货物或者服务，因落实促进残疾人就业政策的需要，依法履行有关报批程序后，可采用公开招标以外的采购方式。</w:t>
      </w:r>
    </w:p>
    <w:p w14:paraId="04908503">
      <w:pPr>
        <w:keepNext w:val="0"/>
        <w:keepLines w:val="0"/>
        <w:pageBreakBefore w:val="0"/>
        <w:widowControl/>
        <w:suppressLineNumbers w:val="0"/>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sz w:val="24"/>
          <w:szCs w:val="24"/>
        </w:rPr>
      </w:pPr>
      <w:r>
        <w:rPr>
          <w:rFonts w:hint="eastAsia" w:ascii="宋体" w:hAnsi="宋体" w:eastAsia="宋体" w:cs="宋体"/>
          <w:b w:val="0"/>
          <w:bCs w:val="0"/>
          <w:color w:val="000000"/>
          <w:kern w:val="0"/>
          <w:sz w:val="24"/>
          <w:szCs w:val="24"/>
          <w:shd w:val="clear" w:color="auto" w:fill="FFFFFF"/>
          <w:vertAlign w:val="baseline"/>
          <w:lang w:val="en-US" w:eastAsia="zh-CN" w:bidi="ar"/>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28745943">
      <w:pPr>
        <w:keepNext w:val="0"/>
        <w:keepLines w:val="0"/>
        <w:pageBreakBefore w:val="0"/>
        <w:widowControl/>
        <w:suppressLineNumbers w:val="0"/>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sz w:val="24"/>
          <w:szCs w:val="24"/>
        </w:rPr>
      </w:pPr>
      <w:r>
        <w:rPr>
          <w:rFonts w:hint="eastAsia" w:ascii="宋体" w:hAnsi="宋体" w:eastAsia="宋体" w:cs="宋体"/>
          <w:b w:val="0"/>
          <w:bCs w:val="0"/>
          <w:color w:val="000000"/>
          <w:kern w:val="0"/>
          <w:sz w:val="24"/>
          <w:szCs w:val="24"/>
          <w:shd w:val="clear" w:color="auto" w:fill="FFFFFF"/>
          <w:vertAlign w:val="baseline"/>
          <w:lang w:val="en-US" w:eastAsia="zh-CN" w:bidi="ar"/>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14:paraId="44BE311D">
      <w:pPr>
        <w:keepNext w:val="0"/>
        <w:keepLines w:val="0"/>
        <w:pageBreakBefore w:val="0"/>
        <w:widowControl/>
        <w:suppressLineNumbers w:val="0"/>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sz w:val="24"/>
          <w:szCs w:val="24"/>
        </w:rPr>
      </w:pPr>
      <w:r>
        <w:rPr>
          <w:rFonts w:hint="eastAsia" w:ascii="宋体" w:hAnsi="宋体" w:eastAsia="宋体" w:cs="宋体"/>
          <w:b w:val="0"/>
          <w:bCs w:val="0"/>
          <w:color w:val="000000"/>
          <w:kern w:val="0"/>
          <w:sz w:val="24"/>
          <w:szCs w:val="24"/>
          <w:shd w:val="clear" w:color="auto" w:fill="FFFFFF"/>
          <w:vertAlign w:val="baseline"/>
          <w:lang w:val="en-US" w:eastAsia="zh-CN" w:bidi="ar"/>
        </w:rPr>
        <w:t>七、本通知自2017年10月1日起执行。</w:t>
      </w:r>
    </w:p>
    <w:p w14:paraId="506EE909">
      <w:pPr>
        <w:keepNext w:val="0"/>
        <w:keepLines w:val="0"/>
        <w:pageBreakBefore w:val="0"/>
        <w:widowControl/>
        <w:suppressLineNumbers w:val="0"/>
        <w:shd w:val="clear" w:color="auto" w:fill="FFFFFF"/>
        <w:kinsoku/>
        <w:wordWrap w:val="0"/>
        <w:overflowPunct/>
        <w:topLinePunct w:val="0"/>
        <w:autoSpaceDE/>
        <w:autoSpaceDN/>
        <w:bidi w:val="0"/>
        <w:spacing w:before="100" w:beforeAutospacing="1" w:after="100" w:afterAutospacing="1" w:line="405" w:lineRule="exact"/>
        <w:ind w:left="0" w:right="960"/>
        <w:jc w:val="center"/>
        <w:textAlignment w:val="baseline"/>
        <w:rPr>
          <w:sz w:val="24"/>
          <w:szCs w:val="24"/>
        </w:rPr>
      </w:pPr>
      <w:r>
        <w:rPr>
          <w:rFonts w:hint="eastAsia" w:ascii="宋体" w:hAnsi="宋体" w:eastAsia="宋体" w:cs="宋体"/>
          <w:b w:val="0"/>
          <w:bCs w:val="0"/>
          <w:color w:val="000000"/>
          <w:kern w:val="0"/>
          <w:sz w:val="24"/>
          <w:szCs w:val="24"/>
          <w:shd w:val="clear" w:color="auto" w:fill="FFFFFF"/>
          <w:vertAlign w:val="baseline"/>
          <w:lang w:val="en-US" w:eastAsia="zh-CN" w:bidi="ar"/>
        </w:rPr>
        <w:t xml:space="preserve">                                                财政部民政部</w:t>
      </w:r>
    </w:p>
    <w:p w14:paraId="2F2CC6E4">
      <w:pPr>
        <w:keepNext w:val="0"/>
        <w:keepLines w:val="0"/>
        <w:pageBreakBefore w:val="0"/>
        <w:widowControl/>
        <w:suppressLineNumbers w:val="0"/>
        <w:shd w:val="clear" w:color="auto" w:fill="FFFFFF"/>
        <w:kinsoku/>
        <w:wordWrap w:val="0"/>
        <w:overflowPunct/>
        <w:topLinePunct w:val="0"/>
        <w:autoSpaceDE/>
        <w:autoSpaceDN/>
        <w:bidi w:val="0"/>
        <w:spacing w:before="100" w:beforeAutospacing="1" w:after="100" w:afterAutospacing="1" w:line="405" w:lineRule="exact"/>
        <w:ind w:left="0" w:right="960"/>
        <w:jc w:val="right"/>
        <w:textAlignment w:val="baseline"/>
        <w:rPr>
          <w:sz w:val="24"/>
          <w:szCs w:val="24"/>
        </w:rPr>
      </w:pPr>
      <w:r>
        <w:rPr>
          <w:rFonts w:hint="eastAsia" w:ascii="宋体" w:hAnsi="宋体" w:eastAsia="宋体" w:cs="宋体"/>
          <w:b w:val="0"/>
          <w:bCs w:val="0"/>
          <w:color w:val="000000"/>
          <w:kern w:val="0"/>
          <w:sz w:val="24"/>
          <w:szCs w:val="24"/>
          <w:shd w:val="clear" w:color="auto" w:fill="FFFFFF"/>
          <w:vertAlign w:val="baseline"/>
          <w:lang w:val="en-US" w:eastAsia="zh-CN" w:bidi="ar"/>
        </w:rPr>
        <w:t xml:space="preserve">   中国残疾人联合会</w:t>
      </w:r>
    </w:p>
    <w:p w14:paraId="78718DD8">
      <w:pPr>
        <w:keepNext w:val="0"/>
        <w:keepLines w:val="0"/>
        <w:pageBreakBefore w:val="0"/>
        <w:widowControl/>
        <w:suppressLineNumbers w:val="0"/>
        <w:shd w:val="clear" w:color="auto" w:fill="FFFFFF"/>
        <w:kinsoku/>
        <w:wordWrap w:val="0"/>
        <w:overflowPunct/>
        <w:topLinePunct w:val="0"/>
        <w:autoSpaceDE/>
        <w:autoSpaceDN/>
        <w:bidi w:val="0"/>
        <w:spacing w:before="100" w:beforeAutospacing="1" w:after="100" w:afterAutospacing="1" w:line="405" w:lineRule="exact"/>
        <w:ind w:left="0" w:right="0"/>
        <w:jc w:val="center"/>
        <w:textAlignment w:val="baseline"/>
        <w:rPr>
          <w:rFonts w:hint="eastAsia" w:ascii="宋体" w:hAnsi="宋体" w:eastAsia="宋体" w:cs="宋体"/>
          <w:b w:val="0"/>
          <w:bCs w:val="0"/>
          <w:color w:val="000000"/>
          <w:kern w:val="0"/>
          <w:sz w:val="24"/>
          <w:szCs w:val="24"/>
          <w:shd w:val="clear" w:color="auto" w:fill="FFFFFF"/>
          <w:vertAlign w:val="baseline"/>
          <w:lang w:val="en-US" w:eastAsia="zh-CN" w:bidi="ar"/>
        </w:rPr>
      </w:pPr>
      <w:r>
        <w:rPr>
          <w:rFonts w:hint="eastAsia" w:ascii="宋体" w:hAnsi="宋体" w:eastAsia="宋体" w:cs="宋体"/>
          <w:b w:val="0"/>
          <w:bCs w:val="0"/>
          <w:color w:val="000000"/>
          <w:kern w:val="0"/>
          <w:sz w:val="24"/>
          <w:szCs w:val="24"/>
          <w:shd w:val="clear" w:color="auto" w:fill="FFFFFF"/>
          <w:vertAlign w:val="baseline"/>
          <w:lang w:val="en-US" w:eastAsia="zh-CN" w:bidi="ar"/>
        </w:rPr>
        <w:t xml:space="preserve">                                         2017年8月22日</w:t>
      </w:r>
    </w:p>
    <w:p w14:paraId="6A503A8B">
      <w:pPr>
        <w:keepNext w:val="0"/>
        <w:keepLines w:val="0"/>
        <w:pageBreakBefore w:val="0"/>
        <w:widowControl/>
        <w:suppressLineNumbers w:val="0"/>
        <w:shd w:val="clear" w:color="auto" w:fill="FFFFFF"/>
        <w:kinsoku/>
        <w:wordWrap w:val="0"/>
        <w:overflowPunct/>
        <w:topLinePunct w:val="0"/>
        <w:autoSpaceDE/>
        <w:autoSpaceDN/>
        <w:bidi w:val="0"/>
        <w:spacing w:before="100" w:beforeAutospacing="1" w:after="100" w:afterAutospacing="1" w:line="405" w:lineRule="exact"/>
        <w:ind w:left="0" w:right="0"/>
        <w:jc w:val="center"/>
        <w:textAlignment w:val="baseline"/>
        <w:rPr>
          <w:rFonts w:hint="eastAsia" w:ascii="宋体" w:hAnsi="宋体" w:eastAsia="宋体" w:cs="宋体"/>
          <w:b w:val="0"/>
          <w:bCs w:val="0"/>
          <w:color w:val="000000"/>
          <w:kern w:val="0"/>
          <w:sz w:val="24"/>
          <w:szCs w:val="24"/>
          <w:shd w:val="clear" w:color="auto" w:fill="FFFFFF"/>
          <w:vertAlign w:val="baseline"/>
          <w:lang w:val="en-US" w:eastAsia="zh-CN" w:bidi="ar"/>
        </w:rPr>
      </w:pPr>
    </w:p>
    <w:p w14:paraId="7AC58333">
      <w:pPr>
        <w:keepNext w:val="0"/>
        <w:keepLines w:val="0"/>
        <w:pageBreakBefore w:val="0"/>
        <w:widowControl/>
        <w:suppressLineNumbers w:val="0"/>
        <w:shd w:val="clear" w:color="auto" w:fill="FFFFFF"/>
        <w:kinsoku/>
        <w:wordWrap w:val="0"/>
        <w:overflowPunct/>
        <w:topLinePunct w:val="0"/>
        <w:autoSpaceDE/>
        <w:autoSpaceDN/>
        <w:bidi w:val="0"/>
        <w:spacing w:before="100" w:beforeAutospacing="1" w:after="100" w:afterAutospacing="1" w:line="405" w:lineRule="exact"/>
        <w:ind w:left="0" w:right="0"/>
        <w:jc w:val="center"/>
        <w:textAlignment w:val="baseline"/>
        <w:rPr>
          <w:rFonts w:hint="eastAsia" w:ascii="宋体" w:hAnsi="宋体" w:eastAsia="宋体" w:cs="宋体"/>
          <w:b w:val="0"/>
          <w:bCs w:val="0"/>
          <w:color w:val="000000"/>
          <w:kern w:val="0"/>
          <w:sz w:val="24"/>
          <w:szCs w:val="24"/>
          <w:shd w:val="clear" w:color="auto" w:fill="FFFFFF"/>
          <w:vertAlign w:val="baseline"/>
          <w:lang w:val="en-US" w:eastAsia="zh-CN" w:bidi="ar"/>
        </w:rPr>
      </w:pPr>
    </w:p>
    <w:p w14:paraId="2A11AA38">
      <w:pPr>
        <w:keepNext w:val="0"/>
        <w:keepLines w:val="0"/>
        <w:pageBreakBefore w:val="0"/>
        <w:widowControl/>
        <w:suppressLineNumbers w:val="0"/>
        <w:shd w:val="clear" w:color="auto" w:fill="FFFFFF"/>
        <w:kinsoku/>
        <w:wordWrap w:val="0"/>
        <w:overflowPunct/>
        <w:topLinePunct w:val="0"/>
        <w:autoSpaceDE/>
        <w:autoSpaceDN/>
        <w:bidi w:val="0"/>
        <w:spacing w:before="100" w:beforeAutospacing="1" w:after="100" w:afterAutospacing="1" w:line="405" w:lineRule="exact"/>
        <w:ind w:left="0" w:right="0"/>
        <w:jc w:val="center"/>
        <w:textAlignment w:val="baseline"/>
        <w:rPr>
          <w:rFonts w:hint="eastAsia" w:ascii="宋体" w:hAnsi="宋体" w:eastAsia="宋体" w:cs="宋体"/>
          <w:b w:val="0"/>
          <w:bCs w:val="0"/>
          <w:color w:val="000000"/>
          <w:kern w:val="0"/>
          <w:sz w:val="24"/>
          <w:szCs w:val="24"/>
          <w:shd w:val="clear" w:color="auto" w:fill="FFFFFF"/>
          <w:vertAlign w:val="baseline"/>
          <w:lang w:val="en-US" w:eastAsia="zh-CN" w:bidi="ar"/>
        </w:rPr>
      </w:pPr>
    </w:p>
    <w:p w14:paraId="107214C5">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column"/>
      </w:r>
      <w:r>
        <w:rPr>
          <w:rFonts w:hint="eastAsia" w:ascii="宋体" w:hAnsi="宋体" w:eastAsia="宋体" w:cs="宋体"/>
          <w:b/>
          <w:bCs/>
          <w:color w:val="auto"/>
          <w:sz w:val="24"/>
          <w:szCs w:val="24"/>
        </w:rPr>
        <w:t>三、</w:t>
      </w:r>
      <w:bookmarkEnd w:id="45"/>
      <w:bookmarkEnd w:id="46"/>
      <w:bookmarkEnd w:id="47"/>
      <w:bookmarkEnd w:id="48"/>
      <w:bookmarkEnd w:id="49"/>
      <w:bookmarkEnd w:id="50"/>
      <w:r>
        <w:rPr>
          <w:rFonts w:hint="eastAsia" w:ascii="宋体" w:hAnsi="宋体" w:eastAsia="宋体" w:cs="宋体"/>
          <w:b/>
          <w:bCs/>
          <w:color w:val="auto"/>
          <w:sz w:val="24"/>
          <w:szCs w:val="24"/>
        </w:rPr>
        <w:t>竞争性</w:t>
      </w:r>
      <w:r>
        <w:rPr>
          <w:rFonts w:hint="eastAsia" w:ascii="宋体" w:hAnsi="宋体" w:eastAsia="宋体" w:cs="宋体"/>
          <w:b/>
          <w:bCs/>
          <w:color w:val="auto"/>
          <w:sz w:val="24"/>
          <w:szCs w:val="24"/>
          <w:lang w:eastAsia="zh-CN"/>
        </w:rPr>
        <w:t>磋商</w:t>
      </w:r>
      <w:r>
        <w:rPr>
          <w:rFonts w:hint="eastAsia" w:ascii="宋体" w:hAnsi="宋体" w:eastAsia="宋体" w:cs="宋体"/>
          <w:b/>
          <w:bCs/>
          <w:color w:val="auto"/>
          <w:sz w:val="24"/>
          <w:szCs w:val="24"/>
        </w:rPr>
        <w:t>文件</w:t>
      </w:r>
    </w:p>
    <w:p w14:paraId="29224C8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bookmarkStart w:id="59" w:name="_Toc5972"/>
      <w:bookmarkStart w:id="60" w:name="_Toc7620"/>
      <w:bookmarkStart w:id="61" w:name="_Toc20323"/>
      <w:bookmarkStart w:id="62" w:name="_Toc19555"/>
      <w:r>
        <w:rPr>
          <w:rFonts w:hint="eastAsia" w:ascii="宋体" w:hAnsi="宋体" w:eastAsia="宋体" w:cs="宋体"/>
          <w:color w:val="auto"/>
          <w:sz w:val="24"/>
          <w:szCs w:val="24"/>
        </w:rPr>
        <w:t>（一）竞争性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文件包括下列内容</w:t>
      </w:r>
      <w:bookmarkEnd w:id="59"/>
      <w:bookmarkEnd w:id="60"/>
      <w:bookmarkEnd w:id="61"/>
      <w:bookmarkEnd w:id="62"/>
    </w:p>
    <w:p w14:paraId="56C11AE4">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第一章　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公告</w:t>
      </w:r>
    </w:p>
    <w:p w14:paraId="71EBA945">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第二章　供应商须知</w:t>
      </w:r>
    </w:p>
    <w:p w14:paraId="1A692DF5">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bookmarkStart w:id="63" w:name="_Toc7448"/>
      <w:bookmarkStart w:id="64" w:name="_Toc32645"/>
      <w:bookmarkStart w:id="65" w:name="_Toc18777"/>
      <w:bookmarkStart w:id="66" w:name="_Toc4199"/>
      <w:r>
        <w:rPr>
          <w:rFonts w:hint="eastAsia" w:ascii="宋体" w:hAnsi="宋体" w:eastAsia="宋体" w:cs="宋体"/>
          <w:color w:val="auto"/>
          <w:sz w:val="24"/>
          <w:szCs w:val="24"/>
        </w:rPr>
        <w:t>第三章　评审办法及标准</w:t>
      </w:r>
    </w:p>
    <w:p w14:paraId="325D2866">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第四章  </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内容及采购要求</w:t>
      </w:r>
    </w:p>
    <w:p w14:paraId="0BFF8E6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第五章  商务及合同主要条款</w:t>
      </w:r>
    </w:p>
    <w:p w14:paraId="24B5FD2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第六章  响应文件构成及格式</w:t>
      </w:r>
    </w:p>
    <w:p w14:paraId="6F6642C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文件的检查及阅读</w:t>
      </w:r>
      <w:bookmarkEnd w:id="63"/>
      <w:bookmarkEnd w:id="64"/>
      <w:bookmarkEnd w:id="65"/>
      <w:bookmarkEnd w:id="66"/>
    </w:p>
    <w:p w14:paraId="37D36026">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供应商下载竞争性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文件后应仔细阅读检查竞争性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文件中的所有内容，按照竞争性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文件中所列事项、条款、规范要求及格式，在响应文件中对竞争性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文件做出全面的响应，并按竞争性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文件的要求提交全部资料。</w:t>
      </w:r>
    </w:p>
    <w:p w14:paraId="202295B4">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如本项目废标后需重新组织招标，采购代理机构将重新编制、发布新版竞争性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文件，供应商应按新版竞争性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文件重新编制响应文件。原竞争性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文件及响应文件失效。</w:t>
      </w:r>
    </w:p>
    <w:p w14:paraId="4023FA96">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响应文件封面、</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函以及法定代表人授权委托书三处的项目名称、项目编号应当与最新发布的竞争性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文件保持一致，否则将被视为无效响应文件。</w:t>
      </w:r>
    </w:p>
    <w:p w14:paraId="36F10AA6">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bookmarkStart w:id="67" w:name="_Toc27301"/>
      <w:bookmarkStart w:id="68" w:name="_Toc25748"/>
      <w:bookmarkStart w:id="69" w:name="_Toc21665"/>
      <w:bookmarkStart w:id="70" w:name="_Toc6302"/>
      <w:r>
        <w:rPr>
          <w:rFonts w:hint="eastAsia" w:ascii="宋体" w:hAnsi="宋体" w:eastAsia="宋体" w:cs="宋体"/>
          <w:color w:val="auto"/>
          <w:sz w:val="24"/>
          <w:szCs w:val="24"/>
        </w:rPr>
        <w:t>（三）竞争性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文件的修改、澄清</w:t>
      </w:r>
      <w:bookmarkEnd w:id="67"/>
      <w:bookmarkEnd w:id="68"/>
      <w:bookmarkEnd w:id="69"/>
      <w:bookmarkEnd w:id="70"/>
    </w:p>
    <w:p w14:paraId="0208228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1、提交首次响应文件截止之日前，采购人、采购代理机构或者磋商小组可以对已发出的磋商文件进行必要的澄清或者修改，澄清或者修改的内容作为磋商文件的组成部分</w:t>
      </w:r>
    </w:p>
    <w:p w14:paraId="1297E0EE">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2、澄清或者修改的内容可能影响响应文件编制的，采购人、采购代理机构在提交首次响应文件截止时间至少5日前，在原公告发布媒体上发布更正公告通知所有获取磋商文件的供应商；不足5日的，采购人、采购代理机构</w:t>
      </w:r>
      <w:r>
        <w:rPr>
          <w:rFonts w:hint="eastAsia" w:ascii="宋体" w:hAnsi="宋体" w:eastAsia="宋体" w:cs="宋体"/>
          <w:color w:val="auto"/>
          <w:sz w:val="24"/>
          <w:szCs w:val="24"/>
          <w:lang w:val="en-US" w:eastAsia="zh-CN"/>
        </w:rPr>
        <w:t>将</w:t>
      </w:r>
      <w:r>
        <w:rPr>
          <w:rFonts w:hint="eastAsia" w:ascii="宋体" w:hAnsi="宋体" w:eastAsia="宋体" w:cs="宋体"/>
          <w:color w:val="auto"/>
          <w:sz w:val="24"/>
          <w:szCs w:val="24"/>
        </w:rPr>
        <w:t>顺延提交首次响应文件截止时间。</w:t>
      </w:r>
    </w:p>
    <w:p w14:paraId="11BB174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各供应商在提交响应文件截止时间之前，应随时关注下列地址发布的变更公告，也可登录全国公共资源交易平台（陕西省）政府采购交易系统查看左上角的信息提醒，采购代理机构不再单独通知，因供应商未及时关注所造成的一切后果由供应商自行承担：</w:t>
      </w:r>
    </w:p>
    <w:p w14:paraId="240E337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"http://www.ccgp-shaanxi.gov.cn" </w:instrText>
      </w:r>
      <w:r>
        <w:rPr>
          <w:rFonts w:hint="eastAsia" w:ascii="宋体" w:hAnsi="宋体" w:eastAsia="宋体" w:cs="宋体"/>
          <w:color w:val="auto"/>
          <w:sz w:val="24"/>
          <w:szCs w:val="24"/>
        </w:rPr>
        <w:fldChar w:fldCharType="separate"/>
      </w:r>
      <w:r>
        <w:rPr>
          <w:rStyle w:val="28"/>
          <w:rFonts w:hint="eastAsia" w:ascii="宋体" w:hAnsi="宋体" w:eastAsia="宋体" w:cs="宋体"/>
          <w:color w:val="auto"/>
          <w:sz w:val="24"/>
          <w:szCs w:val="24"/>
        </w:rPr>
        <w:t>陕西省政府采购网</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（www.ccgp-shaanxi.gov.cn）】中的〖首页·〉省级公告·〉更正公告〗；</w:t>
      </w:r>
    </w:p>
    <w:p w14:paraId="33F2947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（2）【全国公共资源交易平台（陕西省）（http://www.sxggzyjy.cn/）】中的〖首页·〉交易大厅·〉政府采购〗。</w:t>
      </w:r>
    </w:p>
    <w:p w14:paraId="10D274A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bookmarkStart w:id="71" w:name="_Toc6095"/>
      <w:bookmarkStart w:id="72" w:name="_Toc9044"/>
      <w:bookmarkStart w:id="73" w:name="_Toc27379"/>
      <w:bookmarkStart w:id="74" w:name="_Toc4045"/>
      <w:r>
        <w:rPr>
          <w:rFonts w:hint="eastAsia" w:ascii="宋体" w:hAnsi="宋体" w:eastAsia="宋体" w:cs="宋体"/>
          <w:color w:val="auto"/>
          <w:sz w:val="24"/>
          <w:szCs w:val="24"/>
        </w:rPr>
        <w:t>（四）竞争性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文件的解释权归采购代理机构。</w:t>
      </w:r>
      <w:bookmarkEnd w:id="71"/>
      <w:bookmarkEnd w:id="72"/>
      <w:bookmarkEnd w:id="73"/>
      <w:bookmarkEnd w:id="74"/>
    </w:p>
    <w:p w14:paraId="24446A48">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bookmarkStart w:id="75" w:name="_Toc48834448"/>
      <w:bookmarkStart w:id="76" w:name="_Toc48834527"/>
      <w:bookmarkStart w:id="77" w:name="_Toc48834089"/>
      <w:bookmarkStart w:id="78" w:name="_Toc48834159"/>
      <w:bookmarkStart w:id="79" w:name="_Toc23774"/>
      <w:bookmarkStart w:id="80" w:name="_Toc48834286"/>
      <w:r>
        <w:rPr>
          <w:rFonts w:hint="eastAsia" w:ascii="宋体" w:hAnsi="宋体" w:eastAsia="宋体" w:cs="宋体"/>
          <w:b/>
          <w:bCs/>
          <w:color w:val="auto"/>
          <w:sz w:val="24"/>
          <w:szCs w:val="24"/>
        </w:rPr>
        <w:t>四、投标保证金</w:t>
      </w:r>
      <w:bookmarkEnd w:id="75"/>
      <w:bookmarkEnd w:id="76"/>
      <w:bookmarkEnd w:id="77"/>
      <w:bookmarkEnd w:id="78"/>
      <w:bookmarkEnd w:id="79"/>
      <w:bookmarkEnd w:id="80"/>
    </w:p>
    <w:p w14:paraId="6F5B309E">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bookmarkStart w:id="81" w:name="_Toc31398"/>
      <w:bookmarkStart w:id="82" w:name="_Toc6322"/>
      <w:bookmarkStart w:id="83" w:name="_Toc26951"/>
      <w:bookmarkStart w:id="84" w:name="_Toc30183"/>
      <w:r>
        <w:rPr>
          <w:rFonts w:hint="eastAsia" w:ascii="宋体" w:hAnsi="宋体" w:eastAsia="宋体" w:cs="宋体"/>
          <w:color w:val="auto"/>
          <w:sz w:val="24"/>
          <w:szCs w:val="24"/>
        </w:rPr>
        <w:t>（一）投标保证金的交纳</w:t>
      </w:r>
      <w:bookmarkEnd w:id="81"/>
      <w:bookmarkEnd w:id="82"/>
      <w:bookmarkEnd w:id="83"/>
      <w:bookmarkEnd w:id="84"/>
    </w:p>
    <w:p w14:paraId="45C5928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rPr>
      </w:pPr>
      <w:bookmarkStart w:id="85" w:name="_Toc19969"/>
      <w:bookmarkStart w:id="86" w:name="_Toc32650"/>
      <w:bookmarkStart w:id="87" w:name="_Toc3906"/>
      <w:bookmarkStart w:id="88" w:name="_Toc16718"/>
      <w:r>
        <w:rPr>
          <w:rFonts w:hint="eastAsia" w:ascii="宋体" w:hAnsi="宋体" w:eastAsia="宋体" w:cs="宋体"/>
          <w:color w:val="auto"/>
          <w:sz w:val="24"/>
          <w:szCs w:val="24"/>
        </w:rPr>
        <w:t>1、</w:t>
      </w:r>
      <w:bookmarkEnd w:id="85"/>
      <w:bookmarkEnd w:id="86"/>
      <w:bookmarkEnd w:id="87"/>
      <w:bookmarkEnd w:id="88"/>
      <w:r>
        <w:rPr>
          <w:rFonts w:hint="eastAsia" w:ascii="宋体" w:hAnsi="宋体" w:eastAsia="宋体" w:cs="宋体"/>
          <w:color w:val="auto"/>
          <w:sz w:val="24"/>
          <w:szCs w:val="24"/>
          <w:lang w:val="en-US" w:eastAsia="zh-CN"/>
        </w:rPr>
        <w:t>执行榆政财采发【2023】8号文，提交投标信用承诺代替投标保证金。</w:t>
      </w:r>
    </w:p>
    <w:p w14:paraId="27D4048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val="zh-CN"/>
        </w:rPr>
        <w:t>、供应商有下列情形之一的，</w:t>
      </w:r>
      <w:r>
        <w:rPr>
          <w:rFonts w:hint="eastAsia" w:ascii="宋体" w:hAnsi="宋体" w:eastAsia="宋体" w:cs="宋体"/>
          <w:color w:val="auto"/>
          <w:sz w:val="24"/>
          <w:szCs w:val="24"/>
          <w:lang w:val="en-US" w:eastAsia="zh-CN"/>
        </w:rPr>
        <w:t>将被列入《信用中国》</w:t>
      </w:r>
      <w:r>
        <w:rPr>
          <w:rFonts w:hint="eastAsia" w:ascii="宋体" w:hAnsi="宋体" w:eastAsia="宋体" w:cs="宋体"/>
          <w:color w:val="auto"/>
          <w:sz w:val="24"/>
          <w:szCs w:val="24"/>
        </w:rPr>
        <w:t>失信被执行人、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中国政府采购网》</w:t>
      </w:r>
      <w:r>
        <w:rPr>
          <w:rFonts w:hint="eastAsia" w:ascii="宋体" w:hAnsi="宋体" w:eastAsia="宋体" w:cs="宋体"/>
          <w:color w:val="auto"/>
          <w:sz w:val="24"/>
          <w:szCs w:val="24"/>
        </w:rPr>
        <w:t>政府采购严重违法失信行为记录名单</w:t>
      </w:r>
      <w:r>
        <w:rPr>
          <w:rFonts w:hint="eastAsia" w:ascii="宋体" w:hAnsi="宋体" w:eastAsia="宋体" w:cs="宋体"/>
          <w:color w:val="auto"/>
          <w:sz w:val="24"/>
          <w:szCs w:val="24"/>
          <w:lang w:val="en-US" w:eastAsia="zh-CN"/>
        </w:rPr>
        <w:t>用户</w:t>
      </w:r>
      <w:r>
        <w:rPr>
          <w:rFonts w:hint="eastAsia" w:ascii="宋体" w:hAnsi="宋体" w:eastAsia="宋体" w:cs="宋体"/>
          <w:color w:val="auto"/>
          <w:sz w:val="24"/>
          <w:szCs w:val="24"/>
          <w:lang w:val="zh-CN"/>
        </w:rPr>
        <w:t>：</w:t>
      </w:r>
    </w:p>
    <w:p w14:paraId="626A777B">
      <w:pPr>
        <w:keepNext w:val="0"/>
        <w:keepLines w:val="0"/>
        <w:pageBreakBefore w:val="0"/>
        <w:widowControl w:val="0"/>
        <w:numPr>
          <w:ilvl w:val="0"/>
          <w:numId w:val="6"/>
        </w:numPr>
        <w:kinsoku/>
        <w:wordWrap w:val="0"/>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供应商在提交响应文件截止时间后撤回响应文件的；</w:t>
      </w:r>
    </w:p>
    <w:p w14:paraId="595E7A99">
      <w:pPr>
        <w:keepNext w:val="0"/>
        <w:keepLines w:val="0"/>
        <w:pageBreakBefore w:val="0"/>
        <w:widowControl w:val="0"/>
        <w:numPr>
          <w:ilvl w:val="0"/>
          <w:numId w:val="6"/>
        </w:numPr>
        <w:kinsoku/>
        <w:wordWrap w:val="0"/>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供应商在响应文件中提供虚假材料的；</w:t>
      </w:r>
    </w:p>
    <w:p w14:paraId="6F210036">
      <w:pPr>
        <w:keepNext w:val="0"/>
        <w:keepLines w:val="0"/>
        <w:pageBreakBefore w:val="0"/>
        <w:widowControl w:val="0"/>
        <w:numPr>
          <w:ilvl w:val="0"/>
          <w:numId w:val="6"/>
        </w:numPr>
        <w:kinsoku/>
        <w:wordWrap w:val="0"/>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除因不可抗力或磋商文件认可的情形以外，成交供应商不与采购人签订合同的；</w:t>
      </w:r>
    </w:p>
    <w:p w14:paraId="70F37ACF">
      <w:pPr>
        <w:keepNext w:val="0"/>
        <w:keepLines w:val="0"/>
        <w:pageBreakBefore w:val="0"/>
        <w:widowControl w:val="0"/>
        <w:numPr>
          <w:ilvl w:val="0"/>
          <w:numId w:val="6"/>
        </w:numPr>
        <w:kinsoku/>
        <w:wordWrap w:val="0"/>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供应商与采购人、其他供应商或者采购代理机构恶意串通的；</w:t>
      </w:r>
    </w:p>
    <w:p w14:paraId="6AE4BB5F">
      <w:pPr>
        <w:keepNext w:val="0"/>
        <w:keepLines w:val="0"/>
        <w:pageBreakBefore w:val="0"/>
        <w:widowControl w:val="0"/>
        <w:numPr>
          <w:ilvl w:val="0"/>
          <w:numId w:val="6"/>
        </w:numPr>
        <w:kinsoku/>
        <w:wordWrap w:val="0"/>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磋商文件规定的其他情形。</w:t>
      </w:r>
    </w:p>
    <w:p w14:paraId="1DBC6A95">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bookmarkStart w:id="89" w:name="_Toc48834528"/>
      <w:bookmarkStart w:id="90" w:name="_Toc48834287"/>
      <w:bookmarkStart w:id="91" w:name="_Toc48834160"/>
      <w:bookmarkStart w:id="92" w:name="_Toc16421"/>
      <w:bookmarkStart w:id="93" w:name="_Toc48834090"/>
      <w:bookmarkStart w:id="94" w:name="_Toc48834449"/>
      <w:r>
        <w:rPr>
          <w:rFonts w:hint="eastAsia" w:ascii="宋体" w:hAnsi="宋体" w:eastAsia="宋体" w:cs="宋体"/>
          <w:b/>
          <w:bCs/>
          <w:color w:val="auto"/>
          <w:sz w:val="24"/>
          <w:szCs w:val="24"/>
        </w:rPr>
        <w:t>五、投标报价</w:t>
      </w:r>
      <w:bookmarkEnd w:id="89"/>
      <w:bookmarkEnd w:id="90"/>
      <w:bookmarkEnd w:id="91"/>
      <w:bookmarkEnd w:id="92"/>
      <w:bookmarkEnd w:id="93"/>
      <w:bookmarkEnd w:id="94"/>
    </w:p>
    <w:p w14:paraId="51CC259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投标报价是供应商响应招标项目要求的全部工作内容的价格体现，包括完成采购内容所需的直接费、间接费、利润、税金及其它相关的一切费用。供应商在报价时应充分考虑所有可能发生的费用，竞争性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文件未列明，而供应商认为应当计取的费用均应列入报价中。报价时不论是否计取，采购人均按已计取对待。</w:t>
      </w:r>
    </w:p>
    <w:p w14:paraId="6010BE0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（一）供应商应严格按照《响应文件构成及格式》中《开标一览表》中的相关要求填写分类报价及其他需要响应的内容。</w:t>
      </w:r>
    </w:p>
    <w:p w14:paraId="7F562712">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（二）投标报价货币：人民币；单位：元。</w:t>
      </w:r>
    </w:p>
    <w:p w14:paraId="4BB7563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（三）投标报价只能提交唯一报价，并且在合同履行过程中是固定不变的，任何有选择的报价将不予接受，按无效投标处理。</w:t>
      </w:r>
    </w:p>
    <w:p w14:paraId="2E59963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（四）投标报价应遵守《中华人民共和国价格法》，供应商不得以低于成本的报价参与投标。</w:t>
      </w:r>
    </w:p>
    <w:p w14:paraId="36ED5B52">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（五）响应文件报价出现前后不一致的，除竞争性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文件另有规定外，按照下列规定修正：</w:t>
      </w:r>
    </w:p>
    <w:p w14:paraId="3CB0BB3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1、响应文件中开标一览表内容与响应文件中相应内容不一致的，以开标一览表为准；</w:t>
      </w:r>
    </w:p>
    <w:p w14:paraId="450D24A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2、大写金额和小写金额不一致的，以大写金额为准；</w:t>
      </w:r>
    </w:p>
    <w:p w14:paraId="771AC8B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3、单价金额小数点或者百分比有明显错位的，以开标一览表的总价为准，并修改单价；</w:t>
      </w:r>
    </w:p>
    <w:p w14:paraId="796D409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4、总价金额与按单价汇总金额不一致的，以单价金额计算结果为准；</w:t>
      </w:r>
    </w:p>
    <w:p w14:paraId="207E9DE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同时出现两种以上不一致的，按照前款规定的顺序修正。修正后的报价经供应商确认后产生约束力，供应商不确认的，其投标无效。</w:t>
      </w:r>
    </w:p>
    <w:p w14:paraId="6116C746">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（六）因供应商对竞争性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文件理解不透、误解、疏漏或对市场行情了解不清造成的后果和风险，均由供应商自己负责。</w:t>
      </w:r>
    </w:p>
    <w:p w14:paraId="3B22BF7F">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bookmarkStart w:id="95" w:name="_Toc48834450"/>
      <w:bookmarkStart w:id="96" w:name="_Toc48834161"/>
      <w:bookmarkStart w:id="97" w:name="_Toc48834529"/>
      <w:bookmarkStart w:id="98" w:name="_Toc48834288"/>
      <w:bookmarkStart w:id="99" w:name="_Toc31048"/>
      <w:bookmarkStart w:id="100" w:name="_Toc48834091"/>
      <w:r>
        <w:rPr>
          <w:rFonts w:hint="eastAsia" w:ascii="宋体" w:hAnsi="宋体" w:eastAsia="宋体" w:cs="宋体"/>
          <w:b/>
          <w:bCs/>
          <w:color w:val="auto"/>
          <w:sz w:val="24"/>
          <w:szCs w:val="24"/>
        </w:rPr>
        <w:t>六、响应文件</w:t>
      </w:r>
      <w:bookmarkEnd w:id="95"/>
      <w:bookmarkEnd w:id="96"/>
      <w:bookmarkEnd w:id="97"/>
      <w:bookmarkEnd w:id="98"/>
      <w:bookmarkEnd w:id="99"/>
      <w:bookmarkEnd w:id="100"/>
    </w:p>
    <w:p w14:paraId="5F083F6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eastAsia="zh-CN"/>
        </w:rPr>
      </w:pPr>
      <w:bookmarkStart w:id="101" w:name="OLE_LINK12"/>
      <w:r>
        <w:rPr>
          <w:rFonts w:hint="eastAsia" w:ascii="宋体" w:hAnsi="宋体" w:eastAsia="宋体" w:cs="宋体"/>
          <w:color w:val="000000"/>
          <w:sz w:val="24"/>
          <w:szCs w:val="24"/>
          <w:lang w:eastAsia="zh-CN"/>
        </w:rPr>
        <w:t>响应文件份数见供应商须知前附表；</w:t>
      </w:r>
    </w:p>
    <w:bookmarkEnd w:id="101"/>
    <w:p w14:paraId="42421EF2">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供应商应仔细阅读磋商文件中的所有事项、格式、条款和要求，对</w:t>
      </w:r>
      <w:r>
        <w:rPr>
          <w:rFonts w:hint="eastAsia" w:ascii="宋体" w:hAnsi="宋体" w:eastAsia="宋体" w:cs="宋体"/>
          <w:color w:val="000000"/>
          <w:sz w:val="24"/>
          <w:szCs w:val="24"/>
          <w:lang w:val="en-US" w:eastAsia="zh-CN"/>
        </w:rPr>
        <w:t>磋商</w:t>
      </w:r>
      <w:r>
        <w:rPr>
          <w:rFonts w:hint="eastAsia" w:ascii="宋体" w:hAnsi="宋体" w:eastAsia="宋体" w:cs="宋体"/>
          <w:color w:val="000000"/>
          <w:sz w:val="24"/>
          <w:szCs w:val="24"/>
          <w:lang w:val="zh-CN" w:eastAsia="zh-CN"/>
        </w:rPr>
        <w:t>文件的全部内容及要求作出实质性响应，并提交相应资料。</w:t>
      </w:r>
    </w:p>
    <w:p w14:paraId="24E32A3E">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（二）响应文件有效期</w:t>
      </w:r>
    </w:p>
    <w:p w14:paraId="79A0450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响应文件有效期</w:t>
      </w:r>
      <w:r>
        <w:rPr>
          <w:rFonts w:hint="eastAsia" w:ascii="宋体" w:hAnsi="宋体" w:eastAsia="宋体" w:cs="宋体"/>
          <w:color w:val="000000"/>
          <w:sz w:val="24"/>
          <w:szCs w:val="24"/>
          <w:lang w:val="en-US" w:eastAsia="zh-CN"/>
        </w:rPr>
        <w:t>见供应商须知前附表</w:t>
      </w:r>
      <w:r>
        <w:rPr>
          <w:rFonts w:hint="eastAsia" w:ascii="宋体" w:hAnsi="宋体" w:eastAsia="宋体" w:cs="宋体"/>
          <w:color w:val="000000"/>
          <w:sz w:val="24"/>
          <w:szCs w:val="24"/>
        </w:rPr>
        <w:t>。如</w:t>
      </w:r>
      <w:r>
        <w:rPr>
          <w:rFonts w:hint="eastAsia" w:ascii="宋体" w:hAnsi="宋体" w:eastAsia="宋体" w:cs="宋体"/>
          <w:color w:val="000000"/>
          <w:sz w:val="24"/>
          <w:szCs w:val="24"/>
          <w:lang w:val="zh-CN"/>
        </w:rPr>
        <w:t>成交</w:t>
      </w:r>
      <w:r>
        <w:rPr>
          <w:rFonts w:hint="eastAsia" w:ascii="宋体" w:hAnsi="宋体" w:eastAsia="宋体" w:cs="宋体"/>
          <w:color w:val="000000"/>
          <w:sz w:val="24"/>
          <w:szCs w:val="24"/>
        </w:rPr>
        <w:t>，延长至合同执行完毕时止。</w:t>
      </w:r>
    </w:p>
    <w:p w14:paraId="6AEFFD25">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（三）响应文件的提交</w:t>
      </w:r>
    </w:p>
    <w:p w14:paraId="06D84F0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响应文件提交见供应商须知前附表；</w:t>
      </w:r>
    </w:p>
    <w:p w14:paraId="0D5D6486">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（四）响应文件的</w:t>
      </w:r>
      <w:r>
        <w:rPr>
          <w:rFonts w:hint="eastAsia" w:ascii="宋体" w:hAnsi="宋体" w:eastAsia="宋体" w:cs="宋体"/>
          <w:color w:val="000000"/>
          <w:sz w:val="24"/>
          <w:szCs w:val="24"/>
          <w:lang w:val="en-US" w:eastAsia="zh-CN"/>
        </w:rPr>
        <w:t>签字、盖章及</w:t>
      </w:r>
      <w:r>
        <w:rPr>
          <w:rFonts w:hint="eastAsia" w:ascii="宋体" w:hAnsi="宋体" w:eastAsia="宋体" w:cs="宋体"/>
          <w:color w:val="000000"/>
          <w:sz w:val="24"/>
          <w:szCs w:val="24"/>
          <w:lang w:eastAsia="zh-CN"/>
        </w:rPr>
        <w:t>补充、修改和撤回</w:t>
      </w:r>
    </w:p>
    <w:p w14:paraId="143AC914">
      <w:pPr>
        <w:keepNext w:val="0"/>
        <w:keepLines w:val="0"/>
        <w:pageBreakBefore w:val="0"/>
        <w:widowControl w:val="0"/>
        <w:numPr>
          <w:ilvl w:val="0"/>
          <w:numId w:val="7"/>
        </w:numPr>
        <w:kinsoku/>
        <w:wordWrap w:val="0"/>
        <w:overflowPunct/>
        <w:topLinePunct w:val="0"/>
        <w:autoSpaceDE/>
        <w:autoSpaceDN/>
        <w:bidi w:val="0"/>
        <w:adjustRightInd/>
        <w:snapToGrid/>
        <w:spacing w:line="360" w:lineRule="auto"/>
        <w:ind w:left="0" w:leftChars="0" w:firstLine="40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须按第六章响应文件的格式编写响应文件，响应文件在写有供应商名称的地方均须加盖供应商原色印章、在写有“法定代表人、法定代表人或其授权委托人”的地方均应有其亲笔签名；“投标信用承诺书”要求加盖供应商公章、法定代表人的亲笔签名并盖法定代表人印章；“法定代表人授权委托书”应有法定代表人、被授权人的亲笔签名。</w:t>
      </w:r>
    </w:p>
    <w:p w14:paraId="0C9B8191">
      <w:pPr>
        <w:keepNext w:val="0"/>
        <w:keepLines w:val="0"/>
        <w:pageBreakBefore w:val="0"/>
        <w:widowControl w:val="0"/>
        <w:numPr>
          <w:ilvl w:val="0"/>
          <w:numId w:val="7"/>
        </w:numPr>
        <w:kinsoku/>
        <w:wordWrap w:val="0"/>
        <w:overflowPunct/>
        <w:topLinePunct w:val="0"/>
        <w:autoSpaceDE/>
        <w:autoSpaceDN/>
        <w:bidi w:val="0"/>
        <w:adjustRightInd/>
        <w:snapToGrid/>
        <w:spacing w:line="360" w:lineRule="auto"/>
        <w:ind w:left="0" w:leftChars="0" w:firstLine="40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供应商在递交响应文件后，且在提交响应文件截止时间前，可以对所提交的响应文件进行补充、修改或撤回。</w:t>
      </w:r>
    </w:p>
    <w:p w14:paraId="21D286BD">
      <w:pPr>
        <w:keepNext w:val="0"/>
        <w:keepLines w:val="0"/>
        <w:pageBreakBefore w:val="0"/>
        <w:widowControl w:val="0"/>
        <w:numPr>
          <w:ilvl w:val="0"/>
          <w:numId w:val="7"/>
        </w:numPr>
        <w:kinsoku/>
        <w:wordWrap w:val="0"/>
        <w:overflowPunct/>
        <w:topLinePunct w:val="0"/>
        <w:autoSpaceDE/>
        <w:autoSpaceDN/>
        <w:bidi w:val="0"/>
        <w:adjustRightInd/>
        <w:snapToGrid/>
        <w:spacing w:line="360" w:lineRule="auto"/>
        <w:ind w:left="0" w:leftChars="0" w:firstLine="40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响应文件提交截止时间后，供应商不得对其响应文件做任何修改。</w:t>
      </w:r>
    </w:p>
    <w:p w14:paraId="179DC08A">
      <w:pPr>
        <w:keepNext w:val="0"/>
        <w:keepLines w:val="0"/>
        <w:pageBreakBefore w:val="0"/>
        <w:widowControl w:val="0"/>
        <w:numPr>
          <w:ilvl w:val="0"/>
          <w:numId w:val="7"/>
        </w:numPr>
        <w:kinsoku/>
        <w:wordWrap w:val="0"/>
        <w:overflowPunct/>
        <w:topLinePunct w:val="0"/>
        <w:autoSpaceDE/>
        <w:autoSpaceDN/>
        <w:bidi w:val="0"/>
        <w:adjustRightInd/>
        <w:snapToGrid/>
        <w:spacing w:line="360" w:lineRule="auto"/>
        <w:ind w:left="0" w:leftChars="0" w:firstLine="40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供应商在提交响应文件截止时间后撤回响应文件的，</w:t>
      </w:r>
      <w:r>
        <w:rPr>
          <w:rFonts w:hint="eastAsia" w:ascii="宋体" w:hAnsi="宋体" w:eastAsia="宋体" w:cs="宋体"/>
          <w:color w:val="auto"/>
          <w:sz w:val="24"/>
          <w:szCs w:val="24"/>
          <w:lang w:val="en-US" w:eastAsia="zh-CN"/>
        </w:rPr>
        <w:t>按投标信用承诺相关条款给予处罚</w:t>
      </w:r>
      <w:r>
        <w:rPr>
          <w:rFonts w:hint="eastAsia" w:ascii="宋体" w:hAnsi="宋体" w:eastAsia="宋体" w:cs="宋体"/>
          <w:color w:val="auto"/>
          <w:sz w:val="24"/>
          <w:szCs w:val="24"/>
        </w:rPr>
        <w:t>。</w:t>
      </w:r>
    </w:p>
    <w:p w14:paraId="726FFE26">
      <w:pPr>
        <w:keepNext w:val="0"/>
        <w:keepLines w:val="0"/>
        <w:pageBreakBefore w:val="0"/>
        <w:widowControl w:val="0"/>
        <w:kinsoku/>
        <w:wordWrap w:val="0"/>
        <w:overflowPunct/>
        <w:topLinePunct w:val="0"/>
        <w:autoSpaceDE/>
        <w:autoSpaceDN/>
        <w:bidi w:val="0"/>
        <w:adjustRightInd/>
        <w:snapToGrid/>
        <w:spacing w:before="0" w:beforeLines="100" w:line="360" w:lineRule="auto"/>
        <w:ind w:firstLine="482" w:firstLineChars="200"/>
        <w:textAlignment w:val="auto"/>
        <w:rPr>
          <w:rFonts w:hint="eastAsia" w:ascii="宋体" w:hAnsi="宋体" w:eastAsia="宋体" w:cs="宋体"/>
          <w:b/>
          <w:bCs/>
          <w:color w:val="auto"/>
          <w:sz w:val="24"/>
          <w:szCs w:val="24"/>
        </w:rPr>
      </w:pPr>
      <w:bookmarkStart w:id="102" w:name="_Toc21349"/>
      <w:bookmarkStart w:id="103" w:name="_Toc48834289"/>
      <w:bookmarkStart w:id="104" w:name="_Toc48834092"/>
      <w:bookmarkStart w:id="105" w:name="_Toc48834530"/>
      <w:bookmarkStart w:id="106" w:name="_Toc14082125"/>
      <w:bookmarkStart w:id="107" w:name="_Toc48834162"/>
      <w:bookmarkStart w:id="108" w:name="_Toc48834451"/>
      <w:r>
        <w:rPr>
          <w:rFonts w:hint="eastAsia" w:ascii="宋体" w:hAnsi="宋体" w:eastAsia="宋体" w:cs="宋体"/>
          <w:b/>
          <w:bCs/>
          <w:color w:val="auto"/>
          <w:sz w:val="24"/>
          <w:szCs w:val="24"/>
        </w:rPr>
        <w:t>七、组织开标</w:t>
      </w:r>
      <w:bookmarkEnd w:id="102"/>
      <w:bookmarkEnd w:id="103"/>
      <w:bookmarkEnd w:id="104"/>
      <w:bookmarkEnd w:id="105"/>
      <w:bookmarkEnd w:id="106"/>
      <w:bookmarkEnd w:id="107"/>
      <w:bookmarkEnd w:id="108"/>
    </w:p>
    <w:p w14:paraId="07E0C2AA">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bookmarkStart w:id="109" w:name="_Toc48834093"/>
      <w:bookmarkStart w:id="110" w:name="_Toc14082126"/>
      <w:bookmarkStart w:id="111" w:name="_Toc48834531"/>
      <w:bookmarkStart w:id="112" w:name="_Toc48834290"/>
      <w:bookmarkStart w:id="113" w:name="_Toc26927"/>
      <w:bookmarkStart w:id="114" w:name="_Toc48834452"/>
      <w:bookmarkStart w:id="115" w:name="_Toc48834163"/>
      <w:bookmarkStart w:id="116" w:name="_Toc48834095"/>
      <w:bookmarkStart w:id="117" w:name="_Toc14917"/>
      <w:bookmarkStart w:id="118" w:name="_Toc48834292"/>
      <w:bookmarkStart w:id="119" w:name="_Toc48834165"/>
      <w:bookmarkStart w:id="120" w:name="_Toc48834533"/>
      <w:bookmarkStart w:id="121" w:name="_Toc48834454"/>
      <w:r>
        <w:rPr>
          <w:rFonts w:hint="eastAsia" w:ascii="宋体" w:hAnsi="宋体" w:eastAsia="宋体" w:cs="宋体"/>
          <w:color w:val="000000"/>
          <w:sz w:val="24"/>
          <w:szCs w:val="24"/>
        </w:rPr>
        <w:t>（一）采购代理机构组织招标、开标、评标工作，整个过程受政府采购监管机构的监督、管理。</w:t>
      </w:r>
    </w:p>
    <w:p w14:paraId="32093F5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（二）采购代理机构在竞争性</w:t>
      </w:r>
      <w:r>
        <w:rPr>
          <w:rFonts w:hint="eastAsia" w:ascii="宋体" w:hAnsi="宋体" w:eastAsia="宋体" w:cs="宋体"/>
          <w:color w:val="000000"/>
          <w:sz w:val="24"/>
          <w:szCs w:val="24"/>
          <w:lang w:val="en-US" w:eastAsia="zh-CN"/>
        </w:rPr>
        <w:t>磋商</w:t>
      </w:r>
      <w:r>
        <w:rPr>
          <w:rFonts w:hint="eastAsia" w:ascii="宋体" w:hAnsi="宋体" w:eastAsia="宋体" w:cs="宋体"/>
          <w:color w:val="000000"/>
          <w:sz w:val="24"/>
          <w:szCs w:val="24"/>
        </w:rPr>
        <w:t>文件规定的时间和地点组织开标，供应商必须派</w:t>
      </w:r>
      <w:r>
        <w:rPr>
          <w:rFonts w:hint="eastAsia" w:ascii="宋体" w:hAnsi="宋体" w:eastAsia="宋体" w:cs="宋体"/>
          <w:color w:val="000000"/>
          <w:sz w:val="24"/>
          <w:szCs w:val="24"/>
          <w:lang w:eastAsia="zh-CN"/>
        </w:rPr>
        <w:t>法定代表人/负责人</w:t>
      </w:r>
      <w:r>
        <w:rPr>
          <w:rFonts w:hint="eastAsia" w:ascii="宋体" w:hAnsi="宋体" w:eastAsia="宋体" w:cs="宋体"/>
          <w:color w:val="000000"/>
          <w:sz w:val="24"/>
          <w:szCs w:val="24"/>
        </w:rPr>
        <w:t>或授权代表参加，并签名报到</w:t>
      </w:r>
      <w:r>
        <w:rPr>
          <w:rFonts w:hint="eastAsia" w:ascii="宋体" w:hAnsi="宋体" w:eastAsia="宋体" w:cs="宋体"/>
          <w:color w:val="000000"/>
          <w:sz w:val="24"/>
          <w:szCs w:val="24"/>
          <w:lang w:val="en-US" w:eastAsia="zh-CN"/>
        </w:rPr>
        <w:t>以证明其出席</w:t>
      </w:r>
      <w:r>
        <w:rPr>
          <w:rFonts w:hint="eastAsia" w:ascii="宋体" w:hAnsi="宋体" w:eastAsia="宋体" w:cs="宋体"/>
          <w:color w:val="000000"/>
          <w:sz w:val="24"/>
          <w:szCs w:val="24"/>
        </w:rPr>
        <w:t>。</w:t>
      </w:r>
    </w:p>
    <w:p w14:paraId="6BDA428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供应商不足3家的，不得开标。</w:t>
      </w:r>
    </w:p>
    <w:p w14:paraId="6250B65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三</w:t>
      </w:r>
      <w:r>
        <w:rPr>
          <w:rFonts w:hint="eastAsia" w:ascii="宋体" w:hAnsi="宋体" w:eastAsia="宋体" w:cs="宋体"/>
          <w:color w:val="000000"/>
          <w:sz w:val="24"/>
          <w:szCs w:val="24"/>
        </w:rPr>
        <w:t>）开标</w:t>
      </w:r>
      <w:r>
        <w:rPr>
          <w:rFonts w:hint="eastAsia" w:ascii="宋体" w:hAnsi="宋体" w:eastAsia="宋体" w:cs="宋体"/>
          <w:color w:val="000000"/>
          <w:sz w:val="24"/>
          <w:szCs w:val="24"/>
          <w:lang w:val="en-US" w:eastAsia="zh-CN"/>
        </w:rPr>
        <w:t>前</w:t>
      </w:r>
      <w:r>
        <w:rPr>
          <w:rFonts w:hint="eastAsia" w:ascii="宋体" w:hAnsi="宋体" w:eastAsia="宋体" w:cs="宋体"/>
          <w:color w:val="000000"/>
          <w:sz w:val="24"/>
          <w:szCs w:val="24"/>
        </w:rPr>
        <w:t>参加开标的各供应商代表签到，参加开标的采购人及采购代理机构工作人员签到，所有资料随竞争性</w:t>
      </w:r>
      <w:r>
        <w:rPr>
          <w:rFonts w:hint="eastAsia" w:ascii="宋体" w:hAnsi="宋体" w:eastAsia="宋体" w:cs="宋体"/>
          <w:color w:val="000000"/>
          <w:sz w:val="24"/>
          <w:szCs w:val="24"/>
          <w:lang w:val="en-US" w:eastAsia="zh-CN"/>
        </w:rPr>
        <w:t>磋商</w:t>
      </w:r>
      <w:r>
        <w:rPr>
          <w:rFonts w:hint="eastAsia" w:ascii="宋体" w:hAnsi="宋体" w:eastAsia="宋体" w:cs="宋体"/>
          <w:color w:val="000000"/>
          <w:sz w:val="24"/>
          <w:szCs w:val="24"/>
        </w:rPr>
        <w:t>文件一并存档。</w:t>
      </w:r>
    </w:p>
    <w:p w14:paraId="72743892">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四</w:t>
      </w:r>
      <w:r>
        <w:rPr>
          <w:rFonts w:hint="eastAsia" w:ascii="宋体" w:hAnsi="宋体" w:eastAsia="宋体" w:cs="宋体"/>
          <w:color w:val="000000"/>
          <w:sz w:val="24"/>
          <w:szCs w:val="24"/>
        </w:rPr>
        <w:t>）投标供应商对开标过程有疑义，以及认为采购人、采购代理机构相关工作人员有需要回避情形的，应在开标</w:t>
      </w:r>
      <w:r>
        <w:rPr>
          <w:rFonts w:hint="eastAsia" w:ascii="宋体" w:hAnsi="宋体" w:eastAsia="宋体" w:cs="宋体"/>
          <w:color w:val="000000"/>
          <w:sz w:val="24"/>
          <w:szCs w:val="24"/>
          <w:lang w:val="en-US" w:eastAsia="zh-CN"/>
        </w:rPr>
        <w:t>时</w:t>
      </w:r>
      <w:r>
        <w:rPr>
          <w:rFonts w:hint="eastAsia" w:ascii="宋体" w:hAnsi="宋体" w:eastAsia="宋体" w:cs="宋体"/>
          <w:color w:val="000000"/>
          <w:sz w:val="24"/>
          <w:szCs w:val="24"/>
        </w:rPr>
        <w:t>提出询问或回避申请，采购人、采购代理机构应当及时处理。</w:t>
      </w:r>
    </w:p>
    <w:p w14:paraId="07A705DC">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五</w:t>
      </w:r>
      <w:r>
        <w:rPr>
          <w:rFonts w:hint="eastAsia" w:ascii="宋体" w:hAnsi="宋体" w:eastAsia="宋体" w:cs="宋体"/>
          <w:color w:val="000000"/>
          <w:sz w:val="24"/>
          <w:szCs w:val="24"/>
        </w:rPr>
        <w:t>）投标供应商未参加开标的，视同认可开标结果。</w:t>
      </w:r>
    </w:p>
    <w:p w14:paraId="19ED8EF7">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八、资格审查</w:t>
      </w:r>
      <w:bookmarkEnd w:id="109"/>
      <w:bookmarkEnd w:id="110"/>
      <w:bookmarkEnd w:id="111"/>
      <w:bookmarkEnd w:id="112"/>
      <w:bookmarkEnd w:id="113"/>
      <w:bookmarkEnd w:id="114"/>
      <w:bookmarkEnd w:id="115"/>
    </w:p>
    <w:p w14:paraId="44A737A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1、满足《中华人民共和国政府采购法》第二十二条规定；</w:t>
      </w:r>
    </w:p>
    <w:p w14:paraId="133A9E8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zh-CN"/>
        </w:rPr>
        <w:t>根据</w:t>
      </w:r>
      <w:r>
        <w:rPr>
          <w:rFonts w:hint="eastAsia" w:ascii="宋体" w:hAnsi="宋体" w:eastAsia="宋体" w:cs="宋体"/>
          <w:color w:val="auto"/>
          <w:sz w:val="24"/>
          <w:szCs w:val="24"/>
        </w:rPr>
        <w:t>财库〔2019〕38号文件第三条规定，</w:t>
      </w:r>
      <w:r>
        <w:rPr>
          <w:rFonts w:hint="eastAsia" w:ascii="宋体" w:hAnsi="宋体" w:eastAsia="宋体" w:cs="宋体"/>
          <w:color w:val="auto"/>
          <w:sz w:val="24"/>
          <w:szCs w:val="24"/>
          <w:lang w:val="zh-CN"/>
        </w:rPr>
        <w:t>供应商注册情况、</w:t>
      </w:r>
      <w:r>
        <w:rPr>
          <w:rFonts w:hint="eastAsia" w:ascii="宋体" w:hAnsi="宋体" w:eastAsia="宋体" w:cs="宋体"/>
          <w:color w:val="auto"/>
          <w:sz w:val="24"/>
          <w:szCs w:val="24"/>
        </w:rPr>
        <w:t>近期</w:t>
      </w:r>
      <w:r>
        <w:rPr>
          <w:rFonts w:hint="eastAsia" w:ascii="宋体" w:hAnsi="宋体" w:eastAsia="宋体" w:cs="宋体"/>
          <w:color w:val="auto"/>
          <w:sz w:val="24"/>
          <w:szCs w:val="24"/>
          <w:lang w:val="zh-CN"/>
        </w:rPr>
        <w:t>依法缴纳税收情况和社会保障资金情况、信用记录情况由资格审查人现场通过网络查询，</w:t>
      </w:r>
      <w:r>
        <w:rPr>
          <w:rFonts w:hint="eastAsia" w:ascii="宋体" w:hAnsi="宋体" w:eastAsia="宋体" w:cs="宋体"/>
          <w:color w:val="auto"/>
          <w:sz w:val="24"/>
          <w:szCs w:val="24"/>
        </w:rPr>
        <w:t>供应商需提供可查询的</w:t>
      </w:r>
      <w:r>
        <w:rPr>
          <w:rFonts w:hint="eastAsia" w:ascii="宋体" w:hAnsi="宋体" w:eastAsia="宋体" w:cs="宋体"/>
          <w:color w:val="auto"/>
          <w:sz w:val="24"/>
          <w:szCs w:val="24"/>
          <w:lang w:val="en-US" w:eastAsia="zh-CN"/>
        </w:rPr>
        <w:t>证明材料</w:t>
      </w:r>
      <w:r>
        <w:rPr>
          <w:rFonts w:hint="eastAsia" w:ascii="宋体" w:hAnsi="宋体" w:eastAsia="宋体" w:cs="宋体"/>
          <w:color w:val="auto"/>
          <w:sz w:val="24"/>
          <w:szCs w:val="24"/>
        </w:rPr>
        <w:t>。</w:t>
      </w:r>
    </w:p>
    <w:p w14:paraId="26F200B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color w:val="auto"/>
          <w:sz w:val="24"/>
          <w:szCs w:val="24"/>
          <w:lang w:val="zh-CN"/>
        </w:rPr>
        <w:t>3、</w:t>
      </w:r>
      <w:r>
        <w:rPr>
          <w:rFonts w:hint="eastAsia" w:ascii="宋体" w:hAnsi="宋体" w:eastAsia="宋体" w:cs="宋体"/>
          <w:color w:val="auto"/>
          <w:sz w:val="24"/>
          <w:szCs w:val="24"/>
        </w:rPr>
        <w:t>本项目</w:t>
      </w:r>
      <w:bookmarkStart w:id="122" w:name="_Toc48834532"/>
      <w:bookmarkStart w:id="123" w:name="_Toc48834094"/>
      <w:bookmarkStart w:id="124" w:name="_Toc48834291"/>
      <w:bookmarkStart w:id="125" w:name="_Toc48834164"/>
      <w:bookmarkStart w:id="126" w:name="_Toc48834453"/>
      <w:bookmarkStart w:id="127" w:name="_Toc23906"/>
      <w:r>
        <w:rPr>
          <w:rFonts w:hint="eastAsia" w:ascii="宋体" w:hAnsi="宋体" w:eastAsia="宋体" w:cs="宋体"/>
          <w:color w:val="auto"/>
          <w:sz w:val="24"/>
          <w:szCs w:val="24"/>
          <w:lang w:val="en-US" w:eastAsia="zh-CN"/>
        </w:rPr>
        <w:t>为资格后审，由磋商小组进行审查。</w:t>
      </w:r>
    </w:p>
    <w:p w14:paraId="275332E9">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九、组织评标</w:t>
      </w:r>
      <w:bookmarkEnd w:id="122"/>
      <w:bookmarkEnd w:id="123"/>
      <w:bookmarkEnd w:id="124"/>
      <w:bookmarkEnd w:id="125"/>
      <w:bookmarkEnd w:id="126"/>
      <w:bookmarkEnd w:id="127"/>
    </w:p>
    <w:p w14:paraId="24391926">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bookmarkStart w:id="128" w:name="_Toc27001"/>
      <w:bookmarkStart w:id="129" w:name="_Toc21732"/>
      <w:bookmarkStart w:id="130" w:name="_Toc14136"/>
      <w:bookmarkStart w:id="131" w:name="_Toc6679"/>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一）</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小组负责具体评标事务，并独立履行下列职责：</w:t>
      </w:r>
      <w:bookmarkEnd w:id="128"/>
      <w:bookmarkEnd w:id="129"/>
      <w:bookmarkEnd w:id="130"/>
      <w:bookmarkEnd w:id="131"/>
    </w:p>
    <w:p w14:paraId="2BE27556">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1、严格遵守评审工作纪律，按照客观、公正、审慎的原则，根据竞争性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文件规定的评审程序、评审方法和评审标准进行独立评审；</w:t>
      </w:r>
      <w:r>
        <w:rPr>
          <w:rFonts w:hint="eastAsia" w:ascii="宋体" w:hAnsi="宋体" w:eastAsia="宋体" w:cs="宋体"/>
          <w:color w:val="auto"/>
          <w:sz w:val="24"/>
          <w:szCs w:val="24"/>
          <w:lang w:val="en-US" w:eastAsia="zh-CN"/>
        </w:rPr>
        <w:t>未实质性响应磋商文件的响应文件按无效响应处理，磋商小组应当告知提交响应文件的供应商。</w:t>
      </w:r>
    </w:p>
    <w:p w14:paraId="64443B3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2、发现竞争性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文件内容违反国家有关强制性规定或者竞争性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文件存在歧义、重大缺陷导致评审工作无法进行时，应当停止评审并向采购人或者采购代理机构书面说明情况；</w:t>
      </w:r>
    </w:p>
    <w:p w14:paraId="46901B3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3、审查、评价响应文件是否符合竞争性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文件的商务、技术等实质性要求；</w:t>
      </w:r>
    </w:p>
    <w:p w14:paraId="55C19A8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9864CC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502D260E">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、对响应文件进行比较和评价；</w:t>
      </w:r>
    </w:p>
    <w:p w14:paraId="09251385">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7、磋商文件内容违反国家有关强制性规定的，磋商小组应当停止评审并向采购人或者采购代理机构说明情况。</w:t>
      </w:r>
    </w:p>
    <w:p w14:paraId="5E104F8E">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确定成交候选人名单；</w:t>
      </w:r>
    </w:p>
    <w:p w14:paraId="3603169A">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、配合答复供应商的询问、质疑和投诉等事项,不得泄露评审文件、评审情况和在评审过程中获悉的商业秘密；</w:t>
      </w:r>
    </w:p>
    <w:p w14:paraId="40E5015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、向采购人、采购代理机构或者有关部门报告评标中发现的违法行为。</w:t>
      </w:r>
    </w:p>
    <w:p w14:paraId="6DBD3B12">
      <w:pPr>
        <w:pStyle w:val="7"/>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11、编写评标报告。</w:t>
      </w:r>
    </w:p>
    <w:p w14:paraId="4512C484">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bookmarkStart w:id="132" w:name="_Toc4951"/>
      <w:bookmarkStart w:id="133" w:name="_Toc4434"/>
      <w:bookmarkStart w:id="134" w:name="_Toc29039"/>
      <w:bookmarkStart w:id="135" w:name="_Toc932"/>
      <w:r>
        <w:rPr>
          <w:rFonts w:hint="eastAsia" w:ascii="宋体" w:hAnsi="宋体" w:eastAsia="宋体" w:cs="宋体"/>
          <w:color w:val="auto"/>
          <w:sz w:val="24"/>
          <w:szCs w:val="24"/>
        </w:rPr>
        <w:t>（二）组建</w:t>
      </w:r>
      <w:bookmarkEnd w:id="132"/>
      <w:bookmarkEnd w:id="133"/>
      <w:bookmarkEnd w:id="134"/>
      <w:bookmarkEnd w:id="135"/>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小组</w:t>
      </w:r>
    </w:p>
    <w:p w14:paraId="7008068C">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1、为了确保评标工作的公平、公正，依据政府采购法和政府采购相关法规、规章，成立</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小组。</w:t>
      </w:r>
    </w:p>
    <w:p w14:paraId="27FFF236">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2、评审专家对本单位的采购项目只能作为采购人代表参与评标。采购代理机构工作人员不得参加由本机构代理的政府采购项目的评标。</w:t>
      </w:r>
    </w:p>
    <w:p w14:paraId="4C0177E5">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小组成员名单在评标结果公告前应当保密。</w:t>
      </w:r>
    </w:p>
    <w:p w14:paraId="6324A10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4、评标专家从政府采购评审专家库内相关专业的专家名单中随机抽取。评标中因</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小组成员缺席、回避或者健康等特殊原因导致</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小组组成不符合规定的，采购代理机构应当依法补足后继续评标。被更换的</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小组成员所做出的评标意见无效。无法及时补足</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小组成员的，采购代理机构应当停止评标活动，封存所有响应文件和开标、评标资料，依法重新组建</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小组进行评标。原</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小组所做出的评标意见无效。</w:t>
      </w:r>
    </w:p>
    <w:p w14:paraId="138C958C">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bookmarkStart w:id="136" w:name="_Toc23735"/>
      <w:bookmarkStart w:id="137" w:name="_Toc21681"/>
      <w:bookmarkStart w:id="138" w:name="_Toc3980"/>
      <w:bookmarkStart w:id="139" w:name="_Toc19340"/>
      <w:r>
        <w:rPr>
          <w:rFonts w:hint="eastAsia" w:ascii="宋体" w:hAnsi="宋体" w:eastAsia="宋体" w:cs="宋体"/>
          <w:color w:val="auto"/>
          <w:sz w:val="24"/>
          <w:szCs w:val="24"/>
        </w:rPr>
        <w:t>（四）评标方法：</w:t>
      </w:r>
      <w:bookmarkEnd w:id="136"/>
      <w:bookmarkEnd w:id="137"/>
      <w:bookmarkEnd w:id="138"/>
      <w:bookmarkEnd w:id="139"/>
      <w:r>
        <w:rPr>
          <w:rFonts w:hint="eastAsia" w:ascii="宋体" w:hAnsi="宋体" w:eastAsia="宋体" w:cs="宋体"/>
          <w:color w:val="auto"/>
          <w:sz w:val="24"/>
          <w:szCs w:val="24"/>
        </w:rPr>
        <w:t>本次评审采用</w:t>
      </w:r>
      <w:r>
        <w:rPr>
          <w:rFonts w:hint="eastAsia" w:ascii="宋体" w:hAnsi="宋体" w:eastAsia="宋体" w:cs="宋体"/>
          <w:color w:val="auto"/>
          <w:sz w:val="24"/>
          <w:szCs w:val="24"/>
          <w:lang w:val="en-US" w:eastAsia="zh-CN"/>
        </w:rPr>
        <w:t>综合评分</w:t>
      </w:r>
      <w:r>
        <w:rPr>
          <w:rFonts w:hint="eastAsia" w:ascii="宋体" w:hAnsi="宋体" w:eastAsia="宋体" w:cs="宋体"/>
          <w:color w:val="auto"/>
          <w:sz w:val="24"/>
          <w:szCs w:val="24"/>
        </w:rPr>
        <w:t>法</w:t>
      </w:r>
    </w:p>
    <w:p w14:paraId="797AA717">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综合评分法，是指响应文件满足磋商文件全部实质性要求且按评审因素的量化指标评审得分最高的供应商为成交候选供应商的评审方法。</w:t>
      </w:r>
    </w:p>
    <w:p w14:paraId="2A8BB67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程序</w:t>
      </w:r>
    </w:p>
    <w:p w14:paraId="595FE0E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采取逐项分步评审方式，每一步评审不符合者，不进入下一步评审，先进行资格性审查，再进行符合性审查。</w:t>
      </w:r>
    </w:p>
    <w:p w14:paraId="43225ACA">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磋商小组所有成员</w:t>
      </w:r>
      <w:r>
        <w:rPr>
          <w:rFonts w:hint="eastAsia" w:ascii="宋体" w:hAnsi="宋体" w:eastAsia="宋体" w:cs="宋体"/>
          <w:color w:val="auto"/>
          <w:sz w:val="24"/>
          <w:szCs w:val="24"/>
          <w:lang w:val="en-US" w:eastAsia="zh-CN"/>
        </w:rPr>
        <w:t>集中与通过符合性审查的单一</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分别进行磋商，并给予所有参加磋商的</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平等的磋商机会。磋商过程中所有</w:t>
      </w:r>
      <w:r>
        <w:rPr>
          <w:rFonts w:hint="eastAsia" w:ascii="宋体" w:hAnsi="宋体" w:eastAsia="宋体" w:cs="宋体"/>
          <w:color w:val="auto"/>
          <w:sz w:val="24"/>
          <w:szCs w:val="24"/>
          <w:lang w:val="en-US" w:eastAsia="zh-CN"/>
        </w:rPr>
        <w:t>供应</w:t>
      </w:r>
      <w:r>
        <w:rPr>
          <w:rFonts w:hint="eastAsia" w:ascii="宋体" w:hAnsi="宋体" w:eastAsia="宋体" w:cs="宋体"/>
          <w:color w:val="auto"/>
          <w:sz w:val="24"/>
          <w:szCs w:val="24"/>
        </w:rPr>
        <w:t>商报价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现场</w:t>
      </w:r>
      <w:r>
        <w:rPr>
          <w:rFonts w:hint="eastAsia" w:ascii="宋体" w:hAnsi="宋体" w:eastAsia="宋体" w:cs="宋体"/>
          <w:color w:val="auto"/>
          <w:sz w:val="24"/>
          <w:szCs w:val="24"/>
          <w:lang w:val="en-US" w:eastAsia="zh-CN"/>
        </w:rPr>
        <w:t>均不</w:t>
      </w:r>
      <w:r>
        <w:rPr>
          <w:rFonts w:hint="eastAsia" w:ascii="宋体" w:hAnsi="宋体" w:eastAsia="宋体" w:cs="宋体"/>
          <w:color w:val="auto"/>
          <w:sz w:val="24"/>
          <w:szCs w:val="24"/>
        </w:rPr>
        <w:t>公开宣读。</w:t>
      </w:r>
    </w:p>
    <w:p w14:paraId="7EEEB7D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应当按照磋商文件的变动情况和磋商小组的要求重新提交响应文件，并由其法定代表人或授权代表签字或者加盖公章。</w:t>
      </w:r>
    </w:p>
    <w:p w14:paraId="5103EB89">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磋商文件能够详细列明采购标的的技术、服务要求的，磋商结束后，磋商小组应当要求所有实质性响应的供应商在规定时间内提交最后报价，提交最后报价的供应商不得少于2家。</w:t>
      </w:r>
    </w:p>
    <w:p w14:paraId="16718792">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最后报价是供应商响应文件的有效组成部分。提交最后报价的供应商可以为2家。在采购过程中符合要求的供应商（社会资本）只有2家的，竞争性磋商采购活动继续进行。采购过程中符合要求的供应商（社会资本）只有1家的，本次竞争性磋商采购活动终止，发布项目终止公告，重新开展采购活动。</w:t>
      </w:r>
    </w:p>
    <w:p w14:paraId="3BE91D35">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both"/>
        <w:textAlignment w:val="baseline"/>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已提交响应文件的供应商，在提交最后报价之前，可以根据磋商情况退出磋商。</w:t>
      </w:r>
    </w:p>
    <w:p w14:paraId="1A46FDF8">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经磋商确定最终采购需求和提交最后报价的供应商后，由磋商小组采用综合评分法对提交最后报价的供应商的响应文件和最后报价进行综合评分。</w:t>
      </w:r>
    </w:p>
    <w:p w14:paraId="47F4C53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响应文件的澄清</w:t>
      </w:r>
    </w:p>
    <w:p w14:paraId="25A778B4">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小组在对</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响应文件的有效性、完整性和响应程度进行审查时，可以要求供应商对</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响应文件中含义不明确、同类问题表述不一致或者有明显文字和计算错误的内容等做出必要的澄清、说明或者补正。</w:t>
      </w:r>
    </w:p>
    <w:p w14:paraId="70ADF5D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（2）依照民法中的过失责任原则，澄清、说明或补正前</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小组将按最不利于投标供应商的原则对</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响应文件做出评判。</w:t>
      </w:r>
    </w:p>
    <w:p w14:paraId="7CF41C44">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小组要求供应商澄清、说明或者补正</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响应文件应通过书面形式做出。供应商应当在规定的澄清时限内按</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小组要求的方式提交，供应商的澄清、说明或者补正应当由法定代表人或其授权代表签字或者加盖公章。</w:t>
      </w:r>
    </w:p>
    <w:p w14:paraId="611B11FA">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（4）供应商的澄清、说明或者补正不得超出</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响应文件的范围或者改变</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响应文件的实质性内容。澄清、说明或者补正的内容将作为合同履行的重要依据。</w:t>
      </w:r>
    </w:p>
    <w:p w14:paraId="664F5682">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过程</w:t>
      </w:r>
    </w:p>
    <w:p w14:paraId="3364634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小组应在符合性评审的基础上对各供应商的响应文件认真阅读，每轮报价现场均不对供应商公布，每轮报价为不可更改报价，最后报价作为</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小组</w:t>
      </w:r>
      <w:r>
        <w:rPr>
          <w:rFonts w:hint="eastAsia" w:ascii="宋体" w:hAnsi="宋体" w:eastAsia="宋体" w:cs="宋体"/>
          <w:color w:val="auto"/>
          <w:sz w:val="24"/>
          <w:szCs w:val="24"/>
          <w:lang w:val="en-US" w:eastAsia="zh-CN"/>
        </w:rPr>
        <w:t>计算商务得分的依据。</w:t>
      </w:r>
    </w:p>
    <w:p w14:paraId="7198CBE2">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按榆政财采发【2022】10号文件的精神，</w:t>
      </w:r>
      <w:r>
        <w:rPr>
          <w:rFonts w:hint="eastAsia" w:ascii="宋体" w:hAnsi="宋体" w:eastAsia="宋体" w:cs="宋体"/>
          <w:color w:val="auto"/>
          <w:sz w:val="24"/>
          <w:szCs w:val="24"/>
        </w:rPr>
        <w:t>明确对非专门面向中小企业采购的货物服务项目，小微企业的价格扣除比例提高至20%（工程项目为 3%—5%）。对于货物服务采购项目联合协议或者分包意向协议约定小微企业的合同份额占到合同总金额30%以上的，价格扣除优惠提高至6%。用扣除后的价格参与评审排序，除此之外的其他情形均不适用本款规定。专门面向中小企业采购的项目或者采购包，不再执行价格评审优惠的扶持政策。</w:t>
      </w:r>
    </w:p>
    <w:p w14:paraId="460BFAD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小组应审查供应商是否具备“落实政府采购政策”的资格，如不符合相关文件要求或供应商未提供相关声明或证明材料，供应商不可以享受价格折扣优惠政策。</w:t>
      </w:r>
    </w:p>
    <w:p w14:paraId="058ED3B2">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按照《政府采购促进中小企业发展管理办法》规定提供声明函内容不实的，属于提供虚假材料谋取中标、成交，依照《中华人民共和国政府采购法》等国家有关规定追究相应责任。适用招标投标法的政府采购工程建设项目，投标人按照本办法规定提供声明函内容不实的，属于弄虚作假骗取中标，依照《中华人民共和国招标投标法》等国家有关规定追究相应责任。</w:t>
      </w:r>
    </w:p>
    <w:p w14:paraId="3F44478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、推荐成交候选人</w:t>
      </w:r>
    </w:p>
    <w:p w14:paraId="5C2250B9">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磋商小组应当根据综合评分情况，按照评审得分由高到低顺序推荐1-3名成交候选供应商，并编写评审报告。评审得分相同的，按照最后报价由低到高的顺序推荐。评审得分且最后报价相同的，按照技术指标优劣顺序推荐。</w:t>
      </w:r>
    </w:p>
    <w:p w14:paraId="3FA6AD64">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、编写评标报告</w:t>
      </w:r>
    </w:p>
    <w:p w14:paraId="7FF972D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其主要内容包括：</w:t>
      </w:r>
    </w:p>
    <w:p w14:paraId="6A6F1084">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vertAlign w:val="baseline"/>
        </w:rPr>
        <w:t>（一）邀请供应商参加采购活动的具体方式和相关情况；</w:t>
      </w:r>
    </w:p>
    <w:p w14:paraId="1CAA433E">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vertAlign w:val="baseline"/>
        </w:rPr>
        <w:t>（二）响应文件开启日期和地点；</w:t>
      </w:r>
    </w:p>
    <w:p w14:paraId="5B091EB7">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vertAlign w:val="baseline"/>
        </w:rPr>
        <w:t>（三）获取磋商文件的供应商名单和磋商小组成员名单；</w:t>
      </w:r>
    </w:p>
    <w:p w14:paraId="447B2935">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vertAlign w:val="baseline"/>
        </w:rPr>
        <w:t>（四）评审情况记录和说明，包括对供应商的资格审查情况、供应商响应文件评审情况、磋商情况、报价情况等；</w:t>
      </w:r>
    </w:p>
    <w:p w14:paraId="46CEADFA">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（五）提出的成交候选供应商的排序名单及理由。</w:t>
      </w:r>
    </w:p>
    <w:p w14:paraId="086E08C5">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2257B691">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both"/>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十、无效投标情形</w:t>
      </w:r>
    </w:p>
    <w:p w14:paraId="135BF98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（一）供应商存在下列情况之一的，投标无效:</w:t>
      </w:r>
    </w:p>
    <w:p w14:paraId="339634F6">
      <w:pPr>
        <w:keepNext w:val="0"/>
        <w:keepLines w:val="0"/>
        <w:pageBreakBefore w:val="0"/>
        <w:widowControl w:val="0"/>
        <w:numPr>
          <w:ilvl w:val="0"/>
          <w:numId w:val="8"/>
        </w:numPr>
        <w:kinsoku/>
        <w:wordWrap w:val="0"/>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逾期</w:t>
      </w:r>
      <w:r>
        <w:rPr>
          <w:rFonts w:hint="eastAsia" w:ascii="宋体" w:hAnsi="宋体" w:eastAsia="宋体" w:cs="宋体"/>
          <w:color w:val="auto"/>
          <w:sz w:val="24"/>
          <w:szCs w:val="24"/>
          <w:lang w:val="en-US" w:eastAsia="zh-CN"/>
        </w:rPr>
        <w:t>未递交</w:t>
      </w:r>
      <w:r>
        <w:rPr>
          <w:rFonts w:hint="eastAsia" w:ascii="宋体" w:hAnsi="宋体" w:eastAsia="宋体" w:cs="宋体"/>
          <w:color w:val="auto"/>
          <w:sz w:val="24"/>
          <w:szCs w:val="24"/>
        </w:rPr>
        <w:t>响应文件；</w:t>
      </w:r>
    </w:p>
    <w:p w14:paraId="7CFD37E4">
      <w:pPr>
        <w:keepNext w:val="0"/>
        <w:keepLines w:val="0"/>
        <w:pageBreakBefore w:val="0"/>
        <w:widowControl w:val="0"/>
        <w:numPr>
          <w:ilvl w:val="0"/>
          <w:numId w:val="8"/>
        </w:numPr>
        <w:kinsoku/>
        <w:wordWrap w:val="0"/>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提交的响应文件与本项目不相符；</w:t>
      </w:r>
    </w:p>
    <w:p w14:paraId="6F1408BF">
      <w:pPr>
        <w:pStyle w:val="7"/>
        <w:keepNext w:val="0"/>
        <w:keepLines w:val="0"/>
        <w:pageBreakBefore w:val="0"/>
        <w:widowControl w:val="0"/>
        <w:numPr>
          <w:ilvl w:val="0"/>
          <w:numId w:val="8"/>
        </w:numPr>
        <w:kinsoku/>
        <w:wordWrap w:val="0"/>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szCs w:val="24"/>
          <w:lang w:val="en-US" w:eastAsia="zh-CN"/>
        </w:rPr>
        <w:t>第一次报价</w:t>
      </w:r>
      <w:r>
        <w:rPr>
          <w:rFonts w:hint="eastAsia" w:ascii="宋体" w:hAnsi="宋体" w:eastAsia="宋体" w:cs="宋体"/>
          <w:b w:val="0"/>
          <w:bCs w:val="0"/>
          <w:color w:val="auto"/>
          <w:sz w:val="24"/>
          <w:szCs w:val="24"/>
          <w:lang w:val="en-US" w:eastAsia="zh-CN"/>
        </w:rPr>
        <w:t>高于或等于招标上限价的。</w:t>
      </w:r>
    </w:p>
    <w:p w14:paraId="23666F08">
      <w:pPr>
        <w:keepNext w:val="0"/>
        <w:keepLines w:val="0"/>
        <w:pageBreakBefore w:val="0"/>
        <w:widowControl w:val="0"/>
        <w:numPr>
          <w:ilvl w:val="0"/>
          <w:numId w:val="8"/>
        </w:numPr>
        <w:kinsoku/>
        <w:wordWrap w:val="0"/>
        <w:overflowPunct/>
        <w:topLinePunct w:val="0"/>
        <w:autoSpaceDE/>
        <w:autoSpaceDN/>
        <w:bidi w:val="0"/>
        <w:adjustRightInd/>
        <w:snapToGrid/>
        <w:spacing w:line="360" w:lineRule="auto"/>
        <w:ind w:left="0" w:leftChars="0" w:firstLine="480" w:firstLineChars="200"/>
        <w:textAlignment w:val="auto"/>
        <w:rPr>
          <w:rFonts w:hint="default" w:ascii="宋体" w:hAnsi="宋体" w:eastAsia="宋体" w:cs="宋体"/>
          <w:b w:val="0"/>
          <w:bCs w:val="0"/>
          <w:color w:val="auto"/>
          <w:kern w:val="2"/>
          <w:sz w:val="24"/>
          <w:szCs w:val="24"/>
          <w:lang w:val="en-US" w:eastAsia="zh-CN" w:bidi="ar-SA"/>
        </w:rPr>
      </w:pPr>
      <w:r>
        <w:rPr>
          <w:rFonts w:hint="default" w:ascii="宋体" w:hAnsi="宋体" w:eastAsia="宋体" w:cs="宋体"/>
          <w:b w:val="0"/>
          <w:bCs w:val="0"/>
          <w:color w:val="auto"/>
          <w:kern w:val="2"/>
          <w:sz w:val="24"/>
          <w:szCs w:val="24"/>
          <w:lang w:val="en-US" w:eastAsia="zh-CN" w:bidi="ar-SA"/>
        </w:rPr>
        <w:t>承诺书中承诺的有效期限不符合</w:t>
      </w:r>
      <w:r>
        <w:rPr>
          <w:rFonts w:hint="eastAsia" w:ascii="宋体" w:hAnsi="宋体" w:eastAsia="宋体" w:cs="宋体"/>
          <w:b w:val="0"/>
          <w:bCs w:val="0"/>
          <w:color w:val="auto"/>
          <w:kern w:val="2"/>
          <w:sz w:val="24"/>
          <w:szCs w:val="24"/>
          <w:lang w:val="en-US" w:eastAsia="zh-CN" w:bidi="ar-SA"/>
        </w:rPr>
        <w:t>磋商</w:t>
      </w:r>
      <w:r>
        <w:rPr>
          <w:rFonts w:hint="default" w:ascii="宋体" w:hAnsi="宋体" w:eastAsia="宋体" w:cs="宋体"/>
          <w:b w:val="0"/>
          <w:bCs w:val="0"/>
          <w:color w:val="auto"/>
          <w:kern w:val="2"/>
          <w:sz w:val="24"/>
          <w:szCs w:val="24"/>
          <w:lang w:val="en-US" w:eastAsia="zh-CN" w:bidi="ar-SA"/>
        </w:rPr>
        <w:t>文件要求的；</w:t>
      </w:r>
    </w:p>
    <w:p w14:paraId="72746D3E">
      <w:pPr>
        <w:keepNext w:val="0"/>
        <w:keepLines w:val="0"/>
        <w:pageBreakBefore w:val="0"/>
        <w:widowControl w:val="0"/>
        <w:numPr>
          <w:ilvl w:val="0"/>
          <w:numId w:val="8"/>
        </w:numPr>
        <w:kinsoku/>
        <w:wordWrap w:val="0"/>
        <w:overflowPunct/>
        <w:topLinePunct w:val="0"/>
        <w:autoSpaceDE/>
        <w:autoSpaceDN/>
        <w:bidi w:val="0"/>
        <w:adjustRightInd/>
        <w:snapToGrid/>
        <w:spacing w:line="360" w:lineRule="auto"/>
        <w:ind w:left="0" w:leftChars="0" w:firstLine="480" w:firstLineChars="200"/>
        <w:textAlignment w:val="auto"/>
        <w:rPr>
          <w:rFonts w:hint="default" w:ascii="宋体" w:hAnsi="宋体" w:eastAsia="宋体" w:cs="宋体"/>
          <w:b w:val="0"/>
          <w:bCs w:val="0"/>
          <w:color w:val="auto"/>
          <w:kern w:val="2"/>
          <w:sz w:val="24"/>
          <w:szCs w:val="24"/>
          <w:lang w:val="en-US" w:eastAsia="zh-CN" w:bidi="ar-SA"/>
        </w:rPr>
      </w:pPr>
      <w:r>
        <w:rPr>
          <w:rFonts w:hint="default" w:ascii="宋体" w:hAnsi="宋体" w:eastAsia="宋体" w:cs="宋体"/>
          <w:b w:val="0"/>
          <w:bCs w:val="0"/>
          <w:color w:val="auto"/>
          <w:kern w:val="2"/>
          <w:sz w:val="24"/>
          <w:szCs w:val="24"/>
          <w:lang w:val="en-US" w:eastAsia="zh-CN" w:bidi="ar-SA"/>
        </w:rPr>
        <w:t>上传的承诺书格式或签字或盖章不符合</w:t>
      </w:r>
      <w:r>
        <w:rPr>
          <w:rFonts w:hint="eastAsia" w:ascii="宋体" w:hAnsi="宋体" w:eastAsia="宋体" w:cs="宋体"/>
          <w:b w:val="0"/>
          <w:bCs w:val="0"/>
          <w:color w:val="auto"/>
          <w:kern w:val="2"/>
          <w:sz w:val="24"/>
          <w:szCs w:val="24"/>
          <w:lang w:val="en-US" w:eastAsia="zh-CN" w:bidi="ar-SA"/>
        </w:rPr>
        <w:t>磋商</w:t>
      </w:r>
      <w:r>
        <w:rPr>
          <w:rFonts w:hint="default" w:ascii="宋体" w:hAnsi="宋体" w:eastAsia="宋体" w:cs="宋体"/>
          <w:b w:val="0"/>
          <w:bCs w:val="0"/>
          <w:color w:val="auto"/>
          <w:kern w:val="2"/>
          <w:sz w:val="24"/>
          <w:szCs w:val="24"/>
          <w:lang w:val="en-US" w:eastAsia="zh-CN" w:bidi="ar-SA"/>
        </w:rPr>
        <w:t>文件相关要求的；</w:t>
      </w:r>
    </w:p>
    <w:p w14:paraId="456502D5">
      <w:pPr>
        <w:keepNext w:val="0"/>
        <w:keepLines w:val="0"/>
        <w:pageBreakBefore w:val="0"/>
        <w:widowControl w:val="0"/>
        <w:numPr>
          <w:ilvl w:val="0"/>
          <w:numId w:val="8"/>
        </w:numPr>
        <w:kinsoku/>
        <w:wordWrap w:val="0"/>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rPr>
      </w:pPr>
      <w:r>
        <w:rPr>
          <w:rFonts w:hint="default" w:ascii="宋体" w:hAnsi="宋体" w:eastAsia="宋体" w:cs="宋体"/>
          <w:b w:val="0"/>
          <w:bCs w:val="0"/>
          <w:color w:val="auto"/>
          <w:kern w:val="2"/>
          <w:sz w:val="24"/>
          <w:szCs w:val="24"/>
          <w:lang w:val="en-US" w:eastAsia="zh-CN" w:bidi="ar-SA"/>
        </w:rPr>
        <w:t>中小企业声明函中所填内容虚假或不符合</w:t>
      </w:r>
      <w:r>
        <w:rPr>
          <w:rFonts w:hint="eastAsia" w:ascii="宋体" w:hAnsi="宋体" w:eastAsia="宋体" w:cs="宋体"/>
          <w:b w:val="0"/>
          <w:bCs w:val="0"/>
          <w:color w:val="auto"/>
          <w:kern w:val="2"/>
          <w:sz w:val="24"/>
          <w:szCs w:val="24"/>
          <w:lang w:val="en-US" w:eastAsia="zh-CN" w:bidi="ar-SA"/>
        </w:rPr>
        <w:t>磋商</w:t>
      </w:r>
      <w:r>
        <w:rPr>
          <w:rFonts w:hint="default" w:ascii="宋体" w:hAnsi="宋体" w:eastAsia="宋体" w:cs="宋体"/>
          <w:b w:val="0"/>
          <w:bCs w:val="0"/>
          <w:color w:val="auto"/>
          <w:kern w:val="2"/>
          <w:sz w:val="24"/>
          <w:szCs w:val="24"/>
          <w:lang w:val="en-US" w:eastAsia="zh-CN" w:bidi="ar-SA"/>
        </w:rPr>
        <w:t>文件要求的或格式</w:t>
      </w:r>
      <w:r>
        <w:rPr>
          <w:rFonts w:hint="eastAsia" w:ascii="宋体" w:hAnsi="宋体" w:eastAsia="宋体" w:cs="宋体"/>
          <w:b w:val="0"/>
          <w:bCs w:val="0"/>
          <w:color w:val="auto"/>
          <w:kern w:val="2"/>
          <w:sz w:val="24"/>
          <w:szCs w:val="24"/>
          <w:lang w:val="en-US" w:eastAsia="zh-CN" w:bidi="ar-SA"/>
        </w:rPr>
        <w:t>内容</w:t>
      </w:r>
      <w:r>
        <w:rPr>
          <w:rFonts w:hint="default" w:ascii="宋体" w:hAnsi="宋体" w:eastAsia="宋体" w:cs="宋体"/>
          <w:b w:val="0"/>
          <w:bCs w:val="0"/>
          <w:color w:val="auto"/>
          <w:kern w:val="2"/>
          <w:sz w:val="24"/>
          <w:szCs w:val="24"/>
          <w:lang w:val="en-US" w:eastAsia="zh-CN" w:bidi="ar-SA"/>
        </w:rPr>
        <w:t>不符的；</w:t>
      </w:r>
    </w:p>
    <w:p w14:paraId="267E6320">
      <w:pPr>
        <w:keepNext w:val="0"/>
        <w:keepLines w:val="0"/>
        <w:pageBreakBefore w:val="0"/>
        <w:widowControl w:val="0"/>
        <w:numPr>
          <w:ilvl w:val="0"/>
          <w:numId w:val="8"/>
        </w:numPr>
        <w:kinsoku/>
        <w:wordWrap w:val="0"/>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未按照竞争性磋商文件的规定提交投标信用承诺（代替投标保证金）;</w:t>
      </w:r>
    </w:p>
    <w:p w14:paraId="0F2AA83A">
      <w:pPr>
        <w:keepNext w:val="0"/>
        <w:keepLines w:val="0"/>
        <w:pageBreakBefore w:val="0"/>
        <w:widowControl w:val="0"/>
        <w:numPr>
          <w:ilvl w:val="0"/>
          <w:numId w:val="8"/>
        </w:numPr>
        <w:kinsoku/>
        <w:wordWrap w:val="0"/>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响应文件未按竞争性磋商文件要求签署、盖章、附网上承诺截图或截图有全的;</w:t>
      </w:r>
    </w:p>
    <w:p w14:paraId="42D64694">
      <w:pPr>
        <w:keepNext w:val="0"/>
        <w:keepLines w:val="0"/>
        <w:pageBreakBefore w:val="0"/>
        <w:widowControl w:val="0"/>
        <w:numPr>
          <w:ilvl w:val="0"/>
          <w:numId w:val="8"/>
        </w:numPr>
        <w:kinsoku/>
        <w:wordWrap w:val="0"/>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不具备竞争性磋商文件中规定的资格要求;</w:t>
      </w:r>
    </w:p>
    <w:p w14:paraId="71E4D3FA">
      <w:pPr>
        <w:keepNext w:val="0"/>
        <w:keepLines w:val="0"/>
        <w:pageBreakBefore w:val="0"/>
        <w:widowControl w:val="0"/>
        <w:numPr>
          <w:ilvl w:val="0"/>
          <w:numId w:val="8"/>
        </w:numPr>
        <w:kinsoku/>
        <w:wordWrap w:val="0"/>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响应文件含有采购人不能接受的附加条件;</w:t>
      </w:r>
    </w:p>
    <w:p w14:paraId="1CA21593">
      <w:pPr>
        <w:keepNext w:val="0"/>
        <w:keepLines w:val="0"/>
        <w:pageBreakBefore w:val="0"/>
        <w:widowControl w:val="0"/>
        <w:numPr>
          <w:ilvl w:val="0"/>
          <w:numId w:val="8"/>
        </w:numPr>
        <w:kinsoku/>
        <w:wordWrap w:val="0"/>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有选择的报价将不予接受，按无效投标处理；</w:t>
      </w:r>
    </w:p>
    <w:p w14:paraId="46CCF0D8">
      <w:pPr>
        <w:keepNext w:val="0"/>
        <w:keepLines w:val="0"/>
        <w:pageBreakBefore w:val="0"/>
        <w:widowControl w:val="0"/>
        <w:numPr>
          <w:ilvl w:val="0"/>
          <w:numId w:val="8"/>
        </w:numPr>
        <w:kinsoku/>
        <w:wordWrap w:val="0"/>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修正后的报价经供应商确认后产生约束力，供应商不确认的，其投标无效。</w:t>
      </w:r>
    </w:p>
    <w:p w14:paraId="7A253375">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（二）供应商存在下列情形之一的，视为串通投标，其投标无效：</w:t>
      </w:r>
    </w:p>
    <w:p w14:paraId="5AECDB6E">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1、不同供应商的响应文件由同一单位或者个人编制；</w:t>
      </w:r>
    </w:p>
    <w:p w14:paraId="6AC9016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2、不同供应商委托同一单位或者个人办理投标事宜；</w:t>
      </w:r>
    </w:p>
    <w:p w14:paraId="612ECC5C">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3、不同供应商的响应文件载明的项目管理成员或者联系人员为同一人；</w:t>
      </w:r>
    </w:p>
    <w:p w14:paraId="2546ACE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4、不同供应商的响应文件异常一致或者投标报价呈规律性差异；</w:t>
      </w:r>
    </w:p>
    <w:p w14:paraId="68B16EA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5、不同供应商的响应文件相互混装；</w:t>
      </w:r>
    </w:p>
    <w:p w14:paraId="6D0ECCF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（三）供应商不得以低于成本的报价参加本次采购项目。</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小组应当将其作为无效投标处理。</w:t>
      </w:r>
    </w:p>
    <w:p w14:paraId="2B9F8493">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十一、</w:t>
      </w:r>
      <w:bookmarkEnd w:id="116"/>
      <w:bookmarkEnd w:id="117"/>
      <w:bookmarkEnd w:id="118"/>
      <w:bookmarkEnd w:id="119"/>
      <w:bookmarkEnd w:id="120"/>
      <w:bookmarkEnd w:id="121"/>
      <w:r>
        <w:rPr>
          <w:rFonts w:hint="eastAsia" w:ascii="宋体" w:hAnsi="宋体" w:eastAsia="宋体" w:cs="宋体"/>
          <w:b/>
          <w:bCs/>
          <w:color w:val="auto"/>
          <w:sz w:val="24"/>
          <w:szCs w:val="24"/>
        </w:rPr>
        <w:t>成交</w:t>
      </w:r>
    </w:p>
    <w:p w14:paraId="006CE712">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（一）采购代理机构在评标工作结束后2个工作日内将评标报告送采购人。</w:t>
      </w:r>
    </w:p>
    <w:p w14:paraId="5ECA4D9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（二）采购人在收到评标报告之日起5个工作日内，在评标报告确定的成交候选人名单中按顺序确定成交供应商。</w:t>
      </w:r>
    </w:p>
    <w:p w14:paraId="196C406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采购人在收到评标报告5个工作日内未按评标报告推荐的成交候选人顺序确定成交供应商，又不能说明合法理由的，视同按评标报告推荐的顺序确定成交供应商，采购代理机构将发布成交公告。</w:t>
      </w:r>
    </w:p>
    <w:p w14:paraId="1BC14D5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（三）采购代理机构将在成交供应商确定之日起2个工作日内，发布媒体为【</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"http://www.ccgp-shaanxi.gov.cn"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陕西省政府采购网</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（www.ccgp-shaanxi.gov.cn）</w:t>
      </w:r>
      <w:r>
        <w:rPr>
          <w:rStyle w:val="28"/>
          <w:rFonts w:hint="eastAsia" w:ascii="宋体" w:hAnsi="宋体" w:eastAsia="宋体" w:cs="宋体"/>
          <w:color w:val="auto"/>
          <w:sz w:val="24"/>
          <w:szCs w:val="24"/>
        </w:rPr>
        <w:t>】、</w:t>
      </w:r>
      <w:r>
        <w:rPr>
          <w:rFonts w:hint="eastAsia" w:ascii="宋体" w:hAnsi="宋体" w:eastAsia="宋体" w:cs="宋体"/>
          <w:color w:val="auto"/>
          <w:sz w:val="24"/>
          <w:szCs w:val="24"/>
        </w:rPr>
        <w:t>【全国公共资源交易平台（陕西省）（http://www.sxggzyjy.cn/）</w:t>
      </w:r>
      <w:r>
        <w:rPr>
          <w:rStyle w:val="28"/>
          <w:rFonts w:hint="eastAsia" w:ascii="宋体" w:hAnsi="宋体" w:eastAsia="宋体" w:cs="宋体"/>
          <w:color w:val="auto"/>
          <w:sz w:val="24"/>
          <w:szCs w:val="24"/>
        </w:rPr>
        <w:t>】</w:t>
      </w:r>
      <w:r>
        <w:rPr>
          <w:rFonts w:hint="eastAsia" w:ascii="宋体" w:hAnsi="宋体" w:eastAsia="宋体" w:cs="宋体"/>
          <w:color w:val="auto"/>
          <w:sz w:val="24"/>
          <w:szCs w:val="24"/>
        </w:rPr>
        <w:t>上公示成交结果。</w:t>
      </w:r>
    </w:p>
    <w:p w14:paraId="5C8C4C3A">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成交公告期限为1个工作日。</w:t>
      </w:r>
    </w:p>
    <w:p w14:paraId="71F001E2">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（四）在公告成交结果的同时，采购代理机构向成交供应商发出成交通知书。</w:t>
      </w:r>
    </w:p>
    <w:p w14:paraId="1D06036A">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（五）成交通知书发出后，采购人不得违法改变成交结果，成交供应商无正当理由不得放弃成交。</w:t>
      </w:r>
      <w:bookmarkStart w:id="140" w:name="_Toc48834293"/>
      <w:bookmarkStart w:id="141" w:name="_Toc48834096"/>
      <w:bookmarkStart w:id="142" w:name="_Toc10388"/>
      <w:bookmarkStart w:id="143" w:name="_Toc48834166"/>
      <w:bookmarkStart w:id="144" w:name="_Toc48834534"/>
      <w:bookmarkStart w:id="145" w:name="_Toc48834455"/>
    </w:p>
    <w:p w14:paraId="5894C094">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十二、签订政府采购合同</w:t>
      </w:r>
      <w:bookmarkEnd w:id="140"/>
      <w:bookmarkEnd w:id="141"/>
      <w:bookmarkEnd w:id="142"/>
      <w:bookmarkEnd w:id="143"/>
      <w:bookmarkEnd w:id="144"/>
      <w:bookmarkEnd w:id="145"/>
    </w:p>
    <w:p w14:paraId="76C7C65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（一）自成交通知书发出之日起</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0日内，采购人与成交供应商应按竞争性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文件和成交供应商响应文件的规定，签订书面合同。所签订的政府采购合同不得对竞争性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文件和成交供应商的响应文件内容作实质性修改。</w:t>
      </w:r>
    </w:p>
    <w:p w14:paraId="20AB8EC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采购人不得向成交供应商提出任何不合理的要求作为签订合同的条件。</w:t>
      </w:r>
    </w:p>
    <w:p w14:paraId="0D82D30E">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（二）成交供应商拒绝与采购人签订合同的，采购人可以按照评标报告推荐的成交候选人名单排序，确定下一候选人为成交供应商，也可以重新开展政府采购活动。</w:t>
      </w:r>
    </w:p>
    <w:p w14:paraId="07383D52">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文件、成交供应商的响应文件、《成交通知书》及其澄清、说明文件、承诺等，均为签订采购合同的依据，作为采购合同的组成部分。</w:t>
      </w:r>
    </w:p>
    <w:p w14:paraId="4804C76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（四）政府采购合同应当包括采购人与成交供应商的名称和住所、标的、数量、质量、价款或者报酬、履行期限及地点和方式、验收要求、违约责任、解决争议的方法等内容。</w:t>
      </w:r>
    </w:p>
    <w:p w14:paraId="3395C994">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（五）采购人与成交供应商应当根据合同的约定依法履行合同义务。政府采购合同的履行、违约责任和解决争议的方法等适用《中华人民共和国合同法》。</w:t>
      </w:r>
    </w:p>
    <w:p w14:paraId="7FA7A50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（六）采购人应及时对采购项目进行验收。采购人可以邀请参加本项目的其他投标供应商或者第三方机构参与验收。参与验收的投标供应商或者第三方机构的意见作为验收书的参考资料一并存档。</w:t>
      </w:r>
    </w:p>
    <w:p w14:paraId="343FCC1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（七）采购人应当加强对成交供应商的履约管理，并按照采购合同约定，及时向成交供应商支付采购资金。对于成交供应商违反采购合同约定的行为，采购人应当及时处理，依法追究其违约责任。</w:t>
      </w:r>
    </w:p>
    <w:p w14:paraId="5F7BC549">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bookmarkStart w:id="146" w:name="_Toc48834294"/>
      <w:bookmarkStart w:id="147" w:name="_Toc48834167"/>
      <w:bookmarkStart w:id="148" w:name="_Toc31345"/>
      <w:bookmarkStart w:id="149" w:name="_Toc48834456"/>
      <w:bookmarkStart w:id="150" w:name="_Toc48834097"/>
      <w:bookmarkStart w:id="151" w:name="_Toc48834535"/>
      <w:r>
        <w:rPr>
          <w:rFonts w:hint="eastAsia" w:ascii="宋体" w:hAnsi="宋体" w:eastAsia="宋体" w:cs="宋体"/>
          <w:b/>
          <w:bCs/>
          <w:color w:val="auto"/>
          <w:sz w:val="24"/>
          <w:szCs w:val="24"/>
        </w:rPr>
        <w:t>十三、</w:t>
      </w:r>
      <w:bookmarkEnd w:id="146"/>
      <w:bookmarkEnd w:id="147"/>
      <w:bookmarkEnd w:id="148"/>
      <w:bookmarkEnd w:id="149"/>
      <w:bookmarkEnd w:id="150"/>
      <w:bookmarkEnd w:id="151"/>
      <w:r>
        <w:rPr>
          <w:rFonts w:hint="eastAsia" w:ascii="宋体" w:hAnsi="宋体" w:eastAsia="宋体" w:cs="宋体"/>
          <w:b/>
          <w:bCs/>
          <w:color w:val="auto"/>
          <w:sz w:val="24"/>
          <w:szCs w:val="24"/>
        </w:rPr>
        <w:t>废标情形</w:t>
      </w:r>
    </w:p>
    <w:p w14:paraId="12445CE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bookmarkStart w:id="152" w:name="OLE_LINK42"/>
      <w:r>
        <w:rPr>
          <w:rFonts w:hint="eastAsia" w:ascii="宋体" w:hAnsi="宋体" w:eastAsia="宋体" w:cs="宋体"/>
          <w:color w:val="auto"/>
          <w:sz w:val="24"/>
          <w:szCs w:val="24"/>
        </w:rPr>
        <w:t>（一）</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小组发现竞争性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文件存在歧义、重大缺陷导致评标工作无法进行，或者竞争性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文件内容违反国家有关强制性规定的，应当停止评标工作，与采购人或者采购代理机构沟通并作书面记录。采购人或者采购代理机构确认后，应当修改竞争性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文件，重新组织采购活动。</w:t>
      </w:r>
    </w:p>
    <w:p w14:paraId="76ACE062">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（二）根据《政府采购法》第三十六条规定，在招标采购中，出现下列情形之一的，本项目按废标处理：</w:t>
      </w:r>
    </w:p>
    <w:p w14:paraId="756D19C4">
      <w:pPr>
        <w:keepNext w:val="0"/>
        <w:keepLines w:val="0"/>
        <w:pageBreakBefore w:val="0"/>
        <w:widowControl w:val="0"/>
        <w:numPr>
          <w:ilvl w:val="0"/>
          <w:numId w:val="9"/>
        </w:numPr>
        <w:kinsoku/>
        <w:wordWrap w:val="0"/>
        <w:overflowPunct/>
        <w:topLinePunct w:val="0"/>
        <w:autoSpaceDE/>
        <w:autoSpaceDN/>
        <w:bidi w:val="0"/>
        <w:adjustRightInd/>
        <w:snapToGrid/>
        <w:spacing w:line="360" w:lineRule="auto"/>
        <w:ind w:left="0" w:leftChars="0" w:firstLine="40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符合专业条件的供应商或者对招标文件作实质响应的供应商不足三家的；</w:t>
      </w:r>
    </w:p>
    <w:p w14:paraId="75EEEC11">
      <w:pPr>
        <w:keepNext w:val="0"/>
        <w:keepLines w:val="0"/>
        <w:pageBreakBefore w:val="0"/>
        <w:widowControl w:val="0"/>
        <w:numPr>
          <w:ilvl w:val="0"/>
          <w:numId w:val="9"/>
        </w:numPr>
        <w:kinsoku/>
        <w:wordWrap w:val="0"/>
        <w:overflowPunct/>
        <w:topLinePunct w:val="0"/>
        <w:autoSpaceDE/>
        <w:autoSpaceDN/>
        <w:bidi w:val="0"/>
        <w:adjustRightInd/>
        <w:snapToGrid/>
        <w:spacing w:line="360" w:lineRule="auto"/>
        <w:ind w:left="0" w:leftChars="0" w:firstLine="40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出现影响采购公正的违法、违规行为的；</w:t>
      </w:r>
    </w:p>
    <w:p w14:paraId="601E28F5">
      <w:pPr>
        <w:keepNext w:val="0"/>
        <w:keepLines w:val="0"/>
        <w:pageBreakBefore w:val="0"/>
        <w:widowControl w:val="0"/>
        <w:numPr>
          <w:ilvl w:val="0"/>
          <w:numId w:val="9"/>
        </w:numPr>
        <w:kinsoku/>
        <w:wordWrap w:val="0"/>
        <w:overflowPunct/>
        <w:topLinePunct w:val="0"/>
        <w:autoSpaceDE/>
        <w:autoSpaceDN/>
        <w:bidi w:val="0"/>
        <w:adjustRightInd/>
        <w:snapToGrid/>
        <w:spacing w:line="360" w:lineRule="auto"/>
        <w:ind w:left="0" w:leftChars="0" w:firstLine="40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投标人的报价均超过了采购预算，采购人不能支付的；</w:t>
      </w:r>
    </w:p>
    <w:p w14:paraId="411EF6D7">
      <w:pPr>
        <w:keepNext w:val="0"/>
        <w:keepLines w:val="0"/>
        <w:pageBreakBefore w:val="0"/>
        <w:widowControl w:val="0"/>
        <w:numPr>
          <w:ilvl w:val="0"/>
          <w:numId w:val="9"/>
        </w:numPr>
        <w:kinsoku/>
        <w:wordWrap w:val="0"/>
        <w:overflowPunct/>
        <w:topLinePunct w:val="0"/>
        <w:autoSpaceDE/>
        <w:autoSpaceDN/>
        <w:bidi w:val="0"/>
        <w:adjustRightInd/>
        <w:snapToGrid/>
        <w:spacing w:line="360" w:lineRule="auto"/>
        <w:ind w:left="0" w:leftChars="0" w:firstLine="40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因重大变故，采购任务取消的。</w:t>
      </w:r>
    </w:p>
    <w:p w14:paraId="5714A73A">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sectPr>
          <w:pgSz w:w="11910" w:h="16840"/>
          <w:pgMar w:top="1380" w:right="1540" w:bottom="1200" w:left="1680" w:header="517" w:footer="1004" w:gutter="0"/>
          <w:pgNumType w:fmt="decimal"/>
          <w:cols w:space="720" w:num="1"/>
        </w:sectPr>
      </w:pPr>
      <w:r>
        <w:rPr>
          <w:rFonts w:hint="eastAsia" w:ascii="宋体" w:hAnsi="宋体" w:eastAsia="宋体" w:cs="宋体"/>
          <w:color w:val="auto"/>
          <w:sz w:val="24"/>
          <w:szCs w:val="24"/>
        </w:rPr>
        <w:t>废标后，</w:t>
      </w:r>
      <w:r>
        <w:rPr>
          <w:rFonts w:hint="eastAsia" w:ascii="宋体" w:hAnsi="宋体" w:eastAsia="宋体" w:cs="宋体"/>
          <w:color w:val="auto"/>
          <w:sz w:val="24"/>
          <w:szCs w:val="24"/>
          <w:lang w:val="en-US" w:eastAsia="zh-CN"/>
        </w:rPr>
        <w:t>采购人应当将废标理由通知所有投标供应商，由</w:t>
      </w:r>
      <w:r>
        <w:rPr>
          <w:rFonts w:hint="eastAsia" w:ascii="宋体" w:hAnsi="宋体" w:eastAsia="宋体" w:cs="宋体"/>
          <w:color w:val="auto"/>
          <w:sz w:val="24"/>
          <w:szCs w:val="24"/>
        </w:rPr>
        <w:t>采购代理机构</w:t>
      </w:r>
      <w:r>
        <w:rPr>
          <w:rFonts w:hint="eastAsia" w:ascii="宋体" w:hAnsi="宋体" w:eastAsia="宋体" w:cs="宋体"/>
          <w:color w:val="auto"/>
          <w:sz w:val="24"/>
          <w:szCs w:val="24"/>
          <w:lang w:val="en-US" w:eastAsia="zh-CN"/>
        </w:rPr>
        <w:t>在原公告媒体上</w:t>
      </w:r>
      <w:r>
        <w:rPr>
          <w:rFonts w:hint="eastAsia" w:ascii="宋体" w:hAnsi="宋体" w:eastAsia="宋体" w:cs="宋体"/>
          <w:color w:val="auto"/>
          <w:sz w:val="24"/>
          <w:szCs w:val="24"/>
        </w:rPr>
        <w:t>发布废标公告。</w:t>
      </w:r>
    </w:p>
    <w:bookmarkEnd w:id="152"/>
    <w:p w14:paraId="5678D61F">
      <w:pPr>
        <w:pStyle w:val="2"/>
        <w:pageBreakBefore w:val="0"/>
        <w:kinsoku/>
        <w:wordWrap w:val="0"/>
        <w:overflowPunct/>
        <w:topLinePunct w:val="0"/>
        <w:autoSpaceDE/>
        <w:autoSpaceDN/>
        <w:bidi w:val="0"/>
        <w:jc w:val="center"/>
        <w:rPr>
          <w:rFonts w:hint="eastAsia" w:ascii="宋体" w:hAnsi="宋体" w:eastAsia="宋体" w:cs="宋体"/>
          <w:color w:val="auto"/>
          <w:lang w:val="en-US" w:eastAsia="zh-CN"/>
        </w:rPr>
      </w:pPr>
      <w:bookmarkStart w:id="153" w:name="_Toc25163"/>
      <w:bookmarkStart w:id="154" w:name="_Toc17116"/>
      <w:r>
        <w:rPr>
          <w:rFonts w:hint="eastAsia" w:ascii="宋体" w:hAnsi="宋体" w:eastAsia="宋体" w:cs="宋体"/>
          <w:color w:val="auto"/>
          <w:lang w:val="en-US" w:eastAsia="zh-CN"/>
        </w:rPr>
        <w:t>第三章 评审办法及标准</w:t>
      </w:r>
      <w:bookmarkEnd w:id="153"/>
      <w:bookmarkEnd w:id="154"/>
    </w:p>
    <w:p w14:paraId="0DF455E5">
      <w:pPr>
        <w:pStyle w:val="17"/>
        <w:pageBreakBefore w:val="0"/>
        <w:numPr>
          <w:ilvl w:val="0"/>
          <w:numId w:val="10"/>
        </w:numPr>
        <w:kinsoku/>
        <w:wordWrap w:val="0"/>
        <w:overflowPunct/>
        <w:topLinePunct w:val="0"/>
        <w:autoSpaceDE/>
        <w:autoSpaceDN/>
        <w:bidi w:val="0"/>
        <w:ind w:left="630" w:leftChars="0" w:firstLine="2891" w:firstLineChars="1200"/>
        <w:rPr>
          <w:rFonts w:hint="eastAsia" w:ascii="宋体" w:hAnsi="宋体" w:eastAsia="宋体" w:cs="宋体"/>
          <w:b/>
          <w:color w:val="auto"/>
          <w:sz w:val="28"/>
          <w:szCs w:val="28"/>
        </w:rPr>
      </w:pPr>
      <w:bookmarkStart w:id="155" w:name="_Toc48834171"/>
      <w:bookmarkStart w:id="156" w:name="_Toc48834539"/>
      <w:bookmarkStart w:id="157" w:name="_Toc48834460"/>
      <w:bookmarkStart w:id="158" w:name="_Toc48834298"/>
      <w:bookmarkStart w:id="159" w:name="_Toc48834101"/>
      <w:r>
        <w:rPr>
          <w:rFonts w:hint="eastAsia" w:ascii="宋体" w:hAnsi="宋体" w:eastAsia="宋体" w:cs="宋体"/>
          <w:b/>
          <w:bCs/>
          <w:color w:val="auto"/>
          <w:sz w:val="24"/>
          <w:szCs w:val="24"/>
          <w:lang w:val="en-US" w:eastAsia="zh-CN"/>
        </w:rPr>
        <w:t>资格审查</w:t>
      </w:r>
    </w:p>
    <w:tbl>
      <w:tblPr>
        <w:tblStyle w:val="24"/>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8229"/>
        <w:gridCol w:w="914"/>
      </w:tblGrid>
      <w:tr w14:paraId="61B50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666" w:type="dxa"/>
            <w:noWrap w:val="0"/>
            <w:vAlign w:val="center"/>
          </w:tcPr>
          <w:p w14:paraId="28773D11">
            <w:pPr>
              <w:keepNext w:val="0"/>
              <w:keepLines w:val="0"/>
              <w:suppressLineNumbers w:val="0"/>
              <w:spacing w:before="0" w:beforeAutospacing="0" w:after="0" w:afterAutospacing="0" w:line="273"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sz w:val="22"/>
                <w:szCs w:val="22"/>
                <w:lang w:eastAsia="zh-CN"/>
              </w:rPr>
              <w:t>序</w:t>
            </w:r>
            <w:r>
              <w:rPr>
                <w:rFonts w:hint="eastAsia" w:ascii="宋体" w:hAnsi="宋体" w:eastAsia="宋体" w:cs="宋体"/>
                <w:b/>
                <w:bCs/>
                <w:color w:val="auto"/>
                <w:sz w:val="22"/>
                <w:szCs w:val="22"/>
              </w:rPr>
              <w:t>号</w:t>
            </w:r>
          </w:p>
        </w:tc>
        <w:tc>
          <w:tcPr>
            <w:tcW w:w="8229" w:type="dxa"/>
            <w:noWrap w:val="0"/>
            <w:vAlign w:val="center"/>
          </w:tcPr>
          <w:p w14:paraId="46DE4AE8">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审查因素</w:t>
            </w:r>
          </w:p>
        </w:tc>
        <w:tc>
          <w:tcPr>
            <w:tcW w:w="914" w:type="dxa"/>
            <w:noWrap w:val="0"/>
            <w:vAlign w:val="center"/>
          </w:tcPr>
          <w:p w14:paraId="25256B81">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审查标准</w:t>
            </w:r>
          </w:p>
        </w:tc>
      </w:tr>
      <w:tr w14:paraId="48BAF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6" w:hRule="atLeast"/>
          <w:jc w:val="center"/>
        </w:trPr>
        <w:tc>
          <w:tcPr>
            <w:tcW w:w="666" w:type="dxa"/>
            <w:noWrap w:val="0"/>
            <w:vAlign w:val="center"/>
          </w:tcPr>
          <w:p w14:paraId="41017F28">
            <w:pPr>
              <w:keepNext w:val="0"/>
              <w:keepLines w:val="0"/>
              <w:suppressLineNumbers w:val="0"/>
              <w:spacing w:before="0" w:beforeAutospacing="0" w:after="0" w:afterAutospacing="0"/>
              <w:ind w:left="0" w:right="0"/>
              <w:jc w:val="center"/>
              <w:rPr>
                <w:rFonts w:hint="default" w:hAnsi="宋体" w:cs="宋体"/>
                <w:color w:val="auto"/>
                <w:sz w:val="24"/>
                <w:szCs w:val="24"/>
                <w:lang w:val="en-US" w:eastAsia="zh-CN"/>
              </w:rPr>
            </w:pPr>
            <w:r>
              <w:rPr>
                <w:rFonts w:hint="eastAsia" w:hAnsi="宋体" w:cs="宋体"/>
                <w:color w:val="auto"/>
                <w:sz w:val="24"/>
                <w:szCs w:val="24"/>
                <w:lang w:val="en-US" w:eastAsia="zh-CN"/>
              </w:rPr>
              <w:t>1</w:t>
            </w:r>
          </w:p>
        </w:tc>
        <w:tc>
          <w:tcPr>
            <w:tcW w:w="8229" w:type="dxa"/>
            <w:noWrap w:val="0"/>
            <w:vAlign w:val="center"/>
          </w:tcPr>
          <w:p w14:paraId="27C09448">
            <w:pPr>
              <w:keepNext w:val="0"/>
              <w:keepLines w:val="0"/>
              <w:pageBreakBefore w:val="0"/>
              <w:numPr>
                <w:ilvl w:val="0"/>
                <w:numId w:val="0"/>
              </w:numPr>
              <w:kinsoku/>
              <w:wordWrap w:val="0"/>
              <w:overflowPunct/>
              <w:topLinePunct w:val="0"/>
              <w:autoSpaceDE/>
              <w:autoSpaceDN/>
              <w:bidi w:val="0"/>
              <w:adjustRightInd/>
              <w:snapToGrid/>
              <w:spacing w:line="360" w:lineRule="auto"/>
              <w:ind w:leftChars="0"/>
              <w:jc w:val="both"/>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1）服务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宋体" w:hAnsi="宋体" w:eastAsia="宋体" w:cs="宋体"/>
                <w:color w:val="auto"/>
                <w:kern w:val="0"/>
                <w:sz w:val="24"/>
                <w:szCs w:val="24"/>
                <w:lang w:val="en-US" w:eastAsia="zh-CN" w:bidi="ar-SA"/>
              </w:rPr>
              <w:br w:type="textWrapping"/>
            </w:r>
            <w:r>
              <w:rPr>
                <w:rFonts w:hint="eastAsia" w:ascii="宋体" w:hAnsi="宋体" w:eastAsia="宋体" w:cs="宋体"/>
                <w:color w:val="auto"/>
                <w:kern w:val="0"/>
                <w:sz w:val="24"/>
                <w:szCs w:val="24"/>
                <w:lang w:val="en-US" w:eastAsia="zh-CN" w:bidi="ar-SA"/>
              </w:rPr>
              <w:t>（2）参加政府采购活动前3年内经营活动中没有重大违法记录声明书；</w:t>
            </w:r>
          </w:p>
          <w:p w14:paraId="22446B2F">
            <w:pPr>
              <w:keepNext w:val="0"/>
              <w:keepLines w:val="0"/>
              <w:pageBreakBefore w:val="0"/>
              <w:numPr>
                <w:ilvl w:val="0"/>
                <w:numId w:val="0"/>
              </w:numPr>
              <w:kinsoku/>
              <w:wordWrap w:val="0"/>
              <w:overflowPunct/>
              <w:topLinePunct w:val="0"/>
              <w:autoSpaceDE/>
              <w:autoSpaceDN/>
              <w:bidi w:val="0"/>
              <w:adjustRightInd/>
              <w:snapToGrid/>
              <w:spacing w:line="360" w:lineRule="auto"/>
              <w:ind w:leftChars="0"/>
              <w:jc w:val="both"/>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3）投标人提供“信用中国”(www.creditchina.gov.cn)网站生成的带水印信用报告，信用中国”网站(www.creditchina.gov.cn)“记录失信被执行人、重大税收违法失信主体、政府采购严重违法失信行为”记录名单查询截图（打印件加盖投标单位公章），不得为中国政府采购网（www.ccgp.gov.cn）政府采购严重违法失信行为记录名单中被财政部门禁止参加政府采购活动的供应商（提供查询结果网页截图并加盖供应商公章）；</w:t>
            </w:r>
          </w:p>
          <w:p w14:paraId="00869EDE">
            <w:pPr>
              <w:keepNext w:val="0"/>
              <w:keepLines w:val="0"/>
              <w:pageBreakBefore w:val="0"/>
              <w:numPr>
                <w:ilvl w:val="0"/>
                <w:numId w:val="0"/>
              </w:numPr>
              <w:kinsoku/>
              <w:wordWrap w:val="0"/>
              <w:overflowPunct/>
              <w:topLinePunct w:val="0"/>
              <w:autoSpaceDE/>
              <w:autoSpaceDN/>
              <w:bidi w:val="0"/>
              <w:adjustRightInd/>
              <w:snapToGrid/>
              <w:spacing w:line="360" w:lineRule="auto"/>
              <w:ind w:leftChars="0"/>
              <w:jc w:val="both"/>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4）财务状况报告：提供完整的2024年度或2025年度的赋码财务审计报告（至少包括资产负债表、利润表、现金流量表及其附注）。新成立不足一年的公司须提供基本开户银行出具（投标文件递交截止时间前一个月内）的资信证明；</w:t>
            </w:r>
            <w:r>
              <w:rPr>
                <w:rFonts w:hint="eastAsia" w:ascii="宋体" w:hAnsi="宋体" w:eastAsia="宋体" w:cs="宋体"/>
                <w:color w:val="auto"/>
                <w:kern w:val="0"/>
                <w:sz w:val="24"/>
                <w:szCs w:val="24"/>
                <w:lang w:val="en-US" w:eastAsia="zh-CN" w:bidi="ar-SA"/>
              </w:rPr>
              <w:br w:type="textWrapping"/>
            </w:r>
            <w:r>
              <w:rPr>
                <w:rFonts w:hint="eastAsia" w:ascii="宋体" w:hAnsi="宋体" w:eastAsia="宋体" w:cs="宋体"/>
                <w:color w:val="auto"/>
                <w:kern w:val="0"/>
                <w:sz w:val="24"/>
                <w:szCs w:val="24"/>
                <w:lang w:val="en-US" w:eastAsia="zh-CN" w:bidi="ar-SA"/>
              </w:rPr>
              <w:t>（5）税收缴纳证明：服务商须提供2025年</w:t>
            </w:r>
            <w:r>
              <w:rPr>
                <w:rFonts w:hint="eastAsia" w:ascii="宋体" w:hAnsi="宋体" w:cs="宋体"/>
                <w:color w:val="auto"/>
                <w:kern w:val="0"/>
                <w:sz w:val="24"/>
                <w:szCs w:val="24"/>
                <w:lang w:val="en-US" w:eastAsia="zh-CN" w:bidi="ar-SA"/>
              </w:rPr>
              <w:t>4</w:t>
            </w:r>
            <w:r>
              <w:rPr>
                <w:rFonts w:hint="eastAsia" w:ascii="宋体" w:hAnsi="宋体" w:eastAsia="宋体" w:cs="宋体"/>
                <w:color w:val="auto"/>
                <w:kern w:val="0"/>
                <w:sz w:val="24"/>
                <w:szCs w:val="24"/>
                <w:lang w:val="en-US" w:eastAsia="zh-CN" w:bidi="ar-SA"/>
              </w:rPr>
              <w:t>月1日至投标截止时间止至少一个月完税证明，完税证明上应有税务机关的公章（加盖公章复印件）；依法免税的供应商应提供相关文件证明；</w:t>
            </w:r>
            <w:r>
              <w:rPr>
                <w:rFonts w:hint="eastAsia" w:ascii="宋体" w:hAnsi="宋体" w:eastAsia="宋体" w:cs="宋体"/>
                <w:color w:val="auto"/>
                <w:kern w:val="0"/>
                <w:sz w:val="24"/>
                <w:szCs w:val="24"/>
                <w:lang w:val="en-US" w:eastAsia="zh-CN" w:bidi="ar-SA"/>
              </w:rPr>
              <w:br w:type="textWrapping"/>
            </w:r>
            <w:r>
              <w:rPr>
                <w:rFonts w:hint="eastAsia" w:ascii="宋体" w:hAnsi="宋体" w:eastAsia="宋体" w:cs="宋体"/>
                <w:color w:val="auto"/>
                <w:kern w:val="0"/>
                <w:sz w:val="24"/>
                <w:szCs w:val="24"/>
                <w:lang w:val="en-US" w:eastAsia="zh-CN" w:bidi="ar-SA"/>
              </w:rPr>
              <w:t>（6）社会保障资金缴纳证明：服务商须提供2025年</w:t>
            </w:r>
            <w:r>
              <w:rPr>
                <w:rFonts w:hint="eastAsia" w:ascii="宋体" w:hAnsi="宋体" w:cs="宋体"/>
                <w:color w:val="auto"/>
                <w:kern w:val="0"/>
                <w:sz w:val="24"/>
                <w:szCs w:val="24"/>
                <w:lang w:val="en-US" w:eastAsia="zh-CN" w:bidi="ar-SA"/>
              </w:rPr>
              <w:t>4</w:t>
            </w:r>
            <w:r>
              <w:rPr>
                <w:rFonts w:hint="eastAsia" w:ascii="宋体" w:hAnsi="宋体" w:eastAsia="宋体" w:cs="宋体"/>
                <w:color w:val="auto"/>
                <w:kern w:val="0"/>
                <w:sz w:val="24"/>
                <w:szCs w:val="24"/>
                <w:lang w:val="en-US" w:eastAsia="zh-CN" w:bidi="ar-SA"/>
              </w:rPr>
              <w:t>月1日至投标截止时间止至少一个月的社会保障资金缴存单据或社保机构开具的社会保险参保缴费情况证明；依法不需要缴纳社会保障资金的应提供相关文件证明； </w:t>
            </w:r>
            <w:r>
              <w:rPr>
                <w:rFonts w:hint="eastAsia" w:ascii="宋体" w:hAnsi="宋体" w:eastAsia="宋体" w:cs="宋体"/>
                <w:color w:val="auto"/>
                <w:kern w:val="0"/>
                <w:sz w:val="24"/>
                <w:szCs w:val="24"/>
                <w:lang w:val="en-US" w:eastAsia="zh-CN" w:bidi="ar-SA"/>
              </w:rPr>
              <w:br w:type="textWrapping"/>
            </w:r>
            <w:r>
              <w:rPr>
                <w:rFonts w:hint="eastAsia" w:ascii="宋体" w:hAnsi="宋体" w:eastAsia="宋体" w:cs="宋体"/>
                <w:color w:val="auto"/>
                <w:kern w:val="0"/>
                <w:sz w:val="24"/>
                <w:szCs w:val="24"/>
                <w:lang w:val="en-US" w:eastAsia="zh-CN" w:bidi="ar-SA"/>
              </w:rPr>
              <w:t>（7）服务商须具有履行合同所必需的专业技术服务能力（提供相应的证明资料或承诺函）；</w:t>
            </w:r>
          </w:p>
          <w:p w14:paraId="6EA5D312">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Chars="0" w:right="0" w:rightChars="0"/>
              <w:jc w:val="both"/>
              <w:textAlignment w:val="auto"/>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color w:val="auto"/>
                <w:kern w:val="0"/>
                <w:sz w:val="24"/>
                <w:szCs w:val="24"/>
                <w:lang w:val="en-US" w:eastAsia="zh-CN" w:bidi="ar-SA"/>
              </w:rPr>
              <w:t>（8)本项目不接受联合体投标，单位负责人为同一人或者存在直接控股、管理关系的不同投标人，不得参加同一合同项下的政府采购活动。</w:t>
            </w:r>
            <w:r>
              <w:rPr>
                <w:rFonts w:hint="eastAsia" w:ascii="宋体" w:hAnsi="宋体" w:eastAsia="宋体" w:cs="宋体"/>
                <w:color w:val="auto"/>
                <w:kern w:val="0"/>
                <w:sz w:val="24"/>
                <w:szCs w:val="24"/>
                <w:lang w:val="en-US" w:eastAsia="zh-CN" w:bidi="ar-SA"/>
              </w:rPr>
              <w:br w:type="textWrapping"/>
            </w:r>
            <w:r>
              <w:rPr>
                <w:rFonts w:hint="eastAsia" w:ascii="宋体" w:hAnsi="宋体" w:eastAsia="宋体" w:cs="宋体"/>
                <w:color w:val="auto"/>
                <w:kern w:val="0"/>
                <w:sz w:val="24"/>
                <w:szCs w:val="24"/>
                <w:lang w:val="en-US" w:eastAsia="zh-CN" w:bidi="ar-SA"/>
              </w:rPr>
              <w:t>（9）本项目专门面向中小微企业采购，供应商须提供中小企业声明函。</w:t>
            </w:r>
          </w:p>
        </w:tc>
        <w:tc>
          <w:tcPr>
            <w:tcW w:w="914" w:type="dxa"/>
            <w:noWrap w:val="0"/>
            <w:vAlign w:val="center"/>
          </w:tcPr>
          <w:p w14:paraId="19ECE543">
            <w:pPr>
              <w:keepNext w:val="0"/>
              <w:keepLines w:val="0"/>
              <w:widowControl/>
              <w:suppressLineNumbers w:val="0"/>
              <w:spacing w:before="0" w:beforeAutospacing="0" w:after="0" w:afterAutospacing="0" w:line="360" w:lineRule="auto"/>
              <w:ind w:right="0"/>
              <w:jc w:val="left"/>
              <w:rPr>
                <w:rFonts w:hint="default" w:ascii="宋体" w:hAnsi="宋体" w:eastAsia="宋体" w:cs="宋体"/>
                <w:sz w:val="24"/>
                <w:szCs w:val="24"/>
                <w:lang w:val="en-US"/>
              </w:rPr>
            </w:pPr>
            <w:r>
              <w:rPr>
                <w:rFonts w:hint="eastAsia" w:ascii="宋体" w:hAnsi="宋体" w:eastAsia="宋体" w:cs="宋体"/>
                <w:sz w:val="24"/>
                <w:szCs w:val="24"/>
                <w:lang w:eastAsia="zh-CN"/>
              </w:rPr>
              <w:t>响应文件中所附加盖公章证明资料</w:t>
            </w:r>
            <w:r>
              <w:rPr>
                <w:rFonts w:hint="eastAsia" w:ascii="宋体" w:hAnsi="宋体" w:eastAsia="宋体" w:cs="宋体"/>
                <w:sz w:val="24"/>
                <w:szCs w:val="24"/>
                <w:lang w:val="en-US" w:eastAsia="zh-CN"/>
              </w:rPr>
              <w:t>1</w:t>
            </w:r>
          </w:p>
        </w:tc>
      </w:tr>
      <w:tr w14:paraId="4629C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666" w:type="dxa"/>
            <w:noWrap w:val="0"/>
            <w:vAlign w:val="center"/>
          </w:tcPr>
          <w:p w14:paraId="6D956912">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kern w:val="0"/>
                <w:sz w:val="24"/>
                <w:szCs w:val="24"/>
                <w:lang w:val="en-US" w:eastAsia="zh-CN"/>
              </w:rPr>
            </w:pPr>
            <w:r>
              <w:rPr>
                <w:rFonts w:hint="eastAsia" w:hAnsi="宋体" w:cs="宋体"/>
                <w:color w:val="auto"/>
                <w:kern w:val="0"/>
                <w:sz w:val="24"/>
                <w:szCs w:val="24"/>
                <w:lang w:val="en-US" w:eastAsia="zh-CN"/>
              </w:rPr>
              <w:t>2</w:t>
            </w:r>
          </w:p>
        </w:tc>
        <w:tc>
          <w:tcPr>
            <w:tcW w:w="8229" w:type="dxa"/>
            <w:noWrap w:val="0"/>
            <w:vAlign w:val="center"/>
          </w:tcPr>
          <w:p w14:paraId="115F8389">
            <w:pPr>
              <w:keepNext w:val="0"/>
              <w:keepLines w:val="0"/>
              <w:widowControl/>
              <w:suppressLineNumbers w:val="0"/>
              <w:spacing w:before="0" w:beforeAutospacing="0" w:after="0" w:afterAutospacing="0" w:line="360" w:lineRule="auto"/>
              <w:ind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本项目的特定资格要求中备注所注明的条件</w:t>
            </w:r>
          </w:p>
          <w:p w14:paraId="17FACC90">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Chars="0" w:right="0" w:rightChars="0"/>
              <w:jc w:val="both"/>
              <w:textAlignment w:val="auto"/>
              <w:rPr>
                <w:rFonts w:hint="eastAsia"/>
                <w:lang w:val="en-US" w:eastAsia="zh-CN"/>
              </w:rPr>
            </w:pPr>
            <w:r>
              <w:rPr>
                <w:rFonts w:hint="eastAsia" w:ascii="宋体" w:hAnsi="宋体" w:eastAsia="宋体" w:cs="宋体"/>
                <w:b w:val="0"/>
                <w:bCs w:val="0"/>
                <w:kern w:val="2"/>
                <w:sz w:val="24"/>
                <w:szCs w:val="24"/>
                <w:lang w:val="en-US" w:eastAsia="zh-CN" w:bidi="ar-SA"/>
              </w:rPr>
              <w:t>备注：</w:t>
            </w:r>
            <w:r>
              <w:rPr>
                <w:rFonts w:hint="eastAsia" w:ascii="宋体" w:hAnsi="宋体" w:eastAsia="宋体" w:cs="宋体"/>
                <w:b w:val="0"/>
                <w:bCs w:val="0"/>
                <w:kern w:val="2"/>
                <w:sz w:val="24"/>
                <w:szCs w:val="24"/>
                <w:lang w:val="en-US" w:eastAsia="zh-CN" w:bidi="ar-SA"/>
              </w:rPr>
              <w:br w:type="textWrapping"/>
            </w:r>
            <w:r>
              <w:rPr>
                <w:rFonts w:hint="eastAsia" w:ascii="宋体" w:hAnsi="宋体" w:eastAsia="宋体" w:cs="宋体"/>
                <w:b w:val="0"/>
                <w:bCs w:val="0"/>
                <w:kern w:val="2"/>
                <w:sz w:val="24"/>
                <w:szCs w:val="24"/>
                <w:lang w:val="en-US" w:eastAsia="zh-CN" w:bidi="ar-SA"/>
              </w:rPr>
              <w:t> </w:t>
            </w:r>
            <w:r>
              <w:rPr>
                <w:rFonts w:hint="eastAsia" w:ascii="宋体" w:hAnsi="宋体" w:eastAsia="宋体" w:cs="宋体"/>
                <w:color w:val="auto"/>
                <w:sz w:val="24"/>
                <w:szCs w:val="24"/>
              </w:rPr>
              <w:t> 1.本项目专门面向</w:t>
            </w:r>
            <w:r>
              <w:rPr>
                <w:rFonts w:hint="eastAsia" w:ascii="宋体" w:hAnsi="宋体" w:eastAsia="宋体" w:cs="宋体"/>
                <w:i w:val="0"/>
                <w:iCs w:val="0"/>
                <w:caps w:val="0"/>
                <w:color w:val="auto"/>
                <w:spacing w:val="0"/>
                <w:sz w:val="24"/>
                <w:szCs w:val="24"/>
                <w:highlight w:val="none"/>
                <w:shd w:val="clear" w:color="auto" w:fill="FFFFFF"/>
                <w:lang w:val="en-US" w:eastAsia="zh-CN"/>
              </w:rPr>
              <w:t>中小微</w:t>
            </w:r>
            <w:r>
              <w:rPr>
                <w:rFonts w:hint="eastAsia" w:ascii="宋体" w:hAnsi="宋体" w:eastAsia="宋体" w:cs="宋体"/>
                <w:color w:val="auto"/>
                <w:sz w:val="24"/>
                <w:szCs w:val="24"/>
              </w:rPr>
              <w:t>企业采购，供应商应填写</w:t>
            </w:r>
            <w:r>
              <w:rPr>
                <w:rFonts w:hint="eastAsia" w:ascii="宋体" w:hAnsi="宋体" w:eastAsia="宋体" w:cs="宋体"/>
                <w:i w:val="0"/>
                <w:iCs w:val="0"/>
                <w:caps w:val="0"/>
                <w:color w:val="auto"/>
                <w:spacing w:val="0"/>
                <w:sz w:val="24"/>
                <w:szCs w:val="24"/>
                <w:highlight w:val="none"/>
                <w:shd w:val="clear" w:color="auto" w:fill="FFFFFF"/>
                <w:lang w:val="en-US" w:eastAsia="zh-CN"/>
              </w:rPr>
              <w:t>中小微</w:t>
            </w:r>
            <w:r>
              <w:rPr>
                <w:rFonts w:hint="eastAsia" w:ascii="宋体" w:hAnsi="宋体" w:eastAsia="宋体" w:cs="宋体"/>
                <w:color w:val="auto"/>
                <w:sz w:val="24"/>
                <w:szCs w:val="24"/>
              </w:rPr>
              <w:t>企业声明函并对真实性负责(残疾人福利性企业及监狱企业视同为小型、微型企业)。</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 2.供应商依据《政府采购促进中小企业发展管理办法》相关规定享受扶持政策获得政府采购合同的，</w:t>
            </w:r>
            <w:r>
              <w:rPr>
                <w:rFonts w:hint="eastAsia" w:ascii="宋体" w:hAnsi="宋体" w:eastAsia="宋体" w:cs="宋体"/>
                <w:i w:val="0"/>
                <w:iCs w:val="0"/>
                <w:caps w:val="0"/>
                <w:color w:val="auto"/>
                <w:spacing w:val="0"/>
                <w:sz w:val="24"/>
                <w:szCs w:val="24"/>
                <w:highlight w:val="none"/>
                <w:shd w:val="clear" w:color="auto" w:fill="FFFFFF"/>
                <w:lang w:val="en-US" w:eastAsia="zh-CN"/>
              </w:rPr>
              <w:t>中小微</w:t>
            </w:r>
            <w:r>
              <w:rPr>
                <w:rFonts w:hint="eastAsia" w:ascii="宋体" w:hAnsi="宋体" w:eastAsia="宋体" w:cs="宋体"/>
                <w:color w:val="auto"/>
                <w:sz w:val="24"/>
                <w:szCs w:val="24"/>
              </w:rPr>
              <w:t>企业不得将合同分包给大中型企业，中型企业不得将合同分包给大型企业。</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 </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.以上为必备证明文件，不能全部提供的将拒绝其投标；(若有与法律规定不一致的，须按现行法律法规提供相应证书或材料)。</w:t>
            </w:r>
          </w:p>
        </w:tc>
        <w:tc>
          <w:tcPr>
            <w:tcW w:w="914" w:type="dxa"/>
            <w:noWrap w:val="0"/>
            <w:vAlign w:val="center"/>
          </w:tcPr>
          <w:p w14:paraId="0FDE5557">
            <w:pPr>
              <w:keepNext w:val="0"/>
              <w:keepLines w:val="0"/>
              <w:widowControl/>
              <w:suppressLineNumbers w:val="0"/>
              <w:spacing w:before="0" w:beforeAutospacing="0" w:after="0" w:afterAutospacing="0" w:line="360" w:lineRule="auto"/>
              <w:ind w:right="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符合采购文件要求</w:t>
            </w:r>
          </w:p>
        </w:tc>
      </w:tr>
    </w:tbl>
    <w:p w14:paraId="190BC165">
      <w:pPr>
        <w:pStyle w:val="9"/>
        <w:rPr>
          <w:color w:val="auto"/>
        </w:rPr>
      </w:pPr>
    </w:p>
    <w:p w14:paraId="7DC2DCF4">
      <w:pPr>
        <w:pStyle w:val="17"/>
        <w:pageBreakBefore w:val="0"/>
        <w:numPr>
          <w:ilvl w:val="0"/>
          <w:numId w:val="10"/>
        </w:numPr>
        <w:kinsoku/>
        <w:wordWrap w:val="0"/>
        <w:overflowPunct/>
        <w:topLinePunct w:val="0"/>
        <w:autoSpaceDE/>
        <w:autoSpaceDN/>
        <w:bidi w:val="0"/>
        <w:ind w:left="630" w:leftChars="0" w:firstLine="2891" w:firstLineChars="12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符合性审查</w:t>
      </w:r>
    </w:p>
    <w:tbl>
      <w:tblPr>
        <w:tblStyle w:val="24"/>
        <w:tblW w:w="54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6"/>
        <w:gridCol w:w="3726"/>
        <w:gridCol w:w="5363"/>
      </w:tblGrid>
      <w:tr w14:paraId="29433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46" w:type="pct"/>
            <w:tcBorders>
              <w:top w:val="single" w:color="auto" w:sz="4" w:space="0"/>
              <w:left w:val="single" w:color="auto" w:sz="4" w:space="0"/>
              <w:bottom w:val="single" w:color="auto" w:sz="4" w:space="0"/>
              <w:right w:val="single" w:color="auto" w:sz="4" w:space="0"/>
            </w:tcBorders>
            <w:shd w:val="clear" w:color="auto" w:fill="DCD8C2"/>
            <w:noWrap w:val="0"/>
            <w:vAlign w:val="center"/>
          </w:tcPr>
          <w:p w14:paraId="773A7BA6">
            <w:pPr>
              <w:keepNext w:val="0"/>
              <w:keepLines w:val="0"/>
              <w:suppressLineNumbers w:val="0"/>
              <w:adjustRightInd w:val="0"/>
              <w:snapToGrid w:val="0"/>
              <w:spacing w:before="0" w:beforeAutospacing="0" w:after="0" w:afterAutospacing="0"/>
              <w:ind w:left="0" w:right="0"/>
              <w:jc w:val="center"/>
              <w:rPr>
                <w:rFonts w:hint="default"/>
                <w:b/>
                <w:bCs/>
                <w:color w:val="auto"/>
                <w:sz w:val="24"/>
                <w:szCs w:val="24"/>
              </w:rPr>
            </w:pPr>
            <w:r>
              <w:rPr>
                <w:rFonts w:hint="default"/>
                <w:b/>
                <w:bCs/>
                <w:color w:val="auto"/>
                <w:sz w:val="24"/>
                <w:szCs w:val="24"/>
              </w:rPr>
              <w:t>序号</w:t>
            </w:r>
          </w:p>
        </w:tc>
        <w:tc>
          <w:tcPr>
            <w:tcW w:w="1907" w:type="pct"/>
            <w:tcBorders>
              <w:top w:val="single" w:color="auto" w:sz="4" w:space="0"/>
              <w:left w:val="single" w:color="auto" w:sz="4" w:space="0"/>
              <w:bottom w:val="single" w:color="auto" w:sz="4" w:space="0"/>
              <w:right w:val="single" w:color="auto" w:sz="4" w:space="0"/>
            </w:tcBorders>
            <w:shd w:val="clear" w:color="auto" w:fill="DCD8C2"/>
            <w:noWrap w:val="0"/>
            <w:vAlign w:val="center"/>
          </w:tcPr>
          <w:p w14:paraId="3F84B59F">
            <w:pPr>
              <w:keepNext w:val="0"/>
              <w:keepLines w:val="0"/>
              <w:suppressLineNumbers w:val="0"/>
              <w:adjustRightInd w:val="0"/>
              <w:snapToGrid w:val="0"/>
              <w:spacing w:before="0" w:beforeAutospacing="0" w:after="0" w:afterAutospacing="0"/>
              <w:ind w:left="0" w:right="0"/>
              <w:jc w:val="center"/>
              <w:rPr>
                <w:rFonts w:hint="default"/>
                <w:b/>
                <w:bCs/>
                <w:color w:val="auto"/>
                <w:sz w:val="24"/>
                <w:szCs w:val="24"/>
              </w:rPr>
            </w:pPr>
            <w:r>
              <w:rPr>
                <w:rFonts w:hint="default"/>
                <w:b/>
                <w:bCs/>
                <w:color w:val="auto"/>
                <w:sz w:val="24"/>
                <w:szCs w:val="24"/>
              </w:rPr>
              <w:t>符合性审查项</w:t>
            </w:r>
          </w:p>
        </w:tc>
        <w:tc>
          <w:tcPr>
            <w:tcW w:w="2745" w:type="pct"/>
            <w:tcBorders>
              <w:top w:val="single" w:color="auto" w:sz="4" w:space="0"/>
              <w:left w:val="single" w:color="auto" w:sz="4" w:space="0"/>
              <w:bottom w:val="single" w:color="auto" w:sz="4" w:space="0"/>
              <w:right w:val="single" w:color="auto" w:sz="4" w:space="0"/>
            </w:tcBorders>
            <w:shd w:val="clear" w:color="auto" w:fill="DCD8C2"/>
            <w:noWrap w:val="0"/>
            <w:vAlign w:val="center"/>
          </w:tcPr>
          <w:p w14:paraId="6A23C852">
            <w:pPr>
              <w:keepNext w:val="0"/>
              <w:keepLines w:val="0"/>
              <w:suppressLineNumbers w:val="0"/>
              <w:adjustRightInd w:val="0"/>
              <w:snapToGrid w:val="0"/>
              <w:spacing w:before="0" w:beforeAutospacing="0" w:after="0" w:afterAutospacing="0"/>
              <w:ind w:left="0" w:right="0"/>
              <w:jc w:val="center"/>
              <w:rPr>
                <w:rFonts w:hint="default"/>
                <w:b/>
                <w:bCs/>
                <w:color w:val="auto"/>
                <w:sz w:val="24"/>
                <w:szCs w:val="24"/>
              </w:rPr>
            </w:pPr>
            <w:r>
              <w:rPr>
                <w:rFonts w:hint="default"/>
                <w:b/>
                <w:bCs/>
                <w:color w:val="auto"/>
                <w:sz w:val="24"/>
                <w:szCs w:val="24"/>
              </w:rPr>
              <w:t>通过条件</w:t>
            </w:r>
          </w:p>
        </w:tc>
      </w:tr>
      <w:tr w14:paraId="2B985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346" w:type="pct"/>
            <w:tcBorders>
              <w:top w:val="single" w:color="auto" w:sz="4" w:space="0"/>
              <w:left w:val="single" w:color="auto" w:sz="4" w:space="0"/>
              <w:bottom w:val="single" w:color="auto" w:sz="4" w:space="0"/>
              <w:right w:val="single" w:color="auto" w:sz="4" w:space="0"/>
            </w:tcBorders>
            <w:noWrap w:val="0"/>
            <w:vAlign w:val="center"/>
          </w:tcPr>
          <w:p w14:paraId="176CAE8E">
            <w:pPr>
              <w:keepNext w:val="0"/>
              <w:keepLines w:val="0"/>
              <w:suppressLineNumbers w:val="0"/>
              <w:spacing w:before="0" w:beforeAutospacing="0" w:after="0" w:afterAutospacing="0" w:line="288" w:lineRule="auto"/>
              <w:ind w:left="0" w:right="0"/>
              <w:jc w:val="center"/>
              <w:rPr>
                <w:rFonts w:hint="eastAsia" w:hAnsi="宋体" w:cs="宋体"/>
                <w:color w:val="auto"/>
                <w:sz w:val="24"/>
                <w:szCs w:val="24"/>
              </w:rPr>
            </w:pPr>
            <w:r>
              <w:rPr>
                <w:rFonts w:hint="eastAsia" w:hAnsi="宋体" w:cs="宋体"/>
                <w:color w:val="auto"/>
                <w:sz w:val="24"/>
                <w:szCs w:val="24"/>
              </w:rPr>
              <w:t>1</w:t>
            </w:r>
          </w:p>
        </w:tc>
        <w:tc>
          <w:tcPr>
            <w:tcW w:w="1907" w:type="pct"/>
            <w:tcBorders>
              <w:top w:val="single" w:color="auto" w:sz="4" w:space="0"/>
              <w:left w:val="single" w:color="auto" w:sz="4" w:space="0"/>
              <w:bottom w:val="single" w:color="auto" w:sz="4" w:space="0"/>
              <w:right w:val="single" w:color="auto" w:sz="4" w:space="0"/>
            </w:tcBorders>
            <w:noWrap w:val="0"/>
            <w:vAlign w:val="center"/>
          </w:tcPr>
          <w:p w14:paraId="5C04C90B">
            <w:pPr>
              <w:keepNext w:val="0"/>
              <w:keepLines w:val="0"/>
              <w:suppressLineNumbers w:val="0"/>
              <w:spacing w:before="0" w:beforeAutospacing="0" w:after="0" w:afterAutospacing="0" w:line="288" w:lineRule="auto"/>
              <w:ind w:left="0" w:right="0"/>
              <w:rPr>
                <w:rFonts w:hint="default" w:hAnsi="宋体" w:eastAsia="宋体" w:cs="宋体"/>
                <w:color w:val="auto"/>
                <w:sz w:val="24"/>
                <w:szCs w:val="24"/>
                <w:lang w:val="en-US" w:eastAsia="zh-CN"/>
              </w:rPr>
            </w:pPr>
            <w:r>
              <w:rPr>
                <w:rFonts w:hint="eastAsia" w:hAnsi="宋体" w:cs="宋体"/>
                <w:color w:val="auto"/>
                <w:sz w:val="24"/>
                <w:szCs w:val="24"/>
                <w:lang w:val="en-US" w:eastAsia="zh-CN"/>
              </w:rPr>
              <w:t>电子投标文件签字盖章要求</w:t>
            </w:r>
          </w:p>
        </w:tc>
        <w:tc>
          <w:tcPr>
            <w:tcW w:w="2745" w:type="pct"/>
            <w:tcBorders>
              <w:top w:val="single" w:color="auto" w:sz="4" w:space="0"/>
              <w:left w:val="single" w:color="auto" w:sz="4" w:space="0"/>
              <w:bottom w:val="single" w:color="auto" w:sz="4" w:space="0"/>
              <w:right w:val="single" w:color="auto" w:sz="4" w:space="0"/>
            </w:tcBorders>
            <w:noWrap w:val="0"/>
            <w:vAlign w:val="center"/>
          </w:tcPr>
          <w:p w14:paraId="3F966221">
            <w:pPr>
              <w:keepNext w:val="0"/>
              <w:keepLines w:val="0"/>
              <w:suppressLineNumbers w:val="0"/>
              <w:spacing w:before="0" w:beforeAutospacing="0" w:after="0" w:afterAutospacing="0" w:line="288" w:lineRule="auto"/>
              <w:ind w:left="0" w:right="0"/>
              <w:rPr>
                <w:rFonts w:hint="default" w:hAnsi="宋体" w:eastAsia="宋体" w:cs="宋体"/>
                <w:color w:val="auto"/>
                <w:sz w:val="24"/>
                <w:szCs w:val="24"/>
                <w:lang w:val="en-US" w:eastAsia="zh-CN"/>
              </w:rPr>
            </w:pPr>
            <w:r>
              <w:rPr>
                <w:rFonts w:hint="eastAsia" w:hAnsi="宋体" w:cs="宋体"/>
                <w:color w:val="auto"/>
                <w:sz w:val="24"/>
                <w:szCs w:val="24"/>
                <w:lang w:val="en-US" w:eastAsia="zh-CN"/>
              </w:rPr>
              <w:t>均符合招标文件要求。</w:t>
            </w:r>
          </w:p>
        </w:tc>
      </w:tr>
      <w:tr w14:paraId="67F13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346" w:type="pct"/>
            <w:tcBorders>
              <w:top w:val="single" w:color="auto" w:sz="4" w:space="0"/>
              <w:left w:val="single" w:color="auto" w:sz="4" w:space="0"/>
              <w:bottom w:val="single" w:color="auto" w:sz="4" w:space="0"/>
              <w:right w:val="single" w:color="auto" w:sz="4" w:space="0"/>
            </w:tcBorders>
            <w:noWrap w:val="0"/>
            <w:vAlign w:val="center"/>
          </w:tcPr>
          <w:p w14:paraId="7973F49F">
            <w:pPr>
              <w:keepNext w:val="0"/>
              <w:keepLines w:val="0"/>
              <w:suppressLineNumbers w:val="0"/>
              <w:spacing w:before="0" w:beforeAutospacing="0" w:after="0" w:afterAutospacing="0" w:line="288" w:lineRule="auto"/>
              <w:ind w:left="0" w:right="0"/>
              <w:jc w:val="center"/>
              <w:rPr>
                <w:rFonts w:hint="default" w:hAnsi="宋体" w:cs="宋体"/>
                <w:color w:val="auto"/>
                <w:sz w:val="24"/>
                <w:szCs w:val="24"/>
              </w:rPr>
            </w:pPr>
            <w:r>
              <w:rPr>
                <w:rFonts w:hint="eastAsia" w:hAnsi="宋体" w:cs="宋体"/>
                <w:color w:val="auto"/>
                <w:sz w:val="24"/>
                <w:szCs w:val="24"/>
              </w:rPr>
              <w:t>2</w:t>
            </w:r>
          </w:p>
        </w:tc>
        <w:tc>
          <w:tcPr>
            <w:tcW w:w="1907" w:type="pct"/>
            <w:tcBorders>
              <w:top w:val="single" w:color="auto" w:sz="4" w:space="0"/>
              <w:left w:val="single" w:color="auto" w:sz="4" w:space="0"/>
              <w:bottom w:val="single" w:color="auto" w:sz="4" w:space="0"/>
              <w:right w:val="single" w:color="auto" w:sz="4" w:space="0"/>
            </w:tcBorders>
            <w:noWrap w:val="0"/>
            <w:vAlign w:val="center"/>
          </w:tcPr>
          <w:p w14:paraId="7A9D2A97">
            <w:pPr>
              <w:keepNext w:val="0"/>
              <w:keepLines w:val="0"/>
              <w:suppressLineNumbers w:val="0"/>
              <w:spacing w:before="0" w:beforeAutospacing="0" w:after="0" w:afterAutospacing="0" w:line="288" w:lineRule="auto"/>
              <w:ind w:left="0" w:right="0"/>
              <w:rPr>
                <w:rFonts w:hint="default" w:hAnsi="宋体" w:cs="宋体"/>
                <w:color w:val="auto"/>
                <w:sz w:val="24"/>
                <w:szCs w:val="24"/>
              </w:rPr>
            </w:pPr>
            <w:r>
              <w:rPr>
                <w:rFonts w:hint="eastAsia" w:hAnsi="宋体" w:cs="宋体"/>
                <w:color w:val="auto"/>
                <w:sz w:val="24"/>
                <w:szCs w:val="24"/>
              </w:rPr>
              <w:t>投标文件项目名称、项目编号、标段（未分标段的除外）</w:t>
            </w:r>
          </w:p>
        </w:tc>
        <w:tc>
          <w:tcPr>
            <w:tcW w:w="2745" w:type="pct"/>
            <w:tcBorders>
              <w:top w:val="single" w:color="auto" w:sz="4" w:space="0"/>
              <w:left w:val="single" w:color="auto" w:sz="4" w:space="0"/>
              <w:bottom w:val="single" w:color="auto" w:sz="4" w:space="0"/>
              <w:right w:val="single" w:color="auto" w:sz="4" w:space="0"/>
            </w:tcBorders>
            <w:noWrap w:val="0"/>
            <w:vAlign w:val="center"/>
          </w:tcPr>
          <w:p w14:paraId="0397FD40">
            <w:pPr>
              <w:keepNext w:val="0"/>
              <w:keepLines w:val="0"/>
              <w:suppressLineNumbers w:val="0"/>
              <w:spacing w:before="0" w:beforeAutospacing="0" w:after="0" w:afterAutospacing="0" w:line="288" w:lineRule="auto"/>
              <w:ind w:left="0" w:right="0"/>
              <w:rPr>
                <w:rFonts w:hint="default" w:hAnsi="宋体" w:cs="宋体"/>
                <w:color w:val="auto"/>
                <w:sz w:val="24"/>
                <w:szCs w:val="24"/>
              </w:rPr>
            </w:pPr>
            <w:r>
              <w:rPr>
                <w:rFonts w:hint="eastAsia" w:hAnsi="宋体" w:cs="宋体"/>
                <w:color w:val="auto"/>
                <w:sz w:val="24"/>
                <w:szCs w:val="24"/>
              </w:rPr>
              <w:t>投标文件中（含封皮）的项目名称、项目编号、标段与本项目完全一致，且无遗漏。</w:t>
            </w:r>
          </w:p>
        </w:tc>
      </w:tr>
      <w:tr w14:paraId="616E0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7" w:hRule="atLeast"/>
          <w:jc w:val="center"/>
        </w:trPr>
        <w:tc>
          <w:tcPr>
            <w:tcW w:w="346" w:type="pct"/>
            <w:tcBorders>
              <w:top w:val="single" w:color="auto" w:sz="4" w:space="0"/>
              <w:left w:val="single" w:color="auto" w:sz="4" w:space="0"/>
              <w:bottom w:val="single" w:color="auto" w:sz="4" w:space="0"/>
              <w:right w:val="single" w:color="auto" w:sz="4" w:space="0"/>
            </w:tcBorders>
            <w:noWrap w:val="0"/>
            <w:vAlign w:val="center"/>
          </w:tcPr>
          <w:p w14:paraId="0D2DBCE2">
            <w:pPr>
              <w:keepNext w:val="0"/>
              <w:keepLines w:val="0"/>
              <w:suppressLineNumbers w:val="0"/>
              <w:spacing w:before="0" w:beforeAutospacing="0" w:after="0" w:afterAutospacing="0" w:line="288" w:lineRule="auto"/>
              <w:ind w:left="0" w:right="0"/>
              <w:jc w:val="center"/>
              <w:rPr>
                <w:rFonts w:hint="default" w:hAnsi="宋体" w:cs="宋体"/>
                <w:color w:val="auto"/>
                <w:sz w:val="24"/>
                <w:szCs w:val="24"/>
              </w:rPr>
            </w:pPr>
            <w:r>
              <w:rPr>
                <w:rFonts w:hint="eastAsia" w:hAnsi="宋体" w:cs="宋体"/>
                <w:color w:val="auto"/>
                <w:sz w:val="24"/>
                <w:szCs w:val="24"/>
              </w:rPr>
              <w:t>3</w:t>
            </w:r>
          </w:p>
        </w:tc>
        <w:tc>
          <w:tcPr>
            <w:tcW w:w="1907" w:type="pct"/>
            <w:tcBorders>
              <w:top w:val="single" w:color="auto" w:sz="4" w:space="0"/>
              <w:left w:val="single" w:color="auto" w:sz="4" w:space="0"/>
              <w:bottom w:val="single" w:color="auto" w:sz="4" w:space="0"/>
              <w:right w:val="single" w:color="auto" w:sz="4" w:space="0"/>
            </w:tcBorders>
            <w:noWrap w:val="0"/>
            <w:vAlign w:val="center"/>
          </w:tcPr>
          <w:p w14:paraId="728CE7C4">
            <w:pPr>
              <w:keepNext w:val="0"/>
              <w:keepLines w:val="0"/>
              <w:suppressLineNumbers w:val="0"/>
              <w:spacing w:before="0" w:beforeAutospacing="0" w:after="0" w:afterAutospacing="0" w:line="288" w:lineRule="auto"/>
              <w:ind w:left="0" w:right="0"/>
              <w:rPr>
                <w:rFonts w:hint="default" w:hAnsi="宋体" w:cs="宋体"/>
                <w:color w:val="auto"/>
                <w:sz w:val="24"/>
                <w:szCs w:val="24"/>
              </w:rPr>
            </w:pPr>
            <w:r>
              <w:rPr>
                <w:rFonts w:hint="eastAsia" w:hAnsi="宋体" w:cs="宋体"/>
                <w:color w:val="auto"/>
                <w:sz w:val="24"/>
                <w:szCs w:val="24"/>
              </w:rPr>
              <w:t>投标文件组成</w:t>
            </w:r>
          </w:p>
        </w:tc>
        <w:tc>
          <w:tcPr>
            <w:tcW w:w="2745" w:type="pct"/>
            <w:tcBorders>
              <w:top w:val="single" w:color="auto" w:sz="4" w:space="0"/>
              <w:left w:val="single" w:color="auto" w:sz="4" w:space="0"/>
              <w:bottom w:val="single" w:color="auto" w:sz="4" w:space="0"/>
              <w:right w:val="single" w:color="auto" w:sz="4" w:space="0"/>
            </w:tcBorders>
            <w:noWrap w:val="0"/>
            <w:vAlign w:val="center"/>
          </w:tcPr>
          <w:p w14:paraId="1629FDE3">
            <w:pPr>
              <w:keepNext w:val="0"/>
              <w:keepLines w:val="0"/>
              <w:suppressLineNumbers w:val="0"/>
              <w:spacing w:before="0" w:beforeAutospacing="0" w:after="0" w:afterAutospacing="0" w:line="288" w:lineRule="auto"/>
              <w:ind w:left="0" w:right="0"/>
              <w:rPr>
                <w:rFonts w:hint="default" w:hAnsi="宋体" w:cs="宋体"/>
                <w:color w:val="auto"/>
                <w:sz w:val="24"/>
                <w:szCs w:val="24"/>
              </w:rPr>
            </w:pPr>
            <w:r>
              <w:rPr>
                <w:rFonts w:hint="eastAsia" w:hAnsi="宋体" w:cs="宋体"/>
                <w:color w:val="auto"/>
                <w:sz w:val="24"/>
                <w:szCs w:val="24"/>
              </w:rPr>
              <w:t>投标文件应包含以下内容：</w:t>
            </w:r>
          </w:p>
          <w:p w14:paraId="03BD8077">
            <w:pPr>
              <w:keepNext w:val="0"/>
              <w:keepLines w:val="0"/>
              <w:suppressLineNumbers w:val="0"/>
              <w:spacing w:before="0" w:beforeAutospacing="0" w:after="0" w:afterAutospacing="0" w:line="288" w:lineRule="auto"/>
              <w:ind w:left="0" w:right="0"/>
              <w:rPr>
                <w:rFonts w:hint="default" w:hAnsi="宋体" w:cs="宋体"/>
                <w:color w:val="auto"/>
                <w:sz w:val="24"/>
                <w:szCs w:val="24"/>
              </w:rPr>
            </w:pPr>
            <w:r>
              <w:rPr>
                <w:rFonts w:hint="eastAsia" w:hAnsi="宋体" w:cs="宋体"/>
                <w:color w:val="auto"/>
                <w:sz w:val="24"/>
                <w:szCs w:val="24"/>
              </w:rPr>
              <w:t>（1）投标函；</w:t>
            </w:r>
          </w:p>
          <w:p w14:paraId="59438590">
            <w:pPr>
              <w:keepNext w:val="0"/>
              <w:keepLines w:val="0"/>
              <w:suppressLineNumbers w:val="0"/>
              <w:spacing w:before="0" w:beforeAutospacing="0" w:after="0" w:afterAutospacing="0" w:line="288" w:lineRule="auto"/>
              <w:ind w:left="0" w:right="0"/>
              <w:rPr>
                <w:rFonts w:hint="default" w:hAnsi="宋体" w:cs="宋体"/>
                <w:color w:val="auto"/>
                <w:sz w:val="24"/>
                <w:szCs w:val="24"/>
              </w:rPr>
            </w:pPr>
            <w:r>
              <w:rPr>
                <w:rFonts w:hint="eastAsia" w:hAnsi="宋体" w:cs="宋体"/>
                <w:color w:val="auto"/>
                <w:sz w:val="24"/>
                <w:szCs w:val="24"/>
              </w:rPr>
              <w:t>（2）开标一览表、分项报价表《投标文件构成及格式》未作要求的除外）；</w:t>
            </w:r>
          </w:p>
          <w:p w14:paraId="060AB9A3">
            <w:pPr>
              <w:keepNext w:val="0"/>
              <w:keepLines w:val="0"/>
              <w:suppressLineNumbers w:val="0"/>
              <w:spacing w:before="0" w:beforeAutospacing="0" w:after="0" w:afterAutospacing="0" w:line="288" w:lineRule="auto"/>
              <w:ind w:left="0" w:right="0"/>
              <w:rPr>
                <w:rFonts w:hint="default" w:hAnsi="宋体" w:cs="宋体"/>
                <w:color w:val="auto"/>
                <w:sz w:val="24"/>
                <w:szCs w:val="24"/>
              </w:rPr>
            </w:pPr>
            <w:r>
              <w:rPr>
                <w:rFonts w:hint="eastAsia" w:hAnsi="宋体" w:cs="宋体"/>
                <w:color w:val="auto"/>
                <w:sz w:val="24"/>
                <w:szCs w:val="24"/>
              </w:rPr>
              <w:t>（3）资格证明文件；</w:t>
            </w:r>
          </w:p>
          <w:p w14:paraId="76AFC3EB">
            <w:pPr>
              <w:keepNext w:val="0"/>
              <w:keepLines w:val="0"/>
              <w:suppressLineNumbers w:val="0"/>
              <w:spacing w:before="0" w:beforeAutospacing="0" w:after="0" w:afterAutospacing="0" w:line="288" w:lineRule="auto"/>
              <w:ind w:left="0" w:right="0"/>
              <w:rPr>
                <w:rFonts w:hint="default" w:hAnsi="宋体" w:cs="宋体"/>
                <w:color w:val="auto"/>
                <w:sz w:val="24"/>
                <w:szCs w:val="24"/>
              </w:rPr>
            </w:pPr>
            <w:r>
              <w:rPr>
                <w:rFonts w:hint="eastAsia" w:hAnsi="宋体" w:cs="宋体"/>
                <w:color w:val="auto"/>
                <w:sz w:val="24"/>
                <w:szCs w:val="24"/>
              </w:rPr>
              <w:t>（4）投标人基本信息及其概况；</w:t>
            </w:r>
          </w:p>
          <w:p w14:paraId="6483465E">
            <w:pPr>
              <w:keepNext w:val="0"/>
              <w:keepLines w:val="0"/>
              <w:suppressLineNumbers w:val="0"/>
              <w:spacing w:before="0" w:beforeAutospacing="0" w:after="0" w:afterAutospacing="0" w:line="288" w:lineRule="auto"/>
              <w:ind w:left="0" w:right="0"/>
              <w:rPr>
                <w:rFonts w:hint="default" w:hAnsi="宋体" w:cs="宋体"/>
                <w:color w:val="auto"/>
                <w:sz w:val="24"/>
                <w:szCs w:val="24"/>
              </w:rPr>
            </w:pPr>
            <w:r>
              <w:rPr>
                <w:rFonts w:hint="eastAsia" w:hAnsi="宋体" w:cs="宋体"/>
                <w:color w:val="auto"/>
                <w:sz w:val="24"/>
                <w:szCs w:val="24"/>
              </w:rPr>
              <w:t>（5）投标人参加政府采购活动承诺书；</w:t>
            </w:r>
          </w:p>
          <w:p w14:paraId="78B6D0D2">
            <w:pPr>
              <w:keepNext w:val="0"/>
              <w:keepLines w:val="0"/>
              <w:suppressLineNumbers w:val="0"/>
              <w:spacing w:before="0" w:beforeAutospacing="0" w:after="0" w:afterAutospacing="0" w:line="288" w:lineRule="auto"/>
              <w:ind w:left="0" w:right="0"/>
              <w:rPr>
                <w:rFonts w:hint="default" w:hAnsi="宋体" w:cs="宋体"/>
                <w:color w:val="auto"/>
                <w:sz w:val="24"/>
                <w:szCs w:val="24"/>
              </w:rPr>
            </w:pPr>
            <w:r>
              <w:rPr>
                <w:rFonts w:hint="eastAsia" w:hAnsi="宋体" w:cs="宋体"/>
                <w:color w:val="auto"/>
                <w:sz w:val="24"/>
                <w:szCs w:val="24"/>
              </w:rPr>
              <w:t>（6）投标响应方案。</w:t>
            </w:r>
          </w:p>
        </w:tc>
      </w:tr>
      <w:tr w14:paraId="21539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46" w:type="pct"/>
            <w:tcBorders>
              <w:top w:val="single" w:color="auto" w:sz="4" w:space="0"/>
              <w:left w:val="single" w:color="auto" w:sz="4" w:space="0"/>
              <w:bottom w:val="single" w:color="auto" w:sz="4" w:space="0"/>
              <w:right w:val="single" w:color="auto" w:sz="4" w:space="0"/>
            </w:tcBorders>
            <w:noWrap w:val="0"/>
            <w:vAlign w:val="center"/>
          </w:tcPr>
          <w:p w14:paraId="1E3F7446">
            <w:pPr>
              <w:keepNext w:val="0"/>
              <w:keepLines w:val="0"/>
              <w:suppressLineNumbers w:val="0"/>
              <w:spacing w:before="0" w:beforeAutospacing="0" w:after="0" w:afterAutospacing="0" w:line="288" w:lineRule="auto"/>
              <w:ind w:left="0" w:right="0"/>
              <w:jc w:val="center"/>
              <w:rPr>
                <w:rFonts w:hint="default" w:hAnsi="宋体" w:cs="宋体"/>
                <w:color w:val="auto"/>
                <w:sz w:val="24"/>
                <w:szCs w:val="24"/>
              </w:rPr>
            </w:pPr>
            <w:r>
              <w:rPr>
                <w:rFonts w:hint="eastAsia" w:hAnsi="宋体" w:cs="宋体"/>
                <w:color w:val="auto"/>
                <w:sz w:val="24"/>
                <w:szCs w:val="24"/>
              </w:rPr>
              <w:t>4</w:t>
            </w:r>
          </w:p>
        </w:tc>
        <w:tc>
          <w:tcPr>
            <w:tcW w:w="1907" w:type="pct"/>
            <w:tcBorders>
              <w:top w:val="single" w:color="auto" w:sz="4" w:space="0"/>
              <w:left w:val="single" w:color="auto" w:sz="4" w:space="0"/>
              <w:bottom w:val="single" w:color="auto" w:sz="4" w:space="0"/>
              <w:right w:val="single" w:color="auto" w:sz="4" w:space="0"/>
            </w:tcBorders>
            <w:noWrap w:val="0"/>
            <w:vAlign w:val="center"/>
          </w:tcPr>
          <w:p w14:paraId="385F9F09">
            <w:pPr>
              <w:keepNext w:val="0"/>
              <w:keepLines w:val="0"/>
              <w:suppressLineNumbers w:val="0"/>
              <w:spacing w:before="0" w:beforeAutospacing="0" w:after="0" w:afterAutospacing="0" w:line="288" w:lineRule="auto"/>
              <w:ind w:left="0" w:right="0"/>
              <w:rPr>
                <w:rFonts w:hint="default" w:hAnsi="宋体" w:cs="宋体"/>
                <w:color w:val="auto"/>
                <w:sz w:val="24"/>
                <w:szCs w:val="24"/>
              </w:rPr>
            </w:pPr>
            <w:r>
              <w:rPr>
                <w:rFonts w:hint="eastAsia" w:hAnsi="宋体" w:cs="宋体"/>
                <w:color w:val="auto"/>
                <w:sz w:val="24"/>
                <w:szCs w:val="24"/>
              </w:rPr>
              <w:t>投标文件的签署、盖章</w:t>
            </w:r>
          </w:p>
        </w:tc>
        <w:tc>
          <w:tcPr>
            <w:tcW w:w="2745" w:type="pct"/>
            <w:tcBorders>
              <w:top w:val="single" w:color="auto" w:sz="4" w:space="0"/>
              <w:left w:val="single" w:color="auto" w:sz="4" w:space="0"/>
              <w:bottom w:val="single" w:color="auto" w:sz="4" w:space="0"/>
              <w:right w:val="single" w:color="auto" w:sz="4" w:space="0"/>
            </w:tcBorders>
            <w:noWrap w:val="0"/>
            <w:vAlign w:val="center"/>
          </w:tcPr>
          <w:p w14:paraId="540FCB79">
            <w:pPr>
              <w:keepNext w:val="0"/>
              <w:keepLines w:val="0"/>
              <w:suppressLineNumbers w:val="0"/>
              <w:spacing w:before="0" w:beforeAutospacing="0" w:after="0" w:afterAutospacing="0" w:line="288" w:lineRule="auto"/>
              <w:ind w:left="0" w:right="0"/>
              <w:rPr>
                <w:rFonts w:hint="default" w:hAnsi="宋体" w:cs="宋体"/>
                <w:color w:val="auto"/>
                <w:sz w:val="24"/>
                <w:szCs w:val="24"/>
              </w:rPr>
            </w:pPr>
            <w:r>
              <w:rPr>
                <w:rFonts w:hint="eastAsia" w:hAnsi="宋体" w:cs="宋体"/>
                <w:color w:val="auto"/>
                <w:sz w:val="24"/>
                <w:szCs w:val="24"/>
              </w:rPr>
              <w:t>签署、盖章均符合招标文件要求，且无遗漏。</w:t>
            </w:r>
          </w:p>
        </w:tc>
      </w:tr>
      <w:tr w14:paraId="2500F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346" w:type="pct"/>
            <w:tcBorders>
              <w:top w:val="single" w:color="auto" w:sz="4" w:space="0"/>
              <w:left w:val="single" w:color="auto" w:sz="4" w:space="0"/>
              <w:bottom w:val="single" w:color="auto" w:sz="4" w:space="0"/>
              <w:right w:val="single" w:color="auto" w:sz="4" w:space="0"/>
            </w:tcBorders>
            <w:noWrap w:val="0"/>
            <w:vAlign w:val="center"/>
          </w:tcPr>
          <w:p w14:paraId="64404E41">
            <w:pPr>
              <w:keepNext w:val="0"/>
              <w:keepLines w:val="0"/>
              <w:suppressLineNumbers w:val="0"/>
              <w:spacing w:before="0" w:beforeAutospacing="0" w:after="0" w:afterAutospacing="0" w:line="288" w:lineRule="auto"/>
              <w:ind w:left="0" w:right="0"/>
              <w:jc w:val="center"/>
              <w:rPr>
                <w:rFonts w:hint="default" w:hAnsi="宋体" w:cs="宋体"/>
                <w:color w:val="auto"/>
                <w:sz w:val="24"/>
                <w:szCs w:val="24"/>
              </w:rPr>
            </w:pPr>
            <w:r>
              <w:rPr>
                <w:rFonts w:hint="eastAsia" w:hAnsi="宋体" w:cs="宋体"/>
                <w:color w:val="auto"/>
                <w:sz w:val="24"/>
                <w:szCs w:val="24"/>
              </w:rPr>
              <w:t>5</w:t>
            </w:r>
          </w:p>
        </w:tc>
        <w:tc>
          <w:tcPr>
            <w:tcW w:w="1907" w:type="pct"/>
            <w:tcBorders>
              <w:top w:val="single" w:color="auto" w:sz="4" w:space="0"/>
              <w:left w:val="single" w:color="auto" w:sz="4" w:space="0"/>
              <w:bottom w:val="single" w:color="auto" w:sz="4" w:space="0"/>
              <w:right w:val="single" w:color="auto" w:sz="4" w:space="0"/>
            </w:tcBorders>
            <w:noWrap w:val="0"/>
            <w:vAlign w:val="center"/>
          </w:tcPr>
          <w:p w14:paraId="5C015797">
            <w:pPr>
              <w:keepNext w:val="0"/>
              <w:keepLines w:val="0"/>
              <w:suppressLineNumbers w:val="0"/>
              <w:spacing w:before="0" w:beforeAutospacing="0" w:after="0" w:afterAutospacing="0" w:line="288" w:lineRule="auto"/>
              <w:ind w:left="0" w:right="0"/>
              <w:rPr>
                <w:rFonts w:hint="default" w:hAnsi="宋体" w:cs="宋体"/>
                <w:color w:val="auto"/>
                <w:sz w:val="24"/>
                <w:szCs w:val="24"/>
              </w:rPr>
            </w:pPr>
            <w:r>
              <w:rPr>
                <w:rFonts w:hint="eastAsia" w:hAnsi="宋体" w:cs="宋体"/>
                <w:color w:val="auto"/>
                <w:sz w:val="24"/>
                <w:szCs w:val="24"/>
              </w:rPr>
              <w:t>投标文件的语言及计量单位</w:t>
            </w:r>
          </w:p>
        </w:tc>
        <w:tc>
          <w:tcPr>
            <w:tcW w:w="2745" w:type="pct"/>
            <w:tcBorders>
              <w:top w:val="single" w:color="auto" w:sz="4" w:space="0"/>
              <w:left w:val="single" w:color="auto" w:sz="4" w:space="0"/>
              <w:bottom w:val="single" w:color="auto" w:sz="4" w:space="0"/>
              <w:right w:val="single" w:color="auto" w:sz="4" w:space="0"/>
            </w:tcBorders>
            <w:noWrap w:val="0"/>
            <w:vAlign w:val="center"/>
          </w:tcPr>
          <w:p w14:paraId="3F0DFF37">
            <w:pPr>
              <w:keepNext w:val="0"/>
              <w:keepLines w:val="0"/>
              <w:suppressLineNumbers w:val="0"/>
              <w:spacing w:before="0" w:beforeAutospacing="0" w:after="0" w:afterAutospacing="0" w:line="288" w:lineRule="auto"/>
              <w:ind w:left="0" w:right="0"/>
              <w:rPr>
                <w:rFonts w:hint="default" w:hAnsi="宋体" w:cs="宋体"/>
                <w:color w:val="auto"/>
                <w:sz w:val="24"/>
                <w:szCs w:val="24"/>
              </w:rPr>
            </w:pPr>
            <w:r>
              <w:rPr>
                <w:rFonts w:hint="eastAsia" w:hAnsi="宋体" w:cs="宋体"/>
                <w:color w:val="auto"/>
                <w:sz w:val="24"/>
                <w:szCs w:val="24"/>
              </w:rPr>
              <w:t>均符合招标文件要求。</w:t>
            </w:r>
          </w:p>
        </w:tc>
      </w:tr>
      <w:tr w14:paraId="64CC5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46" w:type="pct"/>
            <w:tcBorders>
              <w:top w:val="single" w:color="auto" w:sz="4" w:space="0"/>
              <w:left w:val="single" w:color="auto" w:sz="4" w:space="0"/>
              <w:bottom w:val="single" w:color="auto" w:sz="4" w:space="0"/>
              <w:right w:val="single" w:color="auto" w:sz="4" w:space="0"/>
            </w:tcBorders>
            <w:noWrap w:val="0"/>
            <w:vAlign w:val="center"/>
          </w:tcPr>
          <w:p w14:paraId="5BBA2049">
            <w:pPr>
              <w:keepNext w:val="0"/>
              <w:keepLines w:val="0"/>
              <w:suppressLineNumbers w:val="0"/>
              <w:spacing w:before="0" w:beforeAutospacing="0" w:after="0" w:afterAutospacing="0" w:line="288" w:lineRule="auto"/>
              <w:ind w:left="0" w:right="0"/>
              <w:jc w:val="center"/>
              <w:rPr>
                <w:rFonts w:hint="default" w:hAnsi="宋体" w:cs="宋体"/>
                <w:color w:val="auto"/>
                <w:sz w:val="24"/>
                <w:szCs w:val="24"/>
              </w:rPr>
            </w:pPr>
            <w:r>
              <w:rPr>
                <w:rFonts w:hint="eastAsia" w:hAnsi="宋体" w:cs="宋体"/>
                <w:color w:val="auto"/>
                <w:sz w:val="24"/>
                <w:szCs w:val="24"/>
              </w:rPr>
              <w:t>6</w:t>
            </w:r>
          </w:p>
        </w:tc>
        <w:tc>
          <w:tcPr>
            <w:tcW w:w="1907" w:type="pct"/>
            <w:tcBorders>
              <w:top w:val="single" w:color="auto" w:sz="4" w:space="0"/>
              <w:left w:val="single" w:color="auto" w:sz="4" w:space="0"/>
              <w:bottom w:val="single" w:color="auto" w:sz="4" w:space="0"/>
              <w:right w:val="single" w:color="auto" w:sz="4" w:space="0"/>
            </w:tcBorders>
            <w:noWrap w:val="0"/>
            <w:vAlign w:val="center"/>
          </w:tcPr>
          <w:p w14:paraId="1B5A9E1D">
            <w:pPr>
              <w:keepNext w:val="0"/>
              <w:keepLines w:val="0"/>
              <w:suppressLineNumbers w:val="0"/>
              <w:spacing w:before="0" w:beforeAutospacing="0" w:after="0" w:afterAutospacing="0" w:line="288" w:lineRule="auto"/>
              <w:ind w:left="0" w:right="0"/>
              <w:rPr>
                <w:rFonts w:hint="default" w:hAnsi="宋体" w:cs="宋体"/>
                <w:color w:val="auto"/>
                <w:sz w:val="24"/>
                <w:szCs w:val="24"/>
              </w:rPr>
            </w:pPr>
            <w:r>
              <w:rPr>
                <w:rFonts w:hint="eastAsia" w:hAnsi="宋体" w:cs="宋体"/>
                <w:color w:val="auto"/>
                <w:sz w:val="24"/>
                <w:szCs w:val="24"/>
              </w:rPr>
              <w:t>投标有效期</w:t>
            </w:r>
          </w:p>
        </w:tc>
        <w:tc>
          <w:tcPr>
            <w:tcW w:w="2745" w:type="pct"/>
            <w:tcBorders>
              <w:top w:val="single" w:color="auto" w:sz="4" w:space="0"/>
              <w:left w:val="single" w:color="auto" w:sz="4" w:space="0"/>
              <w:bottom w:val="single" w:color="auto" w:sz="4" w:space="0"/>
              <w:right w:val="single" w:color="auto" w:sz="4" w:space="0"/>
            </w:tcBorders>
            <w:noWrap w:val="0"/>
            <w:vAlign w:val="center"/>
          </w:tcPr>
          <w:p w14:paraId="44EC41D3">
            <w:pPr>
              <w:keepNext w:val="0"/>
              <w:keepLines w:val="0"/>
              <w:suppressLineNumbers w:val="0"/>
              <w:spacing w:before="0" w:beforeAutospacing="0" w:after="0" w:afterAutospacing="0" w:line="288" w:lineRule="auto"/>
              <w:ind w:left="0" w:right="0"/>
              <w:rPr>
                <w:rFonts w:hint="default" w:hAnsi="宋体" w:cs="宋体"/>
                <w:color w:val="auto"/>
                <w:sz w:val="24"/>
                <w:szCs w:val="24"/>
              </w:rPr>
            </w:pPr>
            <w:r>
              <w:rPr>
                <w:rFonts w:hint="eastAsia" w:hAnsi="宋体" w:cs="宋体"/>
                <w:color w:val="auto"/>
                <w:sz w:val="24"/>
                <w:szCs w:val="24"/>
              </w:rPr>
              <w:t>符合招标文件的要求。</w:t>
            </w:r>
          </w:p>
        </w:tc>
      </w:tr>
      <w:tr w14:paraId="681C0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46" w:type="pct"/>
            <w:tcBorders>
              <w:top w:val="single" w:color="auto" w:sz="4" w:space="0"/>
              <w:left w:val="single" w:color="auto" w:sz="4" w:space="0"/>
              <w:bottom w:val="single" w:color="auto" w:sz="4" w:space="0"/>
              <w:right w:val="single" w:color="auto" w:sz="4" w:space="0"/>
            </w:tcBorders>
            <w:noWrap w:val="0"/>
            <w:vAlign w:val="center"/>
          </w:tcPr>
          <w:p w14:paraId="5A521188">
            <w:pPr>
              <w:keepNext w:val="0"/>
              <w:keepLines w:val="0"/>
              <w:suppressLineNumbers w:val="0"/>
              <w:spacing w:before="0" w:beforeAutospacing="0" w:after="0" w:afterAutospacing="0" w:line="288" w:lineRule="auto"/>
              <w:ind w:left="0" w:right="0"/>
              <w:jc w:val="center"/>
              <w:rPr>
                <w:rFonts w:hint="default" w:hAnsi="宋体" w:cs="宋体"/>
                <w:color w:val="auto"/>
                <w:sz w:val="24"/>
                <w:szCs w:val="24"/>
              </w:rPr>
            </w:pPr>
            <w:r>
              <w:rPr>
                <w:rFonts w:hint="eastAsia" w:hAnsi="宋体" w:cs="宋体"/>
                <w:color w:val="auto"/>
                <w:sz w:val="24"/>
                <w:szCs w:val="24"/>
              </w:rPr>
              <w:t>7</w:t>
            </w:r>
          </w:p>
        </w:tc>
        <w:tc>
          <w:tcPr>
            <w:tcW w:w="1907" w:type="pct"/>
            <w:tcBorders>
              <w:top w:val="single" w:color="auto" w:sz="4" w:space="0"/>
              <w:left w:val="single" w:color="auto" w:sz="4" w:space="0"/>
              <w:bottom w:val="single" w:color="auto" w:sz="4" w:space="0"/>
              <w:right w:val="single" w:color="auto" w:sz="4" w:space="0"/>
            </w:tcBorders>
            <w:noWrap w:val="0"/>
            <w:vAlign w:val="center"/>
          </w:tcPr>
          <w:p w14:paraId="28376E73">
            <w:pPr>
              <w:keepNext w:val="0"/>
              <w:keepLines w:val="0"/>
              <w:suppressLineNumbers w:val="0"/>
              <w:spacing w:before="0" w:beforeAutospacing="0" w:after="0" w:afterAutospacing="0" w:line="288" w:lineRule="auto"/>
              <w:ind w:left="0" w:right="0"/>
              <w:rPr>
                <w:rFonts w:hint="default" w:hAnsi="宋体" w:cs="宋体"/>
                <w:color w:val="auto"/>
                <w:sz w:val="24"/>
                <w:szCs w:val="24"/>
              </w:rPr>
            </w:pPr>
            <w:r>
              <w:rPr>
                <w:rFonts w:hint="eastAsia" w:hAnsi="宋体" w:cs="宋体"/>
                <w:color w:val="auto"/>
                <w:sz w:val="24"/>
                <w:szCs w:val="24"/>
              </w:rPr>
              <w:t>投标报价</w:t>
            </w:r>
          </w:p>
        </w:tc>
        <w:tc>
          <w:tcPr>
            <w:tcW w:w="2745" w:type="pct"/>
            <w:tcBorders>
              <w:top w:val="single" w:color="auto" w:sz="4" w:space="0"/>
              <w:left w:val="single" w:color="auto" w:sz="4" w:space="0"/>
              <w:bottom w:val="single" w:color="auto" w:sz="4" w:space="0"/>
              <w:right w:val="single" w:color="auto" w:sz="4" w:space="0"/>
            </w:tcBorders>
            <w:noWrap w:val="0"/>
            <w:vAlign w:val="center"/>
          </w:tcPr>
          <w:p w14:paraId="3F73311B">
            <w:pPr>
              <w:keepNext w:val="0"/>
              <w:keepLines w:val="0"/>
              <w:suppressLineNumbers w:val="0"/>
              <w:spacing w:before="0" w:beforeAutospacing="0" w:after="0" w:afterAutospacing="0" w:line="288" w:lineRule="auto"/>
              <w:ind w:left="0" w:right="0"/>
              <w:rPr>
                <w:rFonts w:hint="default" w:hAnsi="宋体" w:cs="宋体"/>
                <w:color w:val="auto"/>
                <w:sz w:val="24"/>
                <w:szCs w:val="24"/>
              </w:rPr>
            </w:pPr>
            <w:r>
              <w:rPr>
                <w:rFonts w:hint="eastAsia" w:hAnsi="宋体" w:cs="宋体"/>
                <w:color w:val="auto"/>
                <w:sz w:val="24"/>
                <w:szCs w:val="24"/>
              </w:rPr>
              <w:t>同时满足以下条款：</w:t>
            </w:r>
          </w:p>
          <w:p w14:paraId="774B3C89">
            <w:pPr>
              <w:keepNext w:val="0"/>
              <w:keepLines w:val="0"/>
              <w:suppressLineNumbers w:val="0"/>
              <w:spacing w:before="0" w:beforeAutospacing="0" w:after="0" w:afterAutospacing="0" w:line="288" w:lineRule="auto"/>
              <w:ind w:left="0" w:right="0"/>
              <w:rPr>
                <w:rFonts w:hint="default" w:hAnsi="宋体" w:cs="宋体"/>
                <w:color w:val="auto"/>
                <w:sz w:val="24"/>
                <w:szCs w:val="24"/>
              </w:rPr>
            </w:pPr>
            <w:r>
              <w:rPr>
                <w:rFonts w:hint="eastAsia" w:hAnsi="宋体" w:cs="宋体"/>
                <w:color w:val="auto"/>
                <w:sz w:val="24"/>
                <w:szCs w:val="24"/>
              </w:rPr>
              <w:t>（1）投标报价符合唯一性要求；</w:t>
            </w:r>
          </w:p>
          <w:p w14:paraId="20308E55">
            <w:pPr>
              <w:keepNext w:val="0"/>
              <w:keepLines w:val="0"/>
              <w:suppressLineNumbers w:val="0"/>
              <w:spacing w:before="0" w:beforeAutospacing="0" w:after="0" w:afterAutospacing="0" w:line="288" w:lineRule="auto"/>
              <w:ind w:left="0" w:right="0"/>
              <w:rPr>
                <w:rFonts w:hint="default" w:hAnsi="宋体" w:cs="宋体"/>
                <w:color w:val="auto"/>
                <w:sz w:val="24"/>
                <w:szCs w:val="24"/>
              </w:rPr>
            </w:pPr>
            <w:r>
              <w:rPr>
                <w:rFonts w:hint="eastAsia" w:hAnsi="宋体" w:cs="宋体"/>
                <w:color w:val="auto"/>
                <w:sz w:val="24"/>
                <w:szCs w:val="24"/>
              </w:rPr>
              <w:t>（2）开标一览表填写符合要求；</w:t>
            </w:r>
          </w:p>
          <w:p w14:paraId="68340AAA">
            <w:pPr>
              <w:keepNext w:val="0"/>
              <w:keepLines w:val="0"/>
              <w:suppressLineNumbers w:val="0"/>
              <w:spacing w:before="0" w:beforeAutospacing="0" w:after="0" w:afterAutospacing="0" w:line="288" w:lineRule="auto"/>
              <w:ind w:left="0" w:right="0"/>
              <w:rPr>
                <w:rFonts w:hint="default" w:hAnsi="宋体" w:cs="宋体"/>
                <w:color w:val="auto"/>
                <w:sz w:val="24"/>
                <w:szCs w:val="24"/>
              </w:rPr>
            </w:pPr>
            <w:r>
              <w:rPr>
                <w:rFonts w:hint="eastAsia" w:hAnsi="宋体" w:cs="宋体"/>
                <w:color w:val="auto"/>
                <w:sz w:val="24"/>
                <w:szCs w:val="24"/>
              </w:rPr>
              <w:t>（3）报价货币符合招标文件要求；</w:t>
            </w:r>
          </w:p>
          <w:p w14:paraId="624EF796">
            <w:pPr>
              <w:keepNext w:val="0"/>
              <w:keepLines w:val="0"/>
              <w:suppressLineNumbers w:val="0"/>
              <w:spacing w:before="0" w:beforeAutospacing="0" w:after="0" w:afterAutospacing="0" w:line="288" w:lineRule="auto"/>
              <w:ind w:left="0" w:right="0"/>
              <w:rPr>
                <w:rFonts w:hint="default" w:hAnsi="宋体" w:cs="宋体"/>
                <w:color w:val="auto"/>
                <w:sz w:val="24"/>
                <w:szCs w:val="24"/>
              </w:rPr>
            </w:pPr>
            <w:r>
              <w:rPr>
                <w:rFonts w:hint="eastAsia" w:hAnsi="宋体" w:cs="宋体"/>
                <w:color w:val="auto"/>
                <w:sz w:val="24"/>
                <w:szCs w:val="24"/>
              </w:rPr>
              <w:t>（4）未超出采购预算或招标文件规定的最高限价。</w:t>
            </w:r>
          </w:p>
        </w:tc>
      </w:tr>
      <w:tr w14:paraId="523F2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4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48194D2">
            <w:pPr>
              <w:keepNext w:val="0"/>
              <w:keepLines w:val="0"/>
              <w:suppressLineNumbers w:val="0"/>
              <w:spacing w:before="0" w:beforeAutospacing="0" w:after="0" w:afterAutospacing="0" w:line="288" w:lineRule="auto"/>
              <w:ind w:left="0" w:right="0"/>
              <w:jc w:val="center"/>
              <w:rPr>
                <w:rFonts w:hint="default" w:hAnsi="宋体" w:cs="宋体"/>
                <w:color w:val="000000" w:themeColor="text1"/>
                <w:sz w:val="24"/>
                <w:szCs w:val="24"/>
                <w:highlight w:val="darkBlue"/>
                <w:shd w:val="clear" w:color="auto" w:fill="auto"/>
                <w14:textFill>
                  <w14:solidFill>
                    <w14:schemeClr w14:val="tx1"/>
                  </w14:solidFill>
                </w14:textFill>
              </w:rPr>
            </w:pPr>
            <w:r>
              <w:rPr>
                <w:rFonts w:hint="eastAsia" w:hAnsi="宋体" w:cs="宋体"/>
                <w:color w:val="000000" w:themeColor="text1"/>
                <w:sz w:val="24"/>
                <w:szCs w:val="24"/>
                <w:highlight w:val="darkBlue"/>
                <w:shd w:val="clear" w:color="auto" w:fill="auto"/>
                <w14:textFill>
                  <w14:solidFill>
                    <w14:schemeClr w14:val="tx1"/>
                  </w14:solidFill>
                </w14:textFill>
              </w:rPr>
              <w:t>8</w:t>
            </w:r>
          </w:p>
        </w:tc>
        <w:tc>
          <w:tcPr>
            <w:tcW w:w="190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372AC96">
            <w:pPr>
              <w:keepNext w:val="0"/>
              <w:keepLines w:val="0"/>
              <w:suppressLineNumbers w:val="0"/>
              <w:spacing w:before="0" w:beforeAutospacing="0" w:after="0" w:afterAutospacing="0" w:line="288" w:lineRule="auto"/>
              <w:ind w:left="0" w:right="0"/>
              <w:rPr>
                <w:rFonts w:hint="default" w:hAnsi="宋体" w:cs="宋体"/>
                <w:color w:val="000000" w:themeColor="text1"/>
                <w:sz w:val="24"/>
                <w:szCs w:val="24"/>
                <w:highlight w:val="darkBlue"/>
                <w:shd w:val="clear" w:color="auto" w:fill="auto"/>
                <w14:textFill>
                  <w14:solidFill>
                    <w14:schemeClr w14:val="tx1"/>
                  </w14:solidFill>
                </w14:textFill>
              </w:rPr>
            </w:pPr>
            <w:r>
              <w:rPr>
                <w:rFonts w:hint="eastAsia" w:hAnsi="宋体" w:cs="宋体"/>
                <w:color w:val="000000" w:themeColor="text1"/>
                <w:sz w:val="24"/>
                <w:szCs w:val="24"/>
                <w:highlight w:val="darkBlue"/>
                <w:shd w:val="clear" w:color="auto" w:fill="auto"/>
                <w14:textFill>
                  <w14:solidFill>
                    <w14:schemeClr w14:val="tx1"/>
                  </w14:solidFill>
                </w14:textFill>
              </w:rPr>
              <w:t>实质性条款响应</w:t>
            </w:r>
          </w:p>
        </w:tc>
        <w:tc>
          <w:tcPr>
            <w:tcW w:w="274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E1515D3">
            <w:pPr>
              <w:keepNext w:val="0"/>
              <w:keepLines w:val="0"/>
              <w:suppressLineNumbers w:val="0"/>
              <w:spacing w:before="0" w:beforeAutospacing="0" w:after="0" w:afterAutospacing="0" w:line="288" w:lineRule="auto"/>
              <w:ind w:left="0" w:right="0"/>
              <w:rPr>
                <w:rFonts w:hint="default" w:hAnsi="宋体" w:cs="宋体"/>
                <w:color w:val="000000" w:themeColor="text1"/>
                <w:sz w:val="24"/>
                <w:szCs w:val="24"/>
                <w:highlight w:val="darkBlue"/>
                <w:shd w:val="clear" w:color="auto" w:fill="auto"/>
                <w14:textFill>
                  <w14:solidFill>
                    <w14:schemeClr w14:val="tx1"/>
                  </w14:solidFill>
                </w14:textFill>
              </w:rPr>
            </w:pPr>
            <w:r>
              <w:rPr>
                <w:rFonts w:hint="default" w:hAnsi="宋体" w:cs="宋体"/>
                <w:color w:val="000000" w:themeColor="text1"/>
                <w:sz w:val="24"/>
                <w:szCs w:val="24"/>
                <w:highlight w:val="darkBlue"/>
                <w:shd w:val="clear" w:color="auto" w:fill="auto"/>
                <w14:textFill>
                  <w14:solidFill>
                    <w14:schemeClr w14:val="tx1"/>
                  </w14:solidFill>
                </w14:textFill>
              </w:rPr>
              <w:t>完全响应招标文件要求的各项技术/服务/商务实质性条款</w:t>
            </w:r>
            <w:r>
              <w:rPr>
                <w:rFonts w:hint="eastAsia" w:hAnsi="宋体" w:cs="宋体"/>
                <w:color w:val="000000" w:themeColor="text1"/>
                <w:sz w:val="24"/>
                <w:szCs w:val="24"/>
                <w:highlight w:val="darkBlue"/>
                <w:shd w:val="clear" w:color="auto" w:fill="auto"/>
                <w:lang w:eastAsia="zh-CN"/>
                <w14:textFill>
                  <w14:solidFill>
                    <w14:schemeClr w14:val="tx1"/>
                  </w14:solidFill>
                </w14:textFill>
              </w:rPr>
              <w:t>。</w:t>
            </w:r>
            <w:r>
              <w:rPr>
                <w:rFonts w:hint="default" w:hAnsi="宋体" w:cs="宋体"/>
                <w:color w:val="000000" w:themeColor="text1"/>
                <w:sz w:val="24"/>
                <w:szCs w:val="24"/>
                <w:highlight w:val="darkBlue"/>
                <w:shd w:val="clear" w:color="auto" w:fill="auto"/>
                <w14:textFill>
                  <w14:solidFill>
                    <w14:schemeClr w14:val="tx1"/>
                  </w14:solidFill>
                </w14:textFill>
              </w:rPr>
              <w:t>（</w:t>
            </w:r>
            <w:r>
              <w:rPr>
                <w:rFonts w:hint="eastAsia" w:hAnsi="宋体" w:cs="宋体"/>
                <w:color w:val="000000" w:themeColor="text1"/>
                <w:sz w:val="24"/>
                <w:szCs w:val="24"/>
                <w:highlight w:val="darkBlue"/>
                <w:shd w:val="clear" w:color="auto" w:fill="auto"/>
                <w:lang w:val="en-US" w:eastAsia="zh-CN"/>
                <w14:textFill>
                  <w14:solidFill>
                    <w14:schemeClr w14:val="tx1"/>
                  </w14:solidFill>
                </w14:textFill>
              </w:rPr>
              <w:t>招标文件中</w:t>
            </w:r>
            <w:r>
              <w:rPr>
                <w:rFonts w:hint="default" w:hAnsi="宋体" w:cs="宋体"/>
                <w:color w:val="000000" w:themeColor="text1"/>
                <w:sz w:val="24"/>
                <w:szCs w:val="24"/>
                <w:highlight w:val="darkBlue"/>
                <w:shd w:val="clear" w:color="auto" w:fill="auto"/>
                <w:lang w:val="en-US" w:eastAsia="zh-CN"/>
                <w14:textFill>
                  <w14:solidFill>
                    <w14:schemeClr w14:val="tx1"/>
                  </w14:solidFill>
                </w14:textFill>
              </w:rPr>
              <w:t>带▲</w:t>
            </w:r>
            <w:r>
              <w:rPr>
                <w:rFonts w:hint="eastAsia" w:hAnsi="宋体" w:cs="宋体"/>
                <w:color w:val="000000" w:themeColor="text1"/>
                <w:sz w:val="24"/>
                <w:szCs w:val="24"/>
                <w:highlight w:val="darkBlue"/>
                <w:shd w:val="clear" w:color="auto" w:fill="auto"/>
                <w:lang w:val="en-US" w:eastAsia="zh-CN"/>
                <w14:textFill>
                  <w14:solidFill>
                    <w14:schemeClr w14:val="tx1"/>
                  </w14:solidFill>
                </w14:textFill>
              </w:rPr>
              <w:t>的</w:t>
            </w:r>
            <w:r>
              <w:rPr>
                <w:rFonts w:hint="default" w:hAnsi="宋体" w:cs="宋体"/>
                <w:color w:val="000000" w:themeColor="text1"/>
                <w:sz w:val="24"/>
                <w:szCs w:val="24"/>
                <w:highlight w:val="darkBlue"/>
                <w:shd w:val="clear" w:color="auto" w:fill="auto"/>
                <w:lang w:val="en-US" w:eastAsia="zh-CN"/>
                <w14:textFill>
                  <w14:solidFill>
                    <w14:schemeClr w14:val="tx1"/>
                  </w14:solidFill>
                </w14:textFill>
              </w:rPr>
              <w:t>为实质性参数</w:t>
            </w:r>
            <w:r>
              <w:rPr>
                <w:rFonts w:hint="eastAsia" w:hAnsi="宋体" w:cs="宋体"/>
                <w:color w:val="000000" w:themeColor="text1"/>
                <w:sz w:val="24"/>
                <w:szCs w:val="24"/>
                <w:highlight w:val="darkBlue"/>
                <w:shd w:val="clear" w:color="auto" w:fill="auto"/>
                <w:lang w:val="en-US" w:eastAsia="zh-CN"/>
                <w14:textFill>
                  <w14:solidFill>
                    <w14:schemeClr w14:val="tx1"/>
                  </w14:solidFill>
                </w14:textFill>
              </w:rPr>
              <w:t>。</w:t>
            </w:r>
            <w:r>
              <w:rPr>
                <w:rFonts w:hint="default" w:hAnsi="宋体" w:cs="宋体"/>
                <w:color w:val="000000" w:themeColor="text1"/>
                <w:sz w:val="24"/>
                <w:szCs w:val="24"/>
                <w:highlight w:val="darkBlue"/>
                <w:shd w:val="clear" w:color="auto" w:fill="auto"/>
                <w14:textFill>
                  <w14:solidFill>
                    <w14:schemeClr w14:val="tx1"/>
                  </w14:solidFill>
                </w14:textFill>
              </w:rPr>
              <w:t>）</w:t>
            </w:r>
          </w:p>
        </w:tc>
      </w:tr>
      <w:tr w14:paraId="05046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46" w:type="pct"/>
            <w:tcBorders>
              <w:top w:val="single" w:color="auto" w:sz="4" w:space="0"/>
              <w:left w:val="single" w:color="auto" w:sz="4" w:space="0"/>
              <w:bottom w:val="single" w:color="auto" w:sz="4" w:space="0"/>
              <w:right w:val="single" w:color="auto" w:sz="4" w:space="0"/>
            </w:tcBorders>
            <w:noWrap w:val="0"/>
            <w:vAlign w:val="center"/>
          </w:tcPr>
          <w:p w14:paraId="5B1D901E">
            <w:pPr>
              <w:keepNext w:val="0"/>
              <w:keepLines w:val="0"/>
              <w:suppressLineNumbers w:val="0"/>
              <w:spacing w:before="0" w:beforeAutospacing="0" w:after="0" w:afterAutospacing="0" w:line="288" w:lineRule="auto"/>
              <w:ind w:left="0" w:right="0"/>
              <w:jc w:val="center"/>
              <w:rPr>
                <w:rFonts w:hint="eastAsia" w:hAnsi="宋体" w:eastAsia="宋体" w:cs="宋体"/>
                <w:color w:val="auto"/>
                <w:sz w:val="24"/>
                <w:szCs w:val="24"/>
                <w:lang w:eastAsia="zh-CN"/>
              </w:rPr>
            </w:pPr>
            <w:r>
              <w:rPr>
                <w:rFonts w:hint="eastAsia" w:hAnsi="宋体" w:cs="宋体"/>
                <w:color w:val="auto"/>
                <w:sz w:val="24"/>
                <w:szCs w:val="24"/>
                <w:lang w:val="en-US" w:eastAsia="zh-CN"/>
              </w:rPr>
              <w:t>9</w:t>
            </w:r>
          </w:p>
        </w:tc>
        <w:tc>
          <w:tcPr>
            <w:tcW w:w="1907" w:type="pct"/>
            <w:tcBorders>
              <w:top w:val="single" w:color="auto" w:sz="4" w:space="0"/>
              <w:left w:val="single" w:color="auto" w:sz="4" w:space="0"/>
              <w:bottom w:val="single" w:color="auto" w:sz="4" w:space="0"/>
              <w:right w:val="single" w:color="auto" w:sz="4" w:space="0"/>
            </w:tcBorders>
            <w:noWrap w:val="0"/>
            <w:vAlign w:val="center"/>
          </w:tcPr>
          <w:p w14:paraId="376C074E">
            <w:pPr>
              <w:keepNext w:val="0"/>
              <w:keepLines w:val="0"/>
              <w:suppressLineNumbers w:val="0"/>
              <w:spacing w:before="0" w:beforeAutospacing="0" w:after="0" w:afterAutospacing="0" w:line="288" w:lineRule="auto"/>
              <w:ind w:left="0" w:right="0"/>
              <w:rPr>
                <w:rFonts w:hint="default" w:hAnsi="宋体" w:cs="宋体"/>
                <w:color w:val="auto"/>
                <w:sz w:val="24"/>
                <w:szCs w:val="24"/>
              </w:rPr>
            </w:pPr>
            <w:r>
              <w:rPr>
                <w:rFonts w:hint="eastAsia" w:hAnsi="宋体" w:cs="宋体"/>
                <w:color w:val="auto"/>
                <w:sz w:val="24"/>
                <w:szCs w:val="24"/>
              </w:rPr>
              <w:t>合同文本</w:t>
            </w:r>
          </w:p>
        </w:tc>
        <w:tc>
          <w:tcPr>
            <w:tcW w:w="2745" w:type="pct"/>
            <w:tcBorders>
              <w:top w:val="single" w:color="auto" w:sz="4" w:space="0"/>
              <w:left w:val="single" w:color="auto" w:sz="4" w:space="0"/>
              <w:bottom w:val="single" w:color="auto" w:sz="4" w:space="0"/>
              <w:right w:val="single" w:color="auto" w:sz="4" w:space="0"/>
            </w:tcBorders>
            <w:noWrap w:val="0"/>
            <w:vAlign w:val="center"/>
          </w:tcPr>
          <w:p w14:paraId="4AF2AE17">
            <w:pPr>
              <w:keepNext w:val="0"/>
              <w:keepLines w:val="0"/>
              <w:suppressLineNumbers w:val="0"/>
              <w:spacing w:before="0" w:beforeAutospacing="0" w:after="0" w:afterAutospacing="0" w:line="288" w:lineRule="auto"/>
              <w:ind w:left="0" w:right="0"/>
              <w:rPr>
                <w:rFonts w:hint="default" w:hAnsi="宋体" w:cs="宋体"/>
                <w:color w:val="auto"/>
                <w:sz w:val="24"/>
                <w:szCs w:val="24"/>
              </w:rPr>
            </w:pPr>
            <w:r>
              <w:rPr>
                <w:rFonts w:hint="eastAsia" w:hAnsi="宋体" w:cs="宋体"/>
                <w:color w:val="auto"/>
                <w:sz w:val="24"/>
                <w:szCs w:val="24"/>
              </w:rPr>
              <w:t>完全理解并接受招标文件合同基本条款及格式的要求。</w:t>
            </w:r>
          </w:p>
        </w:tc>
      </w:tr>
      <w:tr w14:paraId="75A7F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1" w:hRule="atLeast"/>
          <w:jc w:val="center"/>
        </w:trPr>
        <w:tc>
          <w:tcPr>
            <w:tcW w:w="346" w:type="pct"/>
            <w:tcBorders>
              <w:top w:val="single" w:color="auto" w:sz="4" w:space="0"/>
              <w:left w:val="single" w:color="auto" w:sz="4" w:space="0"/>
              <w:bottom w:val="single" w:color="auto" w:sz="4" w:space="0"/>
              <w:right w:val="single" w:color="auto" w:sz="4" w:space="0"/>
            </w:tcBorders>
            <w:noWrap w:val="0"/>
            <w:vAlign w:val="center"/>
          </w:tcPr>
          <w:p w14:paraId="5886A76D">
            <w:pPr>
              <w:keepNext w:val="0"/>
              <w:keepLines w:val="0"/>
              <w:suppressLineNumbers w:val="0"/>
              <w:spacing w:before="0" w:beforeAutospacing="0" w:after="0" w:afterAutospacing="0" w:line="288" w:lineRule="auto"/>
              <w:ind w:left="0" w:right="0"/>
              <w:jc w:val="center"/>
              <w:rPr>
                <w:rFonts w:hint="default" w:hAnsi="宋体" w:eastAsia="宋体" w:cs="宋体"/>
                <w:color w:val="auto"/>
                <w:sz w:val="24"/>
                <w:szCs w:val="24"/>
                <w:lang w:val="en-US" w:eastAsia="zh-CN"/>
              </w:rPr>
            </w:pPr>
            <w:r>
              <w:rPr>
                <w:rFonts w:hint="eastAsia" w:hAnsi="宋体" w:cs="宋体"/>
                <w:color w:val="auto"/>
                <w:sz w:val="24"/>
                <w:szCs w:val="24"/>
                <w:lang w:val="en-US" w:eastAsia="zh-CN"/>
              </w:rPr>
              <w:t>10</w:t>
            </w:r>
          </w:p>
        </w:tc>
        <w:tc>
          <w:tcPr>
            <w:tcW w:w="1907" w:type="pct"/>
            <w:tcBorders>
              <w:top w:val="single" w:color="auto" w:sz="4" w:space="0"/>
              <w:left w:val="single" w:color="auto" w:sz="4" w:space="0"/>
              <w:bottom w:val="single" w:color="auto" w:sz="4" w:space="0"/>
              <w:right w:val="single" w:color="auto" w:sz="4" w:space="0"/>
            </w:tcBorders>
            <w:noWrap w:val="0"/>
            <w:vAlign w:val="center"/>
          </w:tcPr>
          <w:p w14:paraId="752659E0">
            <w:pPr>
              <w:keepNext w:val="0"/>
              <w:keepLines w:val="0"/>
              <w:suppressLineNumbers w:val="0"/>
              <w:spacing w:before="0" w:beforeAutospacing="0" w:after="0" w:afterAutospacing="0" w:line="288" w:lineRule="auto"/>
              <w:ind w:left="0" w:right="0"/>
              <w:rPr>
                <w:rFonts w:hint="default" w:hAnsi="宋体" w:cs="宋体"/>
                <w:color w:val="auto"/>
                <w:sz w:val="24"/>
                <w:szCs w:val="24"/>
              </w:rPr>
            </w:pPr>
            <w:r>
              <w:rPr>
                <w:rFonts w:hint="eastAsia" w:hAnsi="宋体" w:cs="宋体"/>
                <w:color w:val="auto"/>
                <w:sz w:val="24"/>
                <w:szCs w:val="24"/>
              </w:rPr>
              <w:t>其他</w:t>
            </w:r>
          </w:p>
        </w:tc>
        <w:tc>
          <w:tcPr>
            <w:tcW w:w="2745" w:type="pct"/>
            <w:tcBorders>
              <w:top w:val="single" w:color="auto" w:sz="4" w:space="0"/>
              <w:left w:val="single" w:color="auto" w:sz="4" w:space="0"/>
              <w:bottom w:val="single" w:color="auto" w:sz="4" w:space="0"/>
              <w:right w:val="single" w:color="auto" w:sz="4" w:space="0"/>
            </w:tcBorders>
            <w:noWrap w:val="0"/>
            <w:vAlign w:val="center"/>
          </w:tcPr>
          <w:p w14:paraId="5F61D3EF">
            <w:pPr>
              <w:keepNext w:val="0"/>
              <w:keepLines w:val="0"/>
              <w:suppressLineNumbers w:val="0"/>
              <w:spacing w:before="0" w:beforeAutospacing="0" w:after="0" w:afterAutospacing="0" w:line="288" w:lineRule="auto"/>
              <w:ind w:left="0" w:right="0"/>
              <w:rPr>
                <w:rFonts w:hint="default" w:hAnsi="宋体" w:cs="宋体"/>
                <w:color w:val="auto"/>
                <w:sz w:val="24"/>
                <w:szCs w:val="24"/>
              </w:rPr>
            </w:pPr>
            <w:bookmarkStart w:id="160" w:name="OLE_LINK26"/>
            <w:r>
              <w:rPr>
                <w:rFonts w:hint="eastAsia" w:hAnsi="宋体" w:cs="宋体"/>
                <w:color w:val="auto"/>
                <w:sz w:val="24"/>
                <w:szCs w:val="24"/>
              </w:rPr>
              <w:t>完全理解并接受法律法规和招标文件对投标人的各项须知、规约要求和责任义务，没有出现法律法规或招标文件明确规定的其他被视为“无效投标”的情形。</w:t>
            </w:r>
            <w:bookmarkEnd w:id="160"/>
          </w:p>
        </w:tc>
      </w:tr>
    </w:tbl>
    <w:p w14:paraId="4173E429">
      <w:pPr>
        <w:pStyle w:val="29"/>
        <w:ind w:left="0" w:leftChars="0" w:firstLine="0" w:firstLineChars="0"/>
        <w:rPr>
          <w:rFonts w:hint="eastAsia" w:ascii="宋体" w:hAnsi="宋体" w:eastAsia="宋体" w:cs="宋体"/>
          <w:b/>
          <w:color w:val="auto"/>
          <w:sz w:val="24"/>
          <w:szCs w:val="24"/>
        </w:rPr>
      </w:pPr>
    </w:p>
    <w:bookmarkEnd w:id="155"/>
    <w:bookmarkEnd w:id="156"/>
    <w:bookmarkEnd w:id="157"/>
    <w:bookmarkEnd w:id="158"/>
    <w:bookmarkEnd w:id="159"/>
    <w:p w14:paraId="3180A5D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无效响应文件的情形：</w:t>
      </w:r>
    </w:p>
    <w:p w14:paraId="0107BB7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a.</w:t>
      </w:r>
      <w:r>
        <w:rPr>
          <w:rFonts w:hint="eastAsia" w:ascii="宋体" w:hAnsi="宋体" w:eastAsia="宋体" w:cs="宋体"/>
          <w:b w:val="0"/>
          <w:bCs w:val="0"/>
          <w:color w:val="auto"/>
          <w:sz w:val="24"/>
          <w:szCs w:val="24"/>
          <w:lang w:eastAsia="zh-CN"/>
        </w:rPr>
        <w:t>供应商</w:t>
      </w:r>
      <w:r>
        <w:rPr>
          <w:rFonts w:hint="eastAsia" w:ascii="宋体" w:hAnsi="宋体" w:eastAsia="宋体" w:cs="宋体"/>
          <w:b w:val="0"/>
          <w:bCs w:val="0"/>
          <w:color w:val="auto"/>
          <w:sz w:val="24"/>
          <w:szCs w:val="24"/>
        </w:rPr>
        <w:t>超出经营范围进行经营的；</w:t>
      </w:r>
    </w:p>
    <w:p w14:paraId="48F46E1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b.</w:t>
      </w:r>
      <w:r>
        <w:rPr>
          <w:rFonts w:hint="eastAsia" w:ascii="宋体" w:hAnsi="宋体" w:eastAsia="宋体" w:cs="宋体"/>
          <w:b w:val="0"/>
          <w:bCs w:val="0"/>
          <w:color w:val="auto"/>
          <w:sz w:val="24"/>
          <w:szCs w:val="24"/>
          <w:lang w:eastAsia="zh-CN"/>
        </w:rPr>
        <w:t>供应商</w:t>
      </w:r>
      <w:r>
        <w:rPr>
          <w:rFonts w:hint="eastAsia" w:ascii="宋体" w:hAnsi="宋体" w:eastAsia="宋体" w:cs="宋体"/>
          <w:b w:val="0"/>
          <w:bCs w:val="0"/>
          <w:color w:val="auto"/>
          <w:sz w:val="24"/>
          <w:szCs w:val="24"/>
        </w:rPr>
        <w:t>未经过正常渠道领取竞争性磋商文件，或</w:t>
      </w:r>
      <w:r>
        <w:rPr>
          <w:rFonts w:hint="eastAsia" w:ascii="宋体" w:hAnsi="宋体" w:eastAsia="宋体" w:cs="宋体"/>
          <w:b w:val="0"/>
          <w:bCs w:val="0"/>
          <w:color w:val="auto"/>
          <w:sz w:val="24"/>
          <w:szCs w:val="24"/>
          <w:lang w:eastAsia="zh-CN"/>
        </w:rPr>
        <w:t>供应商</w:t>
      </w:r>
      <w:r>
        <w:rPr>
          <w:rFonts w:hint="eastAsia" w:ascii="宋体" w:hAnsi="宋体" w:eastAsia="宋体" w:cs="宋体"/>
          <w:b w:val="0"/>
          <w:bCs w:val="0"/>
          <w:color w:val="auto"/>
          <w:sz w:val="24"/>
          <w:szCs w:val="24"/>
        </w:rPr>
        <w:t>名称与领取</w:t>
      </w:r>
      <w:r>
        <w:rPr>
          <w:rFonts w:hint="eastAsia" w:ascii="宋体" w:hAnsi="宋体" w:eastAsia="宋体" w:cs="宋体"/>
          <w:b w:val="0"/>
          <w:bCs w:val="0"/>
          <w:color w:val="auto"/>
          <w:sz w:val="24"/>
          <w:szCs w:val="24"/>
          <w:lang w:eastAsia="zh-CN"/>
        </w:rPr>
        <w:t>竞争性磋商</w:t>
      </w:r>
      <w:r>
        <w:rPr>
          <w:rFonts w:hint="eastAsia" w:ascii="宋体" w:hAnsi="宋体" w:eastAsia="宋体" w:cs="宋体"/>
          <w:b w:val="0"/>
          <w:bCs w:val="0"/>
          <w:color w:val="auto"/>
          <w:sz w:val="24"/>
          <w:szCs w:val="24"/>
        </w:rPr>
        <w:t>文件时登记的</w:t>
      </w:r>
      <w:r>
        <w:rPr>
          <w:rFonts w:hint="eastAsia" w:ascii="宋体" w:hAnsi="宋体" w:eastAsia="宋体" w:cs="宋体"/>
          <w:b w:val="0"/>
          <w:bCs w:val="0"/>
          <w:color w:val="auto"/>
          <w:sz w:val="24"/>
          <w:szCs w:val="24"/>
          <w:lang w:eastAsia="zh-CN"/>
        </w:rPr>
        <w:t>供应商</w:t>
      </w:r>
      <w:r>
        <w:rPr>
          <w:rFonts w:hint="eastAsia" w:ascii="宋体" w:hAnsi="宋体" w:eastAsia="宋体" w:cs="宋体"/>
          <w:b w:val="0"/>
          <w:bCs w:val="0"/>
          <w:color w:val="auto"/>
          <w:sz w:val="24"/>
          <w:szCs w:val="24"/>
        </w:rPr>
        <w:t>单位名称不符的；</w:t>
      </w:r>
    </w:p>
    <w:p w14:paraId="1C8AFED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c.未按竞争性磋商文件规定要求签署、盖章的；无</w:t>
      </w:r>
      <w:r>
        <w:rPr>
          <w:rFonts w:hint="eastAsia" w:ascii="宋体" w:hAnsi="宋体" w:eastAsia="宋体" w:cs="宋体"/>
          <w:b w:val="0"/>
          <w:bCs w:val="0"/>
          <w:color w:val="auto"/>
          <w:sz w:val="24"/>
          <w:szCs w:val="24"/>
          <w:lang w:eastAsia="zh-CN"/>
        </w:rPr>
        <w:t>竞争性磋商</w:t>
      </w:r>
      <w:r>
        <w:rPr>
          <w:rFonts w:hint="eastAsia" w:ascii="宋体" w:hAnsi="宋体" w:eastAsia="宋体" w:cs="宋体"/>
          <w:b w:val="0"/>
          <w:bCs w:val="0"/>
          <w:color w:val="auto"/>
          <w:sz w:val="24"/>
          <w:szCs w:val="24"/>
        </w:rPr>
        <w:t>有效期或有效期达不到竞争性磋商文件要求的；</w:t>
      </w:r>
    </w:p>
    <w:p w14:paraId="51171AE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d.</w:t>
      </w:r>
      <w:r>
        <w:rPr>
          <w:rFonts w:hint="eastAsia" w:ascii="宋体" w:hAnsi="宋体" w:eastAsia="宋体" w:cs="宋体"/>
          <w:b w:val="0"/>
          <w:bCs w:val="0"/>
          <w:color w:val="auto"/>
          <w:sz w:val="24"/>
          <w:szCs w:val="24"/>
          <w:lang w:val="en-US" w:eastAsia="zh-CN"/>
        </w:rPr>
        <w:t>无投标信用承诺的</w:t>
      </w:r>
      <w:r>
        <w:rPr>
          <w:rFonts w:hint="eastAsia" w:ascii="宋体" w:hAnsi="宋体" w:eastAsia="宋体" w:cs="宋体"/>
          <w:b w:val="0"/>
          <w:bCs w:val="0"/>
          <w:color w:val="auto"/>
          <w:sz w:val="24"/>
          <w:szCs w:val="24"/>
        </w:rPr>
        <w:t>；</w:t>
      </w:r>
    </w:p>
    <w:p w14:paraId="250BCDD5">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e.响应文件未按照竞争性磋商文件格式及内容要求填写的；</w:t>
      </w:r>
    </w:p>
    <w:p w14:paraId="190ED06C">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f.</w:t>
      </w:r>
      <w:r>
        <w:rPr>
          <w:rFonts w:hint="eastAsia" w:ascii="宋体" w:hAnsi="宋体" w:eastAsia="宋体" w:cs="宋体"/>
          <w:b w:val="0"/>
          <w:bCs w:val="0"/>
          <w:color w:val="auto"/>
          <w:sz w:val="24"/>
          <w:szCs w:val="24"/>
          <w:lang w:eastAsia="zh-CN"/>
        </w:rPr>
        <w:t>供应商</w:t>
      </w:r>
      <w:r>
        <w:rPr>
          <w:rFonts w:hint="eastAsia" w:ascii="宋体" w:hAnsi="宋体" w:eastAsia="宋体" w:cs="宋体"/>
          <w:b w:val="0"/>
          <w:bCs w:val="0"/>
          <w:color w:val="auto"/>
          <w:sz w:val="24"/>
          <w:szCs w:val="24"/>
        </w:rPr>
        <w:t>针对同一项目递交两份或多份内容不同的响应文件</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出现选择性报价的；</w:t>
      </w:r>
    </w:p>
    <w:p w14:paraId="1BC920C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g.提供虚假资质、虚假财务信息、虚假证明（包括第三方提供的虚假证明）的，除按无效文件处理外，还将按有关规定进行处罚；</w:t>
      </w:r>
    </w:p>
    <w:p w14:paraId="0A00D4B5">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h.附有采购人、采购代理机构不能接受的条款和商务响应（付款条件、验收条件等）与</w:t>
      </w:r>
      <w:r>
        <w:rPr>
          <w:rFonts w:hint="eastAsia" w:ascii="宋体" w:hAnsi="宋体" w:eastAsia="宋体" w:cs="宋体"/>
          <w:b w:val="0"/>
          <w:bCs w:val="0"/>
          <w:color w:val="auto"/>
          <w:sz w:val="24"/>
          <w:szCs w:val="24"/>
          <w:lang w:eastAsia="zh-CN"/>
        </w:rPr>
        <w:t>竞争性磋商</w:t>
      </w:r>
      <w:r>
        <w:rPr>
          <w:rFonts w:hint="eastAsia" w:ascii="宋体" w:hAnsi="宋体" w:eastAsia="宋体" w:cs="宋体"/>
          <w:b w:val="0"/>
          <w:bCs w:val="0"/>
          <w:color w:val="auto"/>
          <w:sz w:val="24"/>
          <w:szCs w:val="24"/>
        </w:rPr>
        <w:t>文件要求不一致的；</w:t>
      </w:r>
    </w:p>
    <w:p w14:paraId="7B537A4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i.在其它重大项目履约过程中有不良记录，不能按期履约的；</w:t>
      </w:r>
    </w:p>
    <w:p w14:paraId="1166796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j</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报价高于或等于本项目最高限价的；</w:t>
      </w:r>
    </w:p>
    <w:p w14:paraId="1E39B58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l.有重大缺漏项的；</w:t>
      </w:r>
    </w:p>
    <w:p w14:paraId="442B2E8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m.以他人名义进行磋商的；</w:t>
      </w:r>
    </w:p>
    <w:p w14:paraId="34374D4A">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n.</w:t>
      </w:r>
      <w:r>
        <w:rPr>
          <w:rFonts w:hint="eastAsia" w:ascii="宋体" w:hAnsi="宋体" w:eastAsia="宋体" w:cs="宋体"/>
          <w:b w:val="0"/>
          <w:bCs w:val="0"/>
          <w:color w:val="auto"/>
          <w:sz w:val="24"/>
          <w:szCs w:val="24"/>
          <w:lang w:eastAsia="zh-CN"/>
        </w:rPr>
        <w:t>竞争性磋商</w:t>
      </w:r>
      <w:r>
        <w:rPr>
          <w:rFonts w:hint="eastAsia" w:ascii="宋体" w:hAnsi="宋体" w:eastAsia="宋体" w:cs="宋体"/>
          <w:b w:val="0"/>
          <w:bCs w:val="0"/>
          <w:color w:val="auto"/>
          <w:sz w:val="24"/>
          <w:szCs w:val="24"/>
        </w:rPr>
        <w:t>人无法定代表人授权书或其授权书的有效</w:t>
      </w:r>
      <w:r>
        <w:rPr>
          <w:rFonts w:hint="eastAsia" w:ascii="宋体" w:hAnsi="宋体" w:eastAsia="宋体" w:cs="宋体"/>
          <w:b w:val="0"/>
          <w:bCs w:val="0"/>
          <w:color w:val="auto"/>
          <w:sz w:val="24"/>
          <w:szCs w:val="24"/>
          <w:lang w:val="en-US" w:eastAsia="zh-CN"/>
        </w:rPr>
        <w:t>期</w:t>
      </w:r>
      <w:r>
        <w:rPr>
          <w:rFonts w:hint="eastAsia" w:ascii="宋体" w:hAnsi="宋体" w:eastAsia="宋体" w:cs="宋体"/>
          <w:b w:val="0"/>
          <w:bCs w:val="0"/>
          <w:color w:val="auto"/>
          <w:sz w:val="24"/>
          <w:szCs w:val="24"/>
        </w:rPr>
        <w:t>不符合竞争性磋商文件规定的；</w:t>
      </w:r>
    </w:p>
    <w:p w14:paraId="0685529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o.</w:t>
      </w:r>
      <w:r>
        <w:rPr>
          <w:rFonts w:hint="eastAsia" w:ascii="宋体" w:hAnsi="宋体" w:eastAsia="宋体" w:cs="宋体"/>
          <w:b w:val="0"/>
          <w:bCs w:val="0"/>
          <w:color w:val="auto"/>
          <w:sz w:val="24"/>
          <w:szCs w:val="24"/>
          <w:lang w:eastAsia="zh-CN"/>
        </w:rPr>
        <w:t>竞争性磋商</w:t>
      </w:r>
      <w:r>
        <w:rPr>
          <w:rFonts w:hint="eastAsia" w:ascii="宋体" w:hAnsi="宋体" w:eastAsia="宋体" w:cs="宋体"/>
          <w:b w:val="0"/>
          <w:bCs w:val="0"/>
          <w:color w:val="auto"/>
          <w:sz w:val="24"/>
          <w:szCs w:val="24"/>
        </w:rPr>
        <w:t>人有串通投标、弄虚作假、行贿等违法行为的；</w:t>
      </w:r>
    </w:p>
    <w:p w14:paraId="692B4B3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p.澄清、补正、说明的内容与响应文件内容有重大相悖或矛盾的；</w:t>
      </w:r>
    </w:p>
    <w:p w14:paraId="4500BE9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q.其他法律法规及本竞争性磋商文件规定的情形。</w:t>
      </w:r>
    </w:p>
    <w:p w14:paraId="504CD05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2、响应文件详细评审及</w:t>
      </w:r>
      <w:r>
        <w:rPr>
          <w:rFonts w:hint="eastAsia" w:ascii="宋体" w:hAnsi="宋体" w:eastAsia="宋体" w:cs="宋体"/>
          <w:b w:val="0"/>
          <w:bCs w:val="0"/>
          <w:color w:val="auto"/>
          <w:sz w:val="24"/>
          <w:szCs w:val="24"/>
          <w:lang w:eastAsia="zh-CN"/>
        </w:rPr>
        <w:t>竞争性磋商</w:t>
      </w:r>
    </w:p>
    <w:p w14:paraId="2F125E4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2.1磋商小组将对通过资格性、符合性审查，实质上响应</w:t>
      </w:r>
      <w:r>
        <w:rPr>
          <w:rFonts w:hint="eastAsia" w:ascii="宋体" w:hAnsi="宋体" w:eastAsia="宋体" w:cs="宋体"/>
          <w:b w:val="0"/>
          <w:bCs w:val="0"/>
          <w:color w:val="auto"/>
          <w:sz w:val="24"/>
          <w:szCs w:val="24"/>
          <w:lang w:eastAsia="zh-CN"/>
        </w:rPr>
        <w:t>竞争性磋商</w:t>
      </w:r>
      <w:r>
        <w:rPr>
          <w:rFonts w:hint="eastAsia" w:ascii="宋体" w:hAnsi="宋体" w:eastAsia="宋体" w:cs="宋体"/>
          <w:b w:val="0"/>
          <w:bCs w:val="0"/>
          <w:color w:val="auto"/>
          <w:sz w:val="24"/>
          <w:szCs w:val="24"/>
        </w:rPr>
        <w:t>文件要求的</w:t>
      </w:r>
      <w:r>
        <w:rPr>
          <w:rFonts w:hint="eastAsia" w:ascii="宋体" w:hAnsi="宋体" w:eastAsia="宋体" w:cs="宋体"/>
          <w:b w:val="0"/>
          <w:bCs w:val="0"/>
          <w:color w:val="auto"/>
          <w:sz w:val="24"/>
          <w:szCs w:val="24"/>
          <w:lang w:eastAsia="zh-CN"/>
        </w:rPr>
        <w:t>供应商</w:t>
      </w:r>
      <w:r>
        <w:rPr>
          <w:rFonts w:hint="eastAsia" w:ascii="宋体" w:hAnsi="宋体" w:eastAsia="宋体" w:cs="宋体"/>
          <w:b w:val="0"/>
          <w:bCs w:val="0"/>
          <w:color w:val="auto"/>
          <w:sz w:val="24"/>
          <w:szCs w:val="24"/>
        </w:rPr>
        <w:t>，按照竞争性磋商文件中的规定分别与单一</w:t>
      </w:r>
      <w:r>
        <w:rPr>
          <w:rFonts w:hint="eastAsia" w:ascii="宋体" w:hAnsi="宋体" w:eastAsia="宋体" w:cs="宋体"/>
          <w:b w:val="0"/>
          <w:bCs w:val="0"/>
          <w:color w:val="auto"/>
          <w:sz w:val="24"/>
          <w:szCs w:val="24"/>
          <w:lang w:eastAsia="zh-CN"/>
        </w:rPr>
        <w:t>供应商</w:t>
      </w:r>
      <w:r>
        <w:rPr>
          <w:rFonts w:hint="eastAsia" w:ascii="宋体" w:hAnsi="宋体" w:eastAsia="宋体" w:cs="宋体"/>
          <w:b w:val="0"/>
          <w:bCs w:val="0"/>
          <w:color w:val="auto"/>
          <w:sz w:val="24"/>
          <w:szCs w:val="24"/>
        </w:rPr>
        <w:t>进行</w:t>
      </w:r>
      <w:r>
        <w:rPr>
          <w:rFonts w:hint="eastAsia" w:ascii="宋体" w:hAnsi="宋体" w:eastAsia="宋体" w:cs="宋体"/>
          <w:b w:val="0"/>
          <w:bCs w:val="0"/>
          <w:color w:val="auto"/>
          <w:sz w:val="24"/>
          <w:szCs w:val="24"/>
          <w:lang w:eastAsia="zh-CN"/>
        </w:rPr>
        <w:t>竞争性磋商</w:t>
      </w:r>
      <w:r>
        <w:rPr>
          <w:rFonts w:hint="eastAsia" w:ascii="宋体" w:hAnsi="宋体" w:eastAsia="宋体" w:cs="宋体"/>
          <w:b w:val="0"/>
          <w:bCs w:val="0"/>
          <w:color w:val="auto"/>
          <w:sz w:val="24"/>
          <w:szCs w:val="24"/>
        </w:rPr>
        <w:t>，并给予所有参加磋商的</w:t>
      </w:r>
      <w:r>
        <w:rPr>
          <w:rFonts w:hint="eastAsia" w:ascii="宋体" w:hAnsi="宋体" w:eastAsia="宋体" w:cs="宋体"/>
          <w:b w:val="0"/>
          <w:bCs w:val="0"/>
          <w:color w:val="auto"/>
          <w:sz w:val="24"/>
          <w:szCs w:val="24"/>
          <w:lang w:eastAsia="zh-CN"/>
        </w:rPr>
        <w:t>供应商</w:t>
      </w:r>
      <w:r>
        <w:rPr>
          <w:rFonts w:hint="eastAsia" w:ascii="宋体" w:hAnsi="宋体" w:eastAsia="宋体" w:cs="宋体"/>
          <w:b w:val="0"/>
          <w:bCs w:val="0"/>
          <w:color w:val="auto"/>
          <w:sz w:val="24"/>
          <w:szCs w:val="24"/>
        </w:rPr>
        <w:t>平等的</w:t>
      </w:r>
      <w:r>
        <w:rPr>
          <w:rFonts w:hint="eastAsia" w:ascii="宋体" w:hAnsi="宋体" w:eastAsia="宋体" w:cs="宋体"/>
          <w:b w:val="0"/>
          <w:bCs w:val="0"/>
          <w:color w:val="auto"/>
          <w:sz w:val="24"/>
          <w:szCs w:val="24"/>
          <w:lang w:eastAsia="zh-CN"/>
        </w:rPr>
        <w:t>竞争性磋商</w:t>
      </w:r>
      <w:r>
        <w:rPr>
          <w:rFonts w:hint="eastAsia" w:ascii="宋体" w:hAnsi="宋体" w:eastAsia="宋体" w:cs="宋体"/>
          <w:b w:val="0"/>
          <w:bCs w:val="0"/>
          <w:color w:val="auto"/>
          <w:sz w:val="24"/>
          <w:szCs w:val="24"/>
        </w:rPr>
        <w:t>机会。</w:t>
      </w:r>
      <w:r>
        <w:rPr>
          <w:rFonts w:hint="eastAsia" w:ascii="宋体" w:hAnsi="宋体" w:eastAsia="宋体" w:cs="宋体"/>
          <w:b w:val="0"/>
          <w:bCs w:val="0"/>
          <w:color w:val="auto"/>
          <w:sz w:val="24"/>
          <w:szCs w:val="24"/>
          <w:lang w:eastAsia="zh-CN"/>
        </w:rPr>
        <w:t>供应商</w:t>
      </w:r>
      <w:r>
        <w:rPr>
          <w:rFonts w:hint="eastAsia" w:ascii="宋体" w:hAnsi="宋体" w:eastAsia="宋体" w:cs="宋体"/>
          <w:b w:val="0"/>
          <w:bCs w:val="0"/>
          <w:color w:val="auto"/>
          <w:sz w:val="24"/>
          <w:szCs w:val="24"/>
        </w:rPr>
        <w:t>应派其法定代表人或委托代理人参加磋商。</w:t>
      </w:r>
    </w:p>
    <w:p w14:paraId="589C054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rPr>
        <w:t>2.2</w:t>
      </w:r>
      <w:r>
        <w:rPr>
          <w:rFonts w:hint="eastAsia" w:ascii="宋体" w:hAnsi="宋体" w:eastAsia="宋体" w:cs="宋体"/>
          <w:b w:val="0"/>
          <w:bCs w:val="0"/>
          <w:color w:val="auto"/>
          <w:sz w:val="24"/>
          <w:szCs w:val="24"/>
          <w:lang w:val="zh-CN"/>
        </w:rPr>
        <w:t>经过</w:t>
      </w:r>
      <w:r>
        <w:rPr>
          <w:rFonts w:hint="eastAsia" w:ascii="宋体" w:hAnsi="宋体" w:eastAsia="宋体" w:cs="宋体"/>
          <w:b w:val="0"/>
          <w:bCs w:val="0"/>
          <w:color w:val="auto"/>
          <w:sz w:val="24"/>
          <w:szCs w:val="24"/>
          <w:lang w:eastAsia="zh-CN"/>
        </w:rPr>
        <w:t>竞争性磋商</w:t>
      </w:r>
      <w:r>
        <w:rPr>
          <w:rFonts w:hint="eastAsia" w:ascii="宋体" w:hAnsi="宋体" w:eastAsia="宋体" w:cs="宋体"/>
          <w:b w:val="0"/>
          <w:bCs w:val="0"/>
          <w:color w:val="auto"/>
          <w:sz w:val="24"/>
          <w:szCs w:val="24"/>
          <w:lang w:val="zh-CN"/>
        </w:rPr>
        <w:t>后并确定最后报价，由磋商小组根据响应文件满足磋商文件全部实质性要求且按评审因素的量化指标评审得分最高的供应商为成交候选供应商。</w:t>
      </w:r>
    </w:p>
    <w:p w14:paraId="58B6BC6A">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2.2.1</w:t>
      </w:r>
      <w:r>
        <w:rPr>
          <w:rFonts w:hint="eastAsia" w:ascii="宋体" w:hAnsi="宋体" w:eastAsia="宋体" w:cs="宋体"/>
          <w:b w:val="0"/>
          <w:bCs w:val="0"/>
          <w:color w:val="auto"/>
          <w:sz w:val="24"/>
          <w:szCs w:val="24"/>
        </w:rPr>
        <w:t>评标价格的确定：</w:t>
      </w:r>
    </w:p>
    <w:p w14:paraId="1BADF3E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通过资格性、符合性审查的</w:t>
      </w:r>
      <w:r>
        <w:rPr>
          <w:rFonts w:hint="eastAsia" w:ascii="宋体" w:hAnsi="宋体" w:eastAsia="宋体" w:cs="宋体"/>
          <w:b w:val="0"/>
          <w:bCs w:val="0"/>
          <w:color w:val="auto"/>
          <w:sz w:val="24"/>
          <w:szCs w:val="24"/>
          <w:lang w:eastAsia="zh-CN"/>
        </w:rPr>
        <w:t>供应商经过磋商后并确定最后报价</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eastAsia="zh-CN"/>
        </w:rPr>
        <w:t>最后报价</w:t>
      </w:r>
      <w:r>
        <w:rPr>
          <w:rFonts w:hint="eastAsia" w:ascii="宋体" w:hAnsi="宋体" w:eastAsia="宋体" w:cs="宋体"/>
          <w:b w:val="0"/>
          <w:bCs w:val="0"/>
          <w:color w:val="auto"/>
          <w:sz w:val="24"/>
          <w:szCs w:val="24"/>
        </w:rPr>
        <w:t>为有效投标</w:t>
      </w:r>
      <w:r>
        <w:rPr>
          <w:rFonts w:hint="eastAsia" w:ascii="宋体" w:hAnsi="宋体" w:eastAsia="宋体" w:cs="宋体"/>
          <w:b w:val="0"/>
          <w:bCs w:val="0"/>
          <w:color w:val="auto"/>
          <w:sz w:val="24"/>
          <w:szCs w:val="24"/>
          <w:lang w:val="en-US" w:eastAsia="zh-CN"/>
        </w:rPr>
        <w:t>报价</w:t>
      </w:r>
      <w:r>
        <w:rPr>
          <w:rFonts w:hint="eastAsia" w:ascii="宋体" w:hAnsi="宋体" w:eastAsia="宋体" w:cs="宋体"/>
          <w:b w:val="0"/>
          <w:bCs w:val="0"/>
          <w:color w:val="auto"/>
          <w:sz w:val="24"/>
          <w:szCs w:val="24"/>
        </w:rPr>
        <w:t>。对于所有有效投标</w:t>
      </w:r>
      <w:r>
        <w:rPr>
          <w:rFonts w:hint="eastAsia" w:ascii="宋体" w:hAnsi="宋体" w:eastAsia="宋体" w:cs="宋体"/>
          <w:b w:val="0"/>
          <w:bCs w:val="0"/>
          <w:color w:val="auto"/>
          <w:sz w:val="24"/>
          <w:szCs w:val="24"/>
          <w:lang w:val="en-US" w:eastAsia="zh-CN"/>
        </w:rPr>
        <w:t>报价</w:t>
      </w:r>
      <w:r>
        <w:rPr>
          <w:rFonts w:hint="eastAsia" w:ascii="宋体" w:hAnsi="宋体" w:eastAsia="宋体" w:cs="宋体"/>
          <w:b w:val="0"/>
          <w:bCs w:val="0"/>
          <w:color w:val="auto"/>
          <w:sz w:val="24"/>
          <w:szCs w:val="24"/>
        </w:rPr>
        <w:t>按照以下规则进行评标价格</w:t>
      </w:r>
      <w:r>
        <w:rPr>
          <w:rFonts w:hint="eastAsia" w:ascii="宋体" w:hAnsi="宋体" w:eastAsia="宋体" w:cs="宋体"/>
          <w:b w:val="0"/>
          <w:bCs w:val="0"/>
          <w:color w:val="auto"/>
          <w:sz w:val="24"/>
          <w:szCs w:val="24"/>
          <w:lang w:val="en-US" w:eastAsia="zh-CN"/>
        </w:rPr>
        <w:t>分</w:t>
      </w:r>
      <w:r>
        <w:rPr>
          <w:rFonts w:hint="eastAsia" w:ascii="宋体" w:hAnsi="宋体" w:eastAsia="宋体" w:cs="宋体"/>
          <w:b w:val="0"/>
          <w:bCs w:val="0"/>
          <w:color w:val="auto"/>
          <w:sz w:val="24"/>
          <w:szCs w:val="24"/>
        </w:rPr>
        <w:t>的确定。</w:t>
      </w:r>
    </w:p>
    <w:p w14:paraId="15000DA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2.2.2</w:t>
      </w:r>
      <w:r>
        <w:rPr>
          <w:rFonts w:hint="eastAsia" w:ascii="宋体" w:hAnsi="宋体" w:eastAsia="宋体" w:cs="宋体"/>
          <w:b w:val="0"/>
          <w:bCs w:val="0"/>
          <w:color w:val="auto"/>
          <w:sz w:val="24"/>
          <w:szCs w:val="24"/>
        </w:rPr>
        <w:t>政策性价格优惠折扣规定</w:t>
      </w:r>
    </w:p>
    <w:p w14:paraId="48282EE2">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en-US" w:eastAsia="zh-CN"/>
        </w:rPr>
        <w:t>按榆政财采发【2022】10号文件的精神，</w:t>
      </w:r>
      <w:r>
        <w:rPr>
          <w:rFonts w:hint="eastAsia" w:ascii="宋体" w:hAnsi="宋体" w:eastAsia="宋体" w:cs="宋体"/>
          <w:b w:val="0"/>
          <w:bCs w:val="0"/>
          <w:color w:val="auto"/>
          <w:sz w:val="24"/>
          <w:szCs w:val="24"/>
          <w:lang w:val="zh-CN"/>
        </w:rPr>
        <w:t>明确对非专门面向中小企业采购的货物服务项目，小微企业的价格扣除比例提高至20%（</w:t>
      </w:r>
      <w:r>
        <w:rPr>
          <w:rFonts w:hint="eastAsia" w:ascii="宋体" w:hAnsi="宋体" w:eastAsia="宋体" w:cs="宋体"/>
          <w:color w:val="auto"/>
          <w:sz w:val="24"/>
          <w:szCs w:val="24"/>
        </w:rPr>
        <w:t>工程项目为3%—5%</w:t>
      </w:r>
      <w:r>
        <w:rPr>
          <w:rFonts w:hint="eastAsia" w:ascii="宋体" w:hAnsi="宋体" w:eastAsia="宋体" w:cs="宋体"/>
          <w:color w:val="auto"/>
          <w:sz w:val="24"/>
          <w:szCs w:val="24"/>
          <w:lang w:eastAsia="zh-CN"/>
        </w:rPr>
        <w:t>）</w:t>
      </w:r>
      <w:r>
        <w:rPr>
          <w:rFonts w:hint="eastAsia" w:ascii="宋体" w:hAnsi="宋体" w:eastAsia="宋体" w:cs="宋体"/>
          <w:b w:val="0"/>
          <w:bCs w:val="0"/>
          <w:color w:val="auto"/>
          <w:sz w:val="24"/>
          <w:szCs w:val="24"/>
          <w:lang w:val="zh-CN"/>
        </w:rPr>
        <w:t>。对于货物服务采购项目联合协议或者分包意向协议约定小微企业的合同份额占到合同总金额30%以上的，价格扣除优惠提高至6%。用扣除后的价格参与评审排序，除此之外的其他情形均不适用本款规定。 专门面向中小企业采购的项目或者采购包，不再执行价格评审优惠的扶持政策。</w:t>
      </w:r>
    </w:p>
    <w:p w14:paraId="694E579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zh-CN"/>
        </w:rPr>
        <w:t>磋商小组应审查供应商是否具备“落实政府采购政策”的资格，如不符合相关文件要求或供应商未提供相关声明或证明材料，供应商不可以享受价格折扣优惠政策。</w:t>
      </w:r>
    </w:p>
    <w:p w14:paraId="467F60E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zh-CN"/>
        </w:rPr>
        <w:t>供应商按照《政府采购促进中小企业发展管理办法》规定提供声明函内容不实的，属于提供虚假材料谋取中标、成交，依照《中华人民共和国政府采购法》等国家有关规定追究相应责任。适用招标投标法的政府采购工程建设项目，投标人按照本办法规定提供声明函内容不实的，属于弄虚作假骗取中标，依照《中华人民共和国招标投标法》等国家有关规定追究相应责任。</w:t>
      </w:r>
    </w:p>
    <w:p w14:paraId="3B6688C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2.3评审原则及主要方法</w:t>
      </w:r>
    </w:p>
    <w:p w14:paraId="1F42E6C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2.3.1磋商小组将遵循公平、公正和择优的原则，对所有提交最后报价的</w:t>
      </w:r>
      <w:r>
        <w:rPr>
          <w:rFonts w:hint="eastAsia" w:ascii="宋体" w:hAnsi="宋体" w:eastAsia="宋体" w:cs="宋体"/>
          <w:b w:val="0"/>
          <w:bCs w:val="0"/>
          <w:color w:val="auto"/>
          <w:sz w:val="24"/>
          <w:szCs w:val="24"/>
          <w:lang w:eastAsia="zh-CN"/>
        </w:rPr>
        <w:t>供应商</w:t>
      </w:r>
      <w:r>
        <w:rPr>
          <w:rFonts w:hint="eastAsia" w:ascii="宋体" w:hAnsi="宋体" w:eastAsia="宋体" w:cs="宋体"/>
          <w:b w:val="0"/>
          <w:bCs w:val="0"/>
          <w:color w:val="auto"/>
          <w:sz w:val="24"/>
          <w:szCs w:val="24"/>
        </w:rPr>
        <w:t>的响应文件评审，都采用相同的程序和标准。</w:t>
      </w:r>
    </w:p>
    <w:p w14:paraId="38890C1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2.3.2评审过程的保密：在响应文件的评审、比较、成交候选</w:t>
      </w:r>
      <w:r>
        <w:rPr>
          <w:rFonts w:hint="eastAsia" w:ascii="宋体" w:hAnsi="宋体" w:eastAsia="宋体" w:cs="宋体"/>
          <w:b w:val="0"/>
          <w:bCs w:val="0"/>
          <w:color w:val="auto"/>
          <w:sz w:val="24"/>
          <w:szCs w:val="24"/>
          <w:lang w:eastAsia="zh-CN"/>
        </w:rPr>
        <w:t>供应商</w:t>
      </w:r>
      <w:r>
        <w:rPr>
          <w:rFonts w:hint="eastAsia" w:ascii="宋体" w:hAnsi="宋体" w:eastAsia="宋体" w:cs="宋体"/>
          <w:b w:val="0"/>
          <w:bCs w:val="0"/>
          <w:color w:val="auto"/>
          <w:sz w:val="24"/>
          <w:szCs w:val="24"/>
        </w:rPr>
        <w:t>推荐以及授予合同的过程中，</w:t>
      </w:r>
      <w:r>
        <w:rPr>
          <w:rFonts w:hint="eastAsia" w:ascii="宋体" w:hAnsi="宋体" w:eastAsia="宋体" w:cs="宋体"/>
          <w:b w:val="0"/>
          <w:bCs w:val="0"/>
          <w:color w:val="auto"/>
          <w:sz w:val="24"/>
          <w:szCs w:val="24"/>
          <w:lang w:eastAsia="zh-CN"/>
        </w:rPr>
        <w:t>供应商</w:t>
      </w:r>
      <w:r>
        <w:rPr>
          <w:rFonts w:hint="eastAsia" w:ascii="宋体" w:hAnsi="宋体" w:eastAsia="宋体" w:cs="宋体"/>
          <w:b w:val="0"/>
          <w:bCs w:val="0"/>
          <w:color w:val="auto"/>
          <w:sz w:val="24"/>
          <w:szCs w:val="24"/>
        </w:rPr>
        <w:t>向采购人和磋商小组施加影响的任何行为，都将会导致其报价被拒绝。</w:t>
      </w:r>
    </w:p>
    <w:p w14:paraId="04B8D93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sectPr>
          <w:headerReference r:id="rId7" w:type="default"/>
          <w:footerReference r:id="rId8" w:type="default"/>
          <w:pgSz w:w="11910" w:h="16840"/>
          <w:pgMar w:top="1380" w:right="1540" w:bottom="1200" w:left="1680" w:header="517" w:footer="1004" w:gutter="0"/>
          <w:pgNumType w:fmt="decimal"/>
          <w:cols w:space="720" w:num="1"/>
        </w:sectPr>
      </w:pPr>
      <w:r>
        <w:rPr>
          <w:rFonts w:hint="eastAsia" w:ascii="宋体" w:hAnsi="宋体" w:eastAsia="宋体" w:cs="宋体"/>
          <w:b w:val="0"/>
          <w:bCs w:val="0"/>
          <w:color w:val="auto"/>
          <w:sz w:val="24"/>
          <w:szCs w:val="24"/>
        </w:rPr>
        <w:t>2.3.3评审办法：综合评分法。全部评审合格的</w:t>
      </w:r>
      <w:r>
        <w:rPr>
          <w:rFonts w:hint="eastAsia" w:ascii="宋体" w:hAnsi="宋体" w:eastAsia="宋体" w:cs="宋体"/>
          <w:b w:val="0"/>
          <w:bCs w:val="0"/>
          <w:color w:val="auto"/>
          <w:sz w:val="24"/>
          <w:szCs w:val="24"/>
          <w:lang w:eastAsia="zh-CN"/>
        </w:rPr>
        <w:t>供应商</w:t>
      </w:r>
      <w:r>
        <w:rPr>
          <w:rFonts w:hint="eastAsia" w:ascii="宋体" w:hAnsi="宋体" w:eastAsia="宋体" w:cs="宋体"/>
          <w:b w:val="0"/>
          <w:bCs w:val="0"/>
          <w:color w:val="auto"/>
          <w:sz w:val="24"/>
          <w:szCs w:val="24"/>
        </w:rPr>
        <w:t>进行最后的综合评审和打分，按最后得分由高向低排序，推荐成交候选单位（本项目不保证最低价中标），本项目磋商小组根据量化指标评审得分由高到低推荐</w:t>
      </w: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t>-3名成交候选单位。</w:t>
      </w:r>
    </w:p>
    <w:p w14:paraId="2366A8F6">
      <w:pPr>
        <w:pageBreakBefore w:val="0"/>
        <w:numPr>
          <w:ilvl w:val="0"/>
          <w:numId w:val="11"/>
        </w:numPr>
        <w:tabs>
          <w:tab w:val="left" w:pos="1800"/>
        </w:tabs>
        <w:kinsoku/>
        <w:wordWrap w:val="0"/>
        <w:overflowPunct/>
        <w:topLinePunct w:val="0"/>
        <w:autoSpaceDE/>
        <w:autoSpaceDN/>
        <w:bidi w:val="0"/>
        <w:adjustRightInd w:val="0"/>
        <w:snapToGrid w:val="0"/>
        <w:spacing w:line="600" w:lineRule="exact"/>
        <w:ind w:firstLine="482" w:firstLineChars="20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评分标准</w:t>
      </w:r>
    </w:p>
    <w:tbl>
      <w:tblPr>
        <w:tblStyle w:val="38"/>
        <w:tblW w:w="953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42"/>
        <w:gridCol w:w="775"/>
        <w:gridCol w:w="934"/>
        <w:gridCol w:w="7280"/>
      </w:tblGrid>
      <w:tr w14:paraId="448719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jc w:val="center"/>
        </w:trPr>
        <w:tc>
          <w:tcPr>
            <w:tcW w:w="542" w:type="dxa"/>
            <w:vAlign w:val="center"/>
          </w:tcPr>
          <w:p w14:paraId="34A0C781">
            <w:pPr>
              <w:pStyle w:val="37"/>
              <w:spacing w:before="36"/>
              <w:ind w:left="119" w:right="156" w:firstLine="1"/>
              <w:jc w:val="center"/>
              <w:rPr>
                <w:rFonts w:hint="eastAsia" w:ascii="宋体" w:hAnsi="宋体" w:eastAsia="宋体" w:cs="宋体"/>
                <w:b/>
                <w:bCs/>
                <w:spacing w:val="-1"/>
                <w:sz w:val="24"/>
                <w:szCs w:val="24"/>
              </w:rPr>
            </w:pPr>
            <w:r>
              <w:rPr>
                <w:rFonts w:hint="eastAsia" w:ascii="宋体" w:hAnsi="宋体" w:eastAsia="宋体" w:cs="宋体"/>
                <w:b/>
                <w:bCs/>
                <w:spacing w:val="-1"/>
                <w:sz w:val="24"/>
                <w:szCs w:val="24"/>
              </w:rPr>
              <w:t>序号</w:t>
            </w:r>
          </w:p>
        </w:tc>
        <w:tc>
          <w:tcPr>
            <w:tcW w:w="1709" w:type="dxa"/>
            <w:gridSpan w:val="2"/>
            <w:vAlign w:val="center"/>
          </w:tcPr>
          <w:p w14:paraId="361A0A25">
            <w:pPr>
              <w:pStyle w:val="37"/>
              <w:spacing w:before="36"/>
              <w:ind w:left="119" w:right="156" w:firstLine="1"/>
              <w:jc w:val="center"/>
              <w:rPr>
                <w:rFonts w:hint="eastAsia" w:ascii="宋体" w:hAnsi="宋体" w:eastAsia="宋体" w:cs="宋体"/>
                <w:b/>
                <w:bCs/>
                <w:spacing w:val="-1"/>
                <w:sz w:val="24"/>
                <w:szCs w:val="24"/>
              </w:rPr>
            </w:pPr>
            <w:r>
              <w:rPr>
                <w:rFonts w:hint="eastAsia" w:ascii="宋体" w:hAnsi="宋体" w:eastAsia="宋体" w:cs="宋体"/>
                <w:b/>
                <w:bCs/>
                <w:spacing w:val="-1"/>
                <w:sz w:val="24"/>
                <w:szCs w:val="24"/>
              </w:rPr>
              <w:t>评分因素</w:t>
            </w:r>
          </w:p>
        </w:tc>
        <w:tc>
          <w:tcPr>
            <w:tcW w:w="7280" w:type="dxa"/>
            <w:vAlign w:val="center"/>
          </w:tcPr>
          <w:p w14:paraId="14EDA572">
            <w:pPr>
              <w:pStyle w:val="37"/>
              <w:spacing w:before="36"/>
              <w:ind w:left="119" w:right="156" w:firstLine="1"/>
              <w:jc w:val="center"/>
              <w:rPr>
                <w:rFonts w:hint="eastAsia" w:ascii="宋体" w:hAnsi="宋体" w:eastAsia="宋体" w:cs="宋体"/>
                <w:b/>
                <w:bCs/>
                <w:spacing w:val="-1"/>
                <w:sz w:val="24"/>
                <w:szCs w:val="24"/>
              </w:rPr>
            </w:pPr>
            <w:r>
              <w:rPr>
                <w:rFonts w:hint="eastAsia" w:ascii="宋体" w:hAnsi="宋体" w:eastAsia="宋体" w:cs="宋体"/>
                <w:b/>
                <w:bCs/>
                <w:spacing w:val="-1"/>
                <w:sz w:val="24"/>
                <w:szCs w:val="24"/>
              </w:rPr>
              <w:t>评分标准</w:t>
            </w:r>
          </w:p>
        </w:tc>
      </w:tr>
      <w:tr w14:paraId="11A8F6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8" w:hRule="atLeast"/>
          <w:jc w:val="center"/>
        </w:trPr>
        <w:tc>
          <w:tcPr>
            <w:tcW w:w="542" w:type="dxa"/>
            <w:tcBorders>
              <w:bottom w:val="single" w:color="auto" w:sz="4" w:space="0"/>
            </w:tcBorders>
            <w:vAlign w:val="center"/>
          </w:tcPr>
          <w:p w14:paraId="5CCB63F4">
            <w:pPr>
              <w:pStyle w:val="37"/>
              <w:spacing w:before="36"/>
              <w:ind w:left="119" w:right="156" w:firstLine="1"/>
              <w:jc w:val="center"/>
              <w:rPr>
                <w:rFonts w:hint="eastAsia" w:ascii="宋体" w:hAnsi="宋体" w:eastAsia="宋体" w:cs="宋体"/>
                <w:spacing w:val="-1"/>
                <w:sz w:val="24"/>
                <w:szCs w:val="24"/>
              </w:rPr>
            </w:pPr>
          </w:p>
          <w:p w14:paraId="6274D8AB">
            <w:pPr>
              <w:pStyle w:val="37"/>
              <w:spacing w:before="36"/>
              <w:ind w:left="119" w:right="156" w:firstLine="1"/>
              <w:jc w:val="center"/>
              <w:rPr>
                <w:rFonts w:hint="eastAsia" w:ascii="宋体" w:hAnsi="宋体" w:eastAsia="宋体" w:cs="宋体"/>
                <w:spacing w:val="-1"/>
                <w:sz w:val="24"/>
                <w:szCs w:val="24"/>
              </w:rPr>
            </w:pPr>
          </w:p>
          <w:p w14:paraId="13869795">
            <w:pPr>
              <w:pStyle w:val="37"/>
              <w:spacing w:before="36"/>
              <w:ind w:left="119" w:right="156" w:firstLine="1"/>
              <w:jc w:val="center"/>
              <w:rPr>
                <w:rFonts w:hint="eastAsia" w:ascii="宋体" w:hAnsi="宋体" w:eastAsia="宋体" w:cs="宋体"/>
                <w:spacing w:val="-1"/>
                <w:sz w:val="24"/>
                <w:szCs w:val="24"/>
              </w:rPr>
            </w:pPr>
          </w:p>
          <w:p w14:paraId="4A96A459">
            <w:pPr>
              <w:pStyle w:val="37"/>
              <w:spacing w:before="36"/>
              <w:ind w:left="119" w:right="156" w:firstLine="1"/>
              <w:jc w:val="center"/>
              <w:rPr>
                <w:rFonts w:hint="eastAsia" w:ascii="宋体" w:hAnsi="宋体" w:eastAsia="宋体" w:cs="宋体"/>
                <w:spacing w:val="-1"/>
                <w:sz w:val="24"/>
                <w:szCs w:val="24"/>
              </w:rPr>
            </w:pPr>
            <w:r>
              <w:rPr>
                <w:rFonts w:hint="eastAsia" w:ascii="宋体" w:hAnsi="宋体" w:eastAsia="宋体" w:cs="宋体"/>
                <w:spacing w:val="-1"/>
                <w:sz w:val="24"/>
                <w:szCs w:val="24"/>
              </w:rPr>
              <w:t>1</w:t>
            </w:r>
          </w:p>
        </w:tc>
        <w:tc>
          <w:tcPr>
            <w:tcW w:w="775" w:type="dxa"/>
            <w:tcBorders>
              <w:bottom w:val="single" w:color="auto" w:sz="4" w:space="0"/>
            </w:tcBorders>
            <w:vAlign w:val="center"/>
          </w:tcPr>
          <w:p w14:paraId="59FEEDBD">
            <w:pPr>
              <w:pStyle w:val="37"/>
              <w:spacing w:before="36"/>
              <w:ind w:left="119" w:right="156" w:firstLine="1"/>
              <w:jc w:val="center"/>
              <w:rPr>
                <w:rFonts w:hint="eastAsia" w:ascii="宋体" w:hAnsi="宋体" w:eastAsia="宋体" w:cs="宋体"/>
                <w:spacing w:val="-1"/>
                <w:sz w:val="24"/>
                <w:szCs w:val="24"/>
              </w:rPr>
            </w:pPr>
          </w:p>
          <w:p w14:paraId="4FCD1ED4">
            <w:pPr>
              <w:pStyle w:val="37"/>
              <w:spacing w:before="36"/>
              <w:ind w:left="119" w:right="156" w:firstLine="1"/>
              <w:jc w:val="center"/>
              <w:rPr>
                <w:rFonts w:hint="eastAsia" w:ascii="宋体" w:hAnsi="宋体" w:eastAsia="宋体" w:cs="宋体"/>
                <w:spacing w:val="-1"/>
                <w:sz w:val="24"/>
                <w:szCs w:val="24"/>
              </w:rPr>
            </w:pPr>
            <w:r>
              <w:rPr>
                <w:rFonts w:hint="eastAsia" w:ascii="宋体" w:hAnsi="宋体" w:eastAsia="宋体" w:cs="宋体"/>
                <w:spacing w:val="-1"/>
                <w:sz w:val="24"/>
                <w:szCs w:val="24"/>
              </w:rPr>
              <w:t>报价</w:t>
            </w:r>
          </w:p>
          <w:p w14:paraId="7D145C63">
            <w:pPr>
              <w:pStyle w:val="37"/>
              <w:spacing w:before="36"/>
              <w:ind w:left="119" w:right="156" w:firstLine="1"/>
              <w:jc w:val="center"/>
              <w:rPr>
                <w:rFonts w:hint="eastAsia" w:ascii="宋体" w:hAnsi="宋体" w:eastAsia="宋体" w:cs="宋体"/>
                <w:spacing w:val="-1"/>
                <w:sz w:val="24"/>
                <w:szCs w:val="24"/>
              </w:rPr>
            </w:pPr>
            <w:r>
              <w:rPr>
                <w:rFonts w:hint="eastAsia" w:ascii="宋体" w:hAnsi="宋体" w:eastAsia="宋体" w:cs="宋体"/>
                <w:spacing w:val="-1"/>
                <w:sz w:val="24"/>
                <w:szCs w:val="24"/>
              </w:rPr>
              <w:t>评分</w:t>
            </w:r>
          </w:p>
          <w:p w14:paraId="2E733641">
            <w:pPr>
              <w:pStyle w:val="37"/>
              <w:spacing w:before="36"/>
              <w:ind w:left="119" w:right="156" w:firstLine="1"/>
              <w:jc w:val="center"/>
              <w:rPr>
                <w:rFonts w:hint="eastAsia" w:ascii="宋体" w:hAnsi="宋体" w:eastAsia="宋体" w:cs="宋体"/>
                <w:spacing w:val="-1"/>
                <w:sz w:val="24"/>
                <w:szCs w:val="24"/>
              </w:rPr>
            </w:pPr>
            <w:r>
              <w:rPr>
                <w:rFonts w:hint="eastAsia" w:ascii="宋体" w:hAnsi="宋体" w:eastAsia="宋体" w:cs="宋体"/>
                <w:spacing w:val="-1"/>
                <w:sz w:val="24"/>
                <w:szCs w:val="24"/>
              </w:rPr>
              <w:t>标准（1</w:t>
            </w:r>
            <w:r>
              <w:rPr>
                <w:rFonts w:hint="eastAsia" w:ascii="宋体" w:hAnsi="宋体" w:eastAsia="宋体" w:cs="宋体"/>
                <w:spacing w:val="-1"/>
                <w:sz w:val="24"/>
                <w:szCs w:val="24"/>
                <w:lang w:val="en-US" w:eastAsia="zh-CN"/>
              </w:rPr>
              <w:t>0</w:t>
            </w:r>
            <w:r>
              <w:rPr>
                <w:rFonts w:hint="eastAsia" w:ascii="宋体" w:hAnsi="宋体" w:eastAsia="宋体" w:cs="宋体"/>
                <w:spacing w:val="-1"/>
                <w:sz w:val="24"/>
                <w:szCs w:val="24"/>
              </w:rPr>
              <w:t>分）</w:t>
            </w:r>
          </w:p>
        </w:tc>
        <w:tc>
          <w:tcPr>
            <w:tcW w:w="934" w:type="dxa"/>
            <w:tcBorders>
              <w:bottom w:val="single" w:color="auto" w:sz="4" w:space="0"/>
            </w:tcBorders>
            <w:vAlign w:val="center"/>
          </w:tcPr>
          <w:p w14:paraId="13D613F2">
            <w:pPr>
              <w:pStyle w:val="37"/>
              <w:spacing w:before="36"/>
              <w:ind w:left="119" w:right="156" w:firstLine="1"/>
              <w:jc w:val="center"/>
              <w:rPr>
                <w:rFonts w:hint="eastAsia" w:ascii="宋体" w:hAnsi="宋体" w:eastAsia="宋体" w:cs="宋体"/>
                <w:spacing w:val="-1"/>
                <w:sz w:val="24"/>
                <w:szCs w:val="24"/>
              </w:rPr>
            </w:pPr>
          </w:p>
          <w:p w14:paraId="40624563">
            <w:pPr>
              <w:pStyle w:val="37"/>
              <w:spacing w:before="36"/>
              <w:ind w:left="119" w:right="156" w:firstLine="1"/>
              <w:jc w:val="center"/>
              <w:rPr>
                <w:rFonts w:hint="eastAsia" w:ascii="宋体" w:hAnsi="宋体" w:eastAsia="宋体" w:cs="宋体"/>
                <w:spacing w:val="-1"/>
                <w:sz w:val="24"/>
                <w:szCs w:val="24"/>
              </w:rPr>
            </w:pPr>
            <w:r>
              <w:rPr>
                <w:rFonts w:hint="eastAsia" w:ascii="宋体" w:hAnsi="宋体" w:eastAsia="宋体" w:cs="宋体"/>
                <w:spacing w:val="-1"/>
                <w:sz w:val="24"/>
                <w:szCs w:val="24"/>
              </w:rPr>
              <w:t>报价</w:t>
            </w:r>
          </w:p>
          <w:p w14:paraId="55327DC5">
            <w:pPr>
              <w:pStyle w:val="37"/>
              <w:spacing w:before="36"/>
              <w:ind w:right="156"/>
              <w:jc w:val="center"/>
              <w:rPr>
                <w:rFonts w:hint="eastAsia" w:ascii="宋体" w:hAnsi="宋体" w:eastAsia="宋体" w:cs="宋体"/>
                <w:spacing w:val="-1"/>
                <w:sz w:val="24"/>
                <w:szCs w:val="24"/>
              </w:rPr>
            </w:pPr>
            <w:r>
              <w:rPr>
                <w:rFonts w:hint="eastAsia" w:ascii="宋体" w:hAnsi="宋体" w:eastAsia="宋体" w:cs="宋体"/>
                <w:spacing w:val="-1"/>
                <w:sz w:val="24"/>
                <w:szCs w:val="24"/>
              </w:rPr>
              <w:t>（1</w:t>
            </w:r>
            <w:r>
              <w:rPr>
                <w:rFonts w:hint="eastAsia" w:ascii="宋体" w:hAnsi="宋体" w:eastAsia="宋体" w:cs="宋体"/>
                <w:spacing w:val="-1"/>
                <w:sz w:val="24"/>
                <w:szCs w:val="24"/>
                <w:lang w:val="en-US" w:eastAsia="zh-CN"/>
              </w:rPr>
              <w:t>0</w:t>
            </w:r>
            <w:r>
              <w:rPr>
                <w:rFonts w:hint="eastAsia" w:ascii="宋体" w:hAnsi="宋体" w:eastAsia="宋体" w:cs="宋体"/>
                <w:spacing w:val="-1"/>
                <w:sz w:val="24"/>
                <w:szCs w:val="24"/>
              </w:rPr>
              <w:t>分）</w:t>
            </w:r>
          </w:p>
        </w:tc>
        <w:tc>
          <w:tcPr>
            <w:tcW w:w="7280" w:type="dxa"/>
            <w:tcBorders>
              <w:bottom w:val="single" w:color="auto" w:sz="4" w:space="0"/>
            </w:tcBorders>
            <w:vAlign w:val="top"/>
          </w:tcPr>
          <w:p w14:paraId="0AD75783">
            <w:pPr>
              <w:pStyle w:val="37"/>
              <w:spacing w:before="36"/>
              <w:ind w:left="119" w:right="156" w:firstLine="1"/>
              <w:jc w:val="both"/>
              <w:rPr>
                <w:rFonts w:hint="eastAsia" w:ascii="宋体" w:hAnsi="宋体" w:eastAsia="宋体" w:cs="宋体"/>
                <w:spacing w:val="-1"/>
                <w:sz w:val="24"/>
                <w:szCs w:val="24"/>
              </w:rPr>
            </w:pPr>
          </w:p>
          <w:p w14:paraId="76F9A0AD">
            <w:pPr>
              <w:pStyle w:val="37"/>
              <w:spacing w:before="36"/>
              <w:ind w:left="119" w:right="156" w:firstLine="1"/>
              <w:jc w:val="both"/>
              <w:rPr>
                <w:rFonts w:hint="eastAsia" w:ascii="宋体" w:hAnsi="宋体" w:eastAsia="宋体" w:cs="宋体"/>
                <w:spacing w:val="-1"/>
                <w:sz w:val="24"/>
                <w:szCs w:val="24"/>
              </w:rPr>
            </w:pPr>
            <w:r>
              <w:rPr>
                <w:rFonts w:hint="eastAsia" w:ascii="宋体" w:hAnsi="宋体" w:eastAsia="宋体" w:cs="宋体"/>
                <w:spacing w:val="-1"/>
                <w:sz w:val="24"/>
                <w:szCs w:val="24"/>
              </w:rPr>
              <w:t>满足招标文件要求且投标价格最低的投标报价为评标基准价，其价格分为满分。其他投标供应商的价格分统一按下列公示计算：投标报价得分=（评标基准价/投标报价） × 1</w:t>
            </w:r>
            <w:r>
              <w:rPr>
                <w:rFonts w:hint="eastAsia" w:ascii="宋体" w:hAnsi="宋体" w:eastAsia="宋体" w:cs="宋体"/>
                <w:spacing w:val="-1"/>
                <w:sz w:val="24"/>
                <w:szCs w:val="24"/>
                <w:lang w:val="en-US" w:eastAsia="zh-CN"/>
              </w:rPr>
              <w:t>0</w:t>
            </w:r>
            <w:r>
              <w:rPr>
                <w:rFonts w:hint="eastAsia" w:ascii="宋体" w:hAnsi="宋体" w:eastAsia="宋体" w:cs="宋体"/>
                <w:spacing w:val="-1"/>
                <w:sz w:val="24"/>
                <w:szCs w:val="24"/>
              </w:rPr>
              <w:t>%×100</w:t>
            </w:r>
          </w:p>
          <w:p w14:paraId="2B09CDDA">
            <w:pPr>
              <w:pStyle w:val="37"/>
              <w:spacing w:before="36"/>
              <w:ind w:left="119" w:right="156" w:firstLine="1"/>
              <w:jc w:val="both"/>
              <w:rPr>
                <w:rFonts w:hint="default" w:ascii="宋体" w:hAnsi="宋体" w:eastAsia="宋体" w:cs="宋体"/>
                <w:spacing w:val="-1"/>
                <w:sz w:val="24"/>
                <w:szCs w:val="24"/>
                <w:lang w:val="en-US" w:eastAsia="zh-CN"/>
              </w:rPr>
            </w:pPr>
            <w:r>
              <w:rPr>
                <w:rFonts w:hint="eastAsia" w:ascii="宋体" w:hAnsi="宋体" w:eastAsia="宋体" w:cs="宋体"/>
                <w:spacing w:val="-1"/>
                <w:sz w:val="24"/>
                <w:szCs w:val="24"/>
              </w:rPr>
              <w:t>注意：</w:t>
            </w:r>
            <w:r>
              <w:rPr>
                <w:rFonts w:hint="eastAsia" w:ascii="宋体" w:hAnsi="宋体" w:eastAsia="宋体" w:cs="宋体"/>
                <w:spacing w:val="-1"/>
                <w:sz w:val="24"/>
                <w:szCs w:val="24"/>
                <w:lang w:val="en-US" w:eastAsia="zh-CN"/>
              </w:rPr>
              <w:t>本项目专门面向中小微企业，评审价格不再作折扣。</w:t>
            </w:r>
          </w:p>
        </w:tc>
      </w:tr>
      <w:tr w14:paraId="2B1392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5" w:hRule="atLeast"/>
          <w:jc w:val="center"/>
        </w:trPr>
        <w:tc>
          <w:tcPr>
            <w:tcW w:w="542" w:type="dxa"/>
            <w:vMerge w:val="restart"/>
            <w:tcBorders>
              <w:top w:val="single" w:color="auto" w:sz="4" w:space="0"/>
              <w:left w:val="single" w:color="auto" w:sz="4" w:space="0"/>
              <w:bottom w:val="single" w:color="auto" w:sz="4" w:space="0"/>
            </w:tcBorders>
            <w:vAlign w:val="center"/>
          </w:tcPr>
          <w:p w14:paraId="2FC3C212">
            <w:pPr>
              <w:pStyle w:val="37"/>
              <w:spacing w:before="36"/>
              <w:ind w:left="119" w:right="156" w:firstLine="1"/>
              <w:jc w:val="center"/>
              <w:rPr>
                <w:rFonts w:hint="eastAsia" w:ascii="宋体" w:hAnsi="宋体" w:eastAsia="宋体" w:cs="宋体"/>
                <w:spacing w:val="-1"/>
                <w:sz w:val="24"/>
                <w:szCs w:val="24"/>
                <w:lang w:val="en-US" w:eastAsia="zh-CN"/>
              </w:rPr>
            </w:pPr>
          </w:p>
          <w:p w14:paraId="33D3DCFC">
            <w:pPr>
              <w:pStyle w:val="37"/>
              <w:spacing w:before="36"/>
              <w:ind w:left="119" w:right="156" w:firstLine="1"/>
              <w:jc w:val="center"/>
              <w:rPr>
                <w:rFonts w:hint="eastAsia" w:ascii="宋体" w:hAnsi="宋体" w:eastAsia="宋体" w:cs="宋体"/>
                <w:spacing w:val="-1"/>
                <w:sz w:val="24"/>
                <w:szCs w:val="24"/>
                <w:lang w:val="en-US" w:eastAsia="zh-CN"/>
              </w:rPr>
            </w:pPr>
          </w:p>
          <w:p w14:paraId="69209581">
            <w:pPr>
              <w:pStyle w:val="37"/>
              <w:spacing w:before="36"/>
              <w:ind w:left="119" w:right="156" w:firstLine="1"/>
              <w:jc w:val="center"/>
              <w:rPr>
                <w:rFonts w:hint="eastAsia" w:ascii="宋体" w:hAnsi="宋体" w:eastAsia="宋体" w:cs="宋体"/>
                <w:spacing w:val="-1"/>
                <w:sz w:val="24"/>
                <w:szCs w:val="24"/>
                <w:lang w:val="en-US" w:eastAsia="zh-CN"/>
              </w:rPr>
            </w:pPr>
          </w:p>
          <w:p w14:paraId="6B023878">
            <w:pPr>
              <w:pStyle w:val="37"/>
              <w:spacing w:before="36"/>
              <w:ind w:left="119" w:right="156" w:firstLine="1"/>
              <w:jc w:val="center"/>
              <w:rPr>
                <w:rFonts w:hint="eastAsia" w:ascii="宋体" w:hAnsi="宋体" w:eastAsia="宋体" w:cs="宋体"/>
                <w:spacing w:val="-1"/>
                <w:sz w:val="24"/>
                <w:szCs w:val="24"/>
                <w:lang w:val="en-US" w:eastAsia="zh-CN"/>
              </w:rPr>
            </w:pPr>
          </w:p>
          <w:p w14:paraId="2E06FF2C">
            <w:pPr>
              <w:pStyle w:val="37"/>
              <w:spacing w:before="36"/>
              <w:ind w:left="119" w:right="156" w:firstLine="1"/>
              <w:jc w:val="center"/>
              <w:rPr>
                <w:rFonts w:hint="eastAsia" w:ascii="宋体" w:hAnsi="宋体" w:eastAsia="宋体" w:cs="宋体"/>
                <w:spacing w:val="-1"/>
                <w:sz w:val="24"/>
                <w:szCs w:val="24"/>
                <w:lang w:val="en-US" w:eastAsia="zh-CN"/>
              </w:rPr>
            </w:pPr>
          </w:p>
          <w:p w14:paraId="3F73C13A">
            <w:pPr>
              <w:pStyle w:val="37"/>
              <w:spacing w:before="36"/>
              <w:ind w:left="119" w:right="156" w:firstLine="1"/>
              <w:jc w:val="center"/>
              <w:rPr>
                <w:rFonts w:hint="eastAsia" w:ascii="宋体" w:hAnsi="宋体" w:eastAsia="宋体" w:cs="宋体"/>
                <w:spacing w:val="-1"/>
                <w:sz w:val="24"/>
                <w:szCs w:val="24"/>
                <w:lang w:val="en-US" w:eastAsia="zh-CN"/>
              </w:rPr>
            </w:pPr>
          </w:p>
          <w:p w14:paraId="764DC363">
            <w:pPr>
              <w:pStyle w:val="37"/>
              <w:spacing w:before="36"/>
              <w:ind w:left="119" w:right="156" w:firstLine="1"/>
              <w:jc w:val="center"/>
              <w:rPr>
                <w:rFonts w:hint="eastAsia" w:ascii="宋体" w:hAnsi="宋体" w:eastAsia="宋体" w:cs="宋体"/>
                <w:spacing w:val="-1"/>
                <w:sz w:val="24"/>
                <w:szCs w:val="24"/>
                <w:lang w:val="en-US" w:eastAsia="zh-CN"/>
              </w:rPr>
            </w:pPr>
          </w:p>
          <w:p w14:paraId="4FEA8D04">
            <w:pPr>
              <w:pStyle w:val="37"/>
              <w:spacing w:before="36"/>
              <w:ind w:left="119" w:right="156" w:firstLine="1"/>
              <w:jc w:val="center"/>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2</w:t>
            </w:r>
          </w:p>
        </w:tc>
        <w:tc>
          <w:tcPr>
            <w:tcW w:w="775" w:type="dxa"/>
            <w:vMerge w:val="restart"/>
            <w:tcBorders>
              <w:top w:val="single" w:color="auto" w:sz="4" w:space="0"/>
              <w:bottom w:val="single" w:color="auto" w:sz="4" w:space="0"/>
            </w:tcBorders>
            <w:vAlign w:val="center"/>
          </w:tcPr>
          <w:p w14:paraId="06E62759">
            <w:pPr>
              <w:pStyle w:val="37"/>
              <w:spacing w:before="36"/>
              <w:ind w:left="119" w:right="156" w:firstLine="1"/>
              <w:jc w:val="center"/>
              <w:rPr>
                <w:rFonts w:hint="eastAsia" w:ascii="宋体" w:hAnsi="宋体" w:eastAsia="宋体" w:cs="宋体"/>
                <w:spacing w:val="-1"/>
                <w:sz w:val="24"/>
                <w:szCs w:val="24"/>
                <w:lang w:val="en-US" w:eastAsia="zh-CN"/>
              </w:rPr>
            </w:pPr>
          </w:p>
          <w:p w14:paraId="381F7F9F">
            <w:pPr>
              <w:pStyle w:val="37"/>
              <w:spacing w:before="36"/>
              <w:ind w:left="119" w:right="156" w:firstLine="1"/>
              <w:jc w:val="center"/>
              <w:rPr>
                <w:rFonts w:hint="eastAsia" w:ascii="宋体" w:hAnsi="宋体" w:eastAsia="宋体" w:cs="宋体"/>
                <w:spacing w:val="-1"/>
                <w:sz w:val="24"/>
                <w:szCs w:val="24"/>
                <w:lang w:val="en-US" w:eastAsia="zh-CN"/>
              </w:rPr>
            </w:pPr>
          </w:p>
          <w:p w14:paraId="61F14DE1">
            <w:pPr>
              <w:pStyle w:val="37"/>
              <w:spacing w:before="36"/>
              <w:ind w:left="119" w:right="156" w:firstLine="1"/>
              <w:jc w:val="center"/>
              <w:rPr>
                <w:rFonts w:hint="eastAsia" w:ascii="宋体" w:hAnsi="宋体" w:eastAsia="宋体" w:cs="宋体"/>
                <w:spacing w:val="-1"/>
                <w:sz w:val="24"/>
                <w:szCs w:val="24"/>
                <w:lang w:val="en-US" w:eastAsia="zh-CN"/>
              </w:rPr>
            </w:pPr>
          </w:p>
          <w:p w14:paraId="06031714">
            <w:pPr>
              <w:pStyle w:val="37"/>
              <w:spacing w:before="36"/>
              <w:ind w:left="119" w:right="156" w:firstLine="1"/>
              <w:jc w:val="center"/>
              <w:rPr>
                <w:rFonts w:hint="eastAsia" w:ascii="宋体" w:hAnsi="宋体" w:eastAsia="宋体" w:cs="宋体"/>
                <w:spacing w:val="-1"/>
                <w:sz w:val="24"/>
                <w:szCs w:val="24"/>
                <w:lang w:val="en-US" w:eastAsia="zh-CN"/>
              </w:rPr>
            </w:pPr>
          </w:p>
          <w:p w14:paraId="5DBC2561">
            <w:pPr>
              <w:pStyle w:val="37"/>
              <w:spacing w:before="36"/>
              <w:ind w:left="119" w:right="156" w:firstLine="1"/>
              <w:jc w:val="center"/>
              <w:rPr>
                <w:rFonts w:hint="eastAsia" w:ascii="宋体" w:hAnsi="宋体" w:eastAsia="宋体" w:cs="宋体"/>
                <w:spacing w:val="-1"/>
                <w:sz w:val="24"/>
                <w:szCs w:val="24"/>
                <w:lang w:val="en-US" w:eastAsia="zh-CN"/>
              </w:rPr>
            </w:pPr>
          </w:p>
          <w:p w14:paraId="34BFA597">
            <w:pPr>
              <w:pStyle w:val="37"/>
              <w:spacing w:before="36"/>
              <w:ind w:left="119" w:right="156" w:firstLine="1"/>
              <w:jc w:val="center"/>
              <w:rPr>
                <w:rFonts w:hint="eastAsia" w:ascii="宋体" w:hAnsi="宋体" w:eastAsia="宋体" w:cs="宋体"/>
                <w:spacing w:val="-1"/>
                <w:sz w:val="24"/>
                <w:szCs w:val="24"/>
                <w:lang w:val="en-US" w:eastAsia="zh-CN"/>
              </w:rPr>
            </w:pPr>
          </w:p>
          <w:p w14:paraId="250C044F">
            <w:pPr>
              <w:pStyle w:val="37"/>
              <w:spacing w:before="36"/>
              <w:ind w:left="119" w:right="156" w:firstLine="1"/>
              <w:jc w:val="center"/>
              <w:rPr>
                <w:rFonts w:hint="eastAsia" w:ascii="宋体" w:hAnsi="宋体" w:eastAsia="宋体" w:cs="宋体"/>
                <w:spacing w:val="-1"/>
                <w:sz w:val="24"/>
                <w:szCs w:val="24"/>
                <w:lang w:val="en-US" w:eastAsia="zh-CN"/>
              </w:rPr>
            </w:pPr>
          </w:p>
          <w:p w14:paraId="283C4388">
            <w:pPr>
              <w:pStyle w:val="37"/>
              <w:spacing w:before="36"/>
              <w:ind w:left="119" w:right="156" w:firstLine="1"/>
              <w:jc w:val="center"/>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商务评分标准（40分）</w:t>
            </w:r>
          </w:p>
        </w:tc>
        <w:tc>
          <w:tcPr>
            <w:tcW w:w="934" w:type="dxa"/>
            <w:tcBorders>
              <w:top w:val="single" w:color="auto" w:sz="4" w:space="0"/>
              <w:bottom w:val="single" w:color="auto" w:sz="4" w:space="0"/>
            </w:tcBorders>
            <w:vAlign w:val="center"/>
          </w:tcPr>
          <w:p w14:paraId="593FD6BF">
            <w:pPr>
              <w:pStyle w:val="37"/>
              <w:spacing w:before="36"/>
              <w:ind w:left="119" w:right="156" w:firstLine="1"/>
              <w:jc w:val="center"/>
              <w:rPr>
                <w:rFonts w:hint="eastAsia" w:ascii="宋体" w:hAnsi="宋体" w:eastAsia="宋体" w:cs="宋体"/>
                <w:spacing w:val="-1"/>
                <w:sz w:val="24"/>
                <w:szCs w:val="24"/>
              </w:rPr>
            </w:pPr>
          </w:p>
          <w:p w14:paraId="6B1B8364">
            <w:pPr>
              <w:pStyle w:val="37"/>
              <w:spacing w:before="36"/>
              <w:ind w:left="119" w:right="156" w:firstLine="1"/>
              <w:jc w:val="center"/>
              <w:rPr>
                <w:rFonts w:hint="eastAsia" w:ascii="宋体" w:hAnsi="宋体" w:eastAsia="宋体" w:cs="宋体"/>
                <w:spacing w:val="-1"/>
                <w:sz w:val="24"/>
                <w:szCs w:val="24"/>
              </w:rPr>
            </w:pPr>
            <w:r>
              <w:rPr>
                <w:rFonts w:hint="eastAsia" w:ascii="宋体" w:hAnsi="宋体" w:eastAsia="宋体" w:cs="宋体"/>
                <w:spacing w:val="-1"/>
                <w:sz w:val="24"/>
                <w:szCs w:val="24"/>
              </w:rPr>
              <w:t>平台运营能力</w:t>
            </w:r>
          </w:p>
          <w:p w14:paraId="2B2AE147">
            <w:pPr>
              <w:pStyle w:val="37"/>
              <w:spacing w:before="36"/>
              <w:ind w:left="119" w:right="156" w:firstLine="1"/>
              <w:jc w:val="center"/>
              <w:rPr>
                <w:rFonts w:hint="eastAsia" w:ascii="宋体" w:hAnsi="宋体" w:eastAsia="宋体" w:cs="宋体"/>
                <w:spacing w:val="-1"/>
                <w:sz w:val="24"/>
                <w:szCs w:val="24"/>
              </w:rPr>
            </w:pPr>
            <w:r>
              <w:rPr>
                <w:rFonts w:hint="eastAsia" w:ascii="宋体" w:hAnsi="宋体" w:eastAsia="宋体" w:cs="宋体"/>
                <w:spacing w:val="-1"/>
                <w:sz w:val="24"/>
                <w:szCs w:val="24"/>
              </w:rPr>
              <w:t>（</w:t>
            </w:r>
            <w:r>
              <w:rPr>
                <w:rFonts w:hint="eastAsia" w:ascii="宋体" w:hAnsi="宋体" w:eastAsia="宋体" w:cs="宋体"/>
                <w:spacing w:val="-1"/>
                <w:sz w:val="24"/>
                <w:szCs w:val="24"/>
                <w:lang w:val="en-US" w:eastAsia="zh-CN"/>
              </w:rPr>
              <w:t>24</w:t>
            </w:r>
            <w:r>
              <w:rPr>
                <w:rFonts w:hint="eastAsia" w:ascii="宋体" w:hAnsi="宋体" w:eastAsia="宋体" w:cs="宋体"/>
                <w:spacing w:val="-1"/>
                <w:sz w:val="24"/>
                <w:szCs w:val="24"/>
              </w:rPr>
              <w:t>分）</w:t>
            </w:r>
          </w:p>
        </w:tc>
        <w:tc>
          <w:tcPr>
            <w:tcW w:w="7280" w:type="dxa"/>
            <w:tcBorders>
              <w:top w:val="single" w:color="auto" w:sz="4" w:space="0"/>
              <w:bottom w:val="single" w:color="auto" w:sz="4" w:space="0"/>
              <w:right w:val="single" w:color="auto" w:sz="4" w:space="0"/>
            </w:tcBorders>
            <w:vAlign w:val="top"/>
          </w:tcPr>
          <w:p w14:paraId="7BCCFEF5">
            <w:pPr>
              <w:pStyle w:val="37"/>
              <w:spacing w:before="36"/>
              <w:ind w:left="119" w:right="156" w:firstLine="1"/>
              <w:jc w:val="both"/>
              <w:rPr>
                <w:rFonts w:hint="default" w:ascii="宋体" w:hAnsi="宋体" w:eastAsia="宋体" w:cs="宋体"/>
                <w:spacing w:val="-1"/>
                <w:sz w:val="24"/>
                <w:szCs w:val="24"/>
                <w:lang w:val="en-US" w:eastAsia="zh-CN"/>
              </w:rPr>
            </w:pPr>
            <w:r>
              <w:rPr>
                <w:rFonts w:hint="eastAsia" w:ascii="宋体" w:hAnsi="宋体" w:eastAsia="宋体" w:cs="宋体"/>
                <w:spacing w:val="-1"/>
                <w:sz w:val="24"/>
                <w:szCs w:val="24"/>
              </w:rPr>
              <w:t>1.</w:t>
            </w:r>
            <w:r>
              <w:rPr>
                <w:rFonts w:hint="eastAsia" w:ascii="宋体" w:hAnsi="宋体" w:eastAsia="宋体" w:cs="宋体"/>
                <w:spacing w:val="-1"/>
                <w:sz w:val="24"/>
                <w:szCs w:val="24"/>
                <w:lang w:val="en-US" w:eastAsia="zh-CN"/>
              </w:rPr>
              <w:t>供应商应具备专业教学资源库推广服务能力，提供专业教学资源库自有平台或合作平台相关证明材料（自有平台提供软件著作权、信息安全等级保护资质；合作平台提供平台软著方对本项目授权书、软件著作权、</w:t>
            </w:r>
            <w:r>
              <w:rPr>
                <w:rFonts w:hint="eastAsia" w:ascii="宋体" w:hAnsi="宋体" w:eastAsia="宋体" w:cs="宋体"/>
                <w:spacing w:val="-1"/>
                <w:sz w:val="24"/>
                <w:szCs w:val="24"/>
                <w:highlight w:val="none"/>
                <w:lang w:val="en-US" w:eastAsia="zh-CN"/>
              </w:rPr>
              <w:t>信息安全等级保护</w:t>
            </w:r>
            <w:r>
              <w:rPr>
                <w:rFonts w:hint="eastAsia" w:ascii="宋体" w:hAnsi="宋体" w:eastAsia="宋体" w:cs="宋体"/>
                <w:spacing w:val="-1"/>
                <w:sz w:val="24"/>
                <w:szCs w:val="24"/>
                <w:lang w:val="en-US" w:eastAsia="zh-CN"/>
              </w:rPr>
              <w:t>资质等相关材料）。材料齐全的得10分。</w:t>
            </w:r>
            <w:r>
              <w:rPr>
                <w:rFonts w:hint="eastAsia" w:ascii="宋体" w:hAnsi="宋体" w:eastAsia="宋体" w:cs="宋体"/>
                <w:spacing w:val="-1"/>
                <w:sz w:val="24"/>
                <w:szCs w:val="24"/>
                <w:highlight w:val="none"/>
                <w:lang w:val="en-US" w:eastAsia="zh-CN"/>
              </w:rPr>
              <w:t>提供自有平台或合作平台平台方授权书得4分，提供平台软件著作权得3分，提供平台能达到《信息安全等级保护管理办法》规定的信息系统安全等级保护（三级）及以上评级证明材料得3分（二级评级的得2分；一级评级的得1分；未提供有效证明材料的不得分）。提供合作平台平台方授权书的，授权书原件备查。</w:t>
            </w:r>
          </w:p>
          <w:p w14:paraId="3D1B0D36">
            <w:pPr>
              <w:pStyle w:val="37"/>
              <w:spacing w:before="36"/>
              <w:ind w:left="119" w:right="156" w:firstLine="1"/>
              <w:jc w:val="both"/>
              <w:rPr>
                <w:rFonts w:hint="eastAsia" w:ascii="宋体" w:hAnsi="宋体" w:eastAsia="宋体" w:cs="宋体"/>
                <w:spacing w:val="-1"/>
                <w:sz w:val="24"/>
                <w:szCs w:val="24"/>
              </w:rPr>
            </w:pPr>
            <w:r>
              <w:rPr>
                <w:rFonts w:hint="eastAsia" w:ascii="宋体" w:hAnsi="宋体" w:eastAsia="宋体" w:cs="宋体"/>
                <w:spacing w:val="-1"/>
                <w:sz w:val="24"/>
                <w:szCs w:val="24"/>
              </w:rPr>
              <w:t>2.课程运营平台需具备职业教育专业教学资源库运营服务能力，并提供有效证明材料，证明材料包括但不限于资源库项目官方网站截图、官网网址链接、清单目录、项目截图等），平台运行50个</w:t>
            </w:r>
            <w:r>
              <w:rPr>
                <w:rFonts w:hint="eastAsia" w:ascii="宋体" w:hAnsi="宋体" w:eastAsia="宋体" w:cs="宋体"/>
                <w:spacing w:val="-1"/>
                <w:sz w:val="24"/>
                <w:szCs w:val="24"/>
                <w:lang w:val="en-US" w:eastAsia="zh-CN"/>
              </w:rPr>
              <w:t>及</w:t>
            </w:r>
            <w:r>
              <w:rPr>
                <w:rFonts w:hint="eastAsia" w:ascii="宋体" w:hAnsi="宋体" w:eastAsia="宋体" w:cs="宋体"/>
                <w:spacing w:val="-1"/>
                <w:sz w:val="24"/>
                <w:szCs w:val="24"/>
              </w:rPr>
              <w:t>以上</w:t>
            </w:r>
            <w:r>
              <w:rPr>
                <w:rFonts w:hint="eastAsia" w:ascii="宋体" w:hAnsi="宋体" w:eastAsia="宋体" w:cs="宋体"/>
                <w:spacing w:val="-1"/>
                <w:sz w:val="24"/>
                <w:szCs w:val="24"/>
                <w:lang w:val="en-US" w:eastAsia="zh-CN"/>
              </w:rPr>
              <w:t>国家级</w:t>
            </w:r>
            <w:r>
              <w:rPr>
                <w:rFonts w:hint="eastAsia" w:ascii="宋体" w:hAnsi="宋体" w:eastAsia="宋体" w:cs="宋体"/>
                <w:spacing w:val="-1"/>
                <w:sz w:val="24"/>
                <w:szCs w:val="24"/>
              </w:rPr>
              <w:t>专业资源库的，得</w:t>
            </w:r>
            <w:r>
              <w:rPr>
                <w:rFonts w:hint="eastAsia" w:ascii="宋体" w:hAnsi="宋体" w:eastAsia="宋体" w:cs="宋体"/>
                <w:spacing w:val="-1"/>
                <w:sz w:val="24"/>
                <w:szCs w:val="24"/>
                <w:lang w:val="en-US" w:eastAsia="zh-CN"/>
              </w:rPr>
              <w:t>14</w:t>
            </w:r>
            <w:r>
              <w:rPr>
                <w:rFonts w:hint="eastAsia" w:ascii="宋体" w:hAnsi="宋体" w:eastAsia="宋体" w:cs="宋体"/>
                <w:spacing w:val="-1"/>
                <w:sz w:val="24"/>
                <w:szCs w:val="24"/>
              </w:rPr>
              <w:t>分；30-49个</w:t>
            </w:r>
            <w:r>
              <w:rPr>
                <w:rFonts w:hint="eastAsia" w:ascii="宋体" w:hAnsi="宋体" w:eastAsia="宋体" w:cs="宋体"/>
                <w:spacing w:val="-1"/>
                <w:sz w:val="24"/>
                <w:szCs w:val="24"/>
                <w:lang w:val="en-US" w:eastAsia="zh-CN"/>
              </w:rPr>
              <w:t>国家级</w:t>
            </w:r>
            <w:r>
              <w:rPr>
                <w:rFonts w:hint="eastAsia" w:ascii="宋体" w:hAnsi="宋体" w:eastAsia="宋体" w:cs="宋体"/>
                <w:spacing w:val="-1"/>
                <w:sz w:val="24"/>
                <w:szCs w:val="24"/>
              </w:rPr>
              <w:t>专业资源库的，得</w:t>
            </w:r>
            <w:r>
              <w:rPr>
                <w:rFonts w:hint="eastAsia" w:ascii="宋体" w:hAnsi="宋体" w:eastAsia="宋体" w:cs="宋体"/>
                <w:spacing w:val="-1"/>
                <w:sz w:val="24"/>
                <w:szCs w:val="24"/>
                <w:lang w:val="en-US" w:eastAsia="zh-CN"/>
              </w:rPr>
              <w:t>10</w:t>
            </w:r>
            <w:r>
              <w:rPr>
                <w:rFonts w:hint="eastAsia" w:ascii="宋体" w:hAnsi="宋体" w:eastAsia="宋体" w:cs="宋体"/>
                <w:spacing w:val="-1"/>
                <w:sz w:val="24"/>
                <w:szCs w:val="24"/>
              </w:rPr>
              <w:t>分；15-29个</w:t>
            </w:r>
            <w:r>
              <w:rPr>
                <w:rFonts w:hint="eastAsia" w:ascii="宋体" w:hAnsi="宋体" w:eastAsia="宋体" w:cs="宋体"/>
                <w:spacing w:val="-1"/>
                <w:sz w:val="24"/>
                <w:szCs w:val="24"/>
                <w:lang w:val="en-US" w:eastAsia="zh-CN"/>
              </w:rPr>
              <w:t>国家级</w:t>
            </w:r>
            <w:r>
              <w:rPr>
                <w:rFonts w:hint="eastAsia" w:ascii="宋体" w:hAnsi="宋体" w:eastAsia="宋体" w:cs="宋体"/>
                <w:spacing w:val="-1"/>
                <w:sz w:val="24"/>
                <w:szCs w:val="24"/>
              </w:rPr>
              <w:t>专业资源库的，得</w:t>
            </w:r>
            <w:r>
              <w:rPr>
                <w:rFonts w:hint="eastAsia" w:ascii="宋体" w:hAnsi="宋体" w:eastAsia="宋体" w:cs="宋体"/>
                <w:spacing w:val="-1"/>
                <w:sz w:val="24"/>
                <w:szCs w:val="24"/>
                <w:lang w:val="en-US" w:eastAsia="zh-CN"/>
              </w:rPr>
              <w:t>6</w:t>
            </w:r>
            <w:r>
              <w:rPr>
                <w:rFonts w:hint="eastAsia" w:ascii="宋体" w:hAnsi="宋体" w:eastAsia="宋体" w:cs="宋体"/>
                <w:spacing w:val="-1"/>
                <w:sz w:val="24"/>
                <w:szCs w:val="24"/>
              </w:rPr>
              <w:t>分；15个以内或未提供完整材料证明的不得分。</w:t>
            </w:r>
          </w:p>
        </w:tc>
      </w:tr>
      <w:tr w14:paraId="47FB0A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0" w:hRule="atLeast"/>
          <w:jc w:val="center"/>
        </w:trPr>
        <w:tc>
          <w:tcPr>
            <w:tcW w:w="542" w:type="dxa"/>
            <w:vMerge w:val="continue"/>
            <w:tcBorders>
              <w:top w:val="single" w:color="auto" w:sz="4" w:space="0"/>
              <w:left w:val="single" w:color="auto" w:sz="4" w:space="0"/>
              <w:bottom w:val="nil"/>
            </w:tcBorders>
            <w:vAlign w:val="center"/>
          </w:tcPr>
          <w:p w14:paraId="67C3189A">
            <w:pPr>
              <w:pStyle w:val="37"/>
              <w:spacing w:before="36"/>
              <w:ind w:left="119" w:right="156" w:firstLine="1"/>
              <w:jc w:val="center"/>
              <w:rPr>
                <w:rFonts w:hint="eastAsia" w:ascii="宋体" w:hAnsi="宋体" w:eastAsia="宋体" w:cs="宋体"/>
                <w:spacing w:val="-1"/>
                <w:sz w:val="24"/>
                <w:szCs w:val="24"/>
              </w:rPr>
            </w:pPr>
          </w:p>
        </w:tc>
        <w:tc>
          <w:tcPr>
            <w:tcW w:w="775" w:type="dxa"/>
            <w:vMerge w:val="continue"/>
            <w:tcBorders>
              <w:top w:val="single" w:color="auto" w:sz="4" w:space="0"/>
              <w:bottom w:val="nil"/>
            </w:tcBorders>
            <w:vAlign w:val="center"/>
          </w:tcPr>
          <w:p w14:paraId="7DEDEF70">
            <w:pPr>
              <w:pStyle w:val="37"/>
              <w:spacing w:before="36"/>
              <w:ind w:left="119" w:right="156" w:firstLine="1"/>
              <w:jc w:val="center"/>
              <w:rPr>
                <w:rFonts w:hint="eastAsia" w:ascii="宋体" w:hAnsi="宋体" w:eastAsia="宋体" w:cs="宋体"/>
                <w:spacing w:val="-1"/>
                <w:sz w:val="24"/>
                <w:szCs w:val="24"/>
              </w:rPr>
            </w:pPr>
          </w:p>
        </w:tc>
        <w:tc>
          <w:tcPr>
            <w:tcW w:w="934" w:type="dxa"/>
            <w:tcBorders>
              <w:top w:val="single" w:color="auto" w:sz="4" w:space="0"/>
            </w:tcBorders>
            <w:vAlign w:val="center"/>
          </w:tcPr>
          <w:p w14:paraId="61497FE9">
            <w:pPr>
              <w:pStyle w:val="37"/>
              <w:spacing w:before="36"/>
              <w:ind w:left="119" w:right="156" w:firstLine="1"/>
              <w:jc w:val="center"/>
              <w:rPr>
                <w:rFonts w:hint="eastAsia" w:ascii="宋体" w:hAnsi="宋体" w:eastAsia="宋体" w:cs="宋体"/>
                <w:spacing w:val="-1"/>
                <w:sz w:val="24"/>
                <w:szCs w:val="24"/>
              </w:rPr>
            </w:pPr>
            <w:r>
              <w:rPr>
                <w:rFonts w:hint="eastAsia" w:ascii="宋体" w:hAnsi="宋体" w:eastAsia="宋体" w:cs="宋体"/>
                <w:spacing w:val="-1"/>
                <w:sz w:val="24"/>
                <w:szCs w:val="24"/>
              </w:rPr>
              <w:t>业绩</w:t>
            </w:r>
          </w:p>
          <w:p w14:paraId="5F245B69">
            <w:pPr>
              <w:pStyle w:val="37"/>
              <w:spacing w:before="36"/>
              <w:ind w:left="119" w:right="156" w:firstLine="1"/>
              <w:jc w:val="both"/>
              <w:rPr>
                <w:rFonts w:hint="eastAsia" w:ascii="宋体" w:hAnsi="宋体" w:eastAsia="宋体" w:cs="宋体"/>
                <w:spacing w:val="-1"/>
                <w:sz w:val="24"/>
                <w:szCs w:val="24"/>
              </w:rPr>
            </w:pPr>
            <w:r>
              <w:rPr>
                <w:rFonts w:hint="eastAsia" w:ascii="宋体" w:hAnsi="宋体" w:eastAsia="宋体" w:cs="宋体"/>
                <w:spacing w:val="-1"/>
                <w:sz w:val="24"/>
                <w:szCs w:val="24"/>
                <w:lang w:val="en-US" w:eastAsia="zh-CN"/>
              </w:rPr>
              <w:t>（6</w:t>
            </w:r>
            <w:r>
              <w:rPr>
                <w:rFonts w:hint="eastAsia" w:ascii="宋体" w:hAnsi="宋体" w:eastAsia="宋体" w:cs="宋体"/>
                <w:spacing w:val="-1"/>
                <w:sz w:val="24"/>
                <w:szCs w:val="24"/>
              </w:rPr>
              <w:t>分）</w:t>
            </w:r>
          </w:p>
        </w:tc>
        <w:tc>
          <w:tcPr>
            <w:tcW w:w="7280" w:type="dxa"/>
            <w:tcBorders>
              <w:top w:val="single" w:color="auto" w:sz="4" w:space="0"/>
            </w:tcBorders>
            <w:vAlign w:val="top"/>
          </w:tcPr>
          <w:p w14:paraId="68F8BD5C">
            <w:pPr>
              <w:pStyle w:val="37"/>
              <w:spacing w:before="36"/>
              <w:ind w:right="156"/>
              <w:jc w:val="both"/>
              <w:rPr>
                <w:rFonts w:hint="eastAsia" w:ascii="宋体" w:hAnsi="宋体" w:eastAsia="宋体" w:cs="宋体"/>
                <w:spacing w:val="-1"/>
                <w:sz w:val="24"/>
                <w:szCs w:val="24"/>
              </w:rPr>
            </w:pP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提供近三年类似项目业绩，每提供一份得</w:t>
            </w:r>
            <w:r>
              <w:rPr>
                <w:rFonts w:hint="eastAsia" w:ascii="宋体" w:hAnsi="宋体" w:eastAsia="宋体" w:cs="宋体"/>
                <w:spacing w:val="-1"/>
                <w:sz w:val="24"/>
                <w:szCs w:val="24"/>
                <w:lang w:val="en-US" w:eastAsia="zh-CN"/>
              </w:rPr>
              <w:t>2</w:t>
            </w:r>
            <w:r>
              <w:rPr>
                <w:rFonts w:hint="eastAsia" w:ascii="宋体" w:hAnsi="宋体" w:eastAsia="宋体" w:cs="宋体"/>
                <w:spacing w:val="-1"/>
                <w:sz w:val="24"/>
                <w:szCs w:val="24"/>
              </w:rPr>
              <w:t>分，满分6 分。（须提</w:t>
            </w:r>
            <w:r>
              <w:rPr>
                <w:rFonts w:hint="eastAsia" w:ascii="宋体" w:hAnsi="宋体" w:eastAsia="宋体" w:cs="宋体"/>
                <w:b w:val="0"/>
                <w:bCs w:val="0"/>
                <w:spacing w:val="-1"/>
                <w:sz w:val="24"/>
                <w:szCs w:val="24"/>
                <w:lang w:val="en-US" w:eastAsia="zh-CN"/>
              </w:rPr>
              <w:t>完整</w:t>
            </w:r>
            <w:r>
              <w:rPr>
                <w:rFonts w:hint="eastAsia" w:ascii="宋体" w:hAnsi="宋体" w:eastAsia="宋体" w:cs="宋体"/>
                <w:b w:val="0"/>
                <w:bCs w:val="0"/>
                <w:spacing w:val="-1"/>
                <w:sz w:val="24"/>
                <w:szCs w:val="24"/>
              </w:rPr>
              <w:t>合同</w:t>
            </w:r>
            <w:r>
              <w:rPr>
                <w:rFonts w:hint="eastAsia" w:ascii="宋体" w:hAnsi="宋体" w:eastAsia="宋体" w:cs="宋体"/>
                <w:b w:val="0"/>
                <w:bCs w:val="0"/>
                <w:spacing w:val="-1"/>
                <w:sz w:val="24"/>
                <w:szCs w:val="24"/>
                <w:lang w:eastAsia="zh-CN"/>
              </w:rPr>
              <w:t>（</w:t>
            </w:r>
            <w:r>
              <w:rPr>
                <w:rFonts w:hint="eastAsia" w:ascii="宋体" w:hAnsi="宋体" w:eastAsia="宋体" w:cs="宋体"/>
                <w:b w:val="0"/>
                <w:bCs w:val="0"/>
                <w:spacing w:val="-1"/>
                <w:sz w:val="24"/>
                <w:szCs w:val="24"/>
                <w:lang w:val="en-US" w:eastAsia="zh-CN"/>
              </w:rPr>
              <w:t>日期、签字、盖章</w:t>
            </w:r>
            <w:r>
              <w:rPr>
                <w:rFonts w:hint="eastAsia" w:ascii="宋体" w:hAnsi="宋体" w:eastAsia="宋体" w:cs="宋体"/>
                <w:b w:val="0"/>
                <w:bCs w:val="0"/>
                <w:spacing w:val="-1"/>
                <w:sz w:val="24"/>
                <w:szCs w:val="24"/>
                <w:lang w:eastAsia="zh-CN"/>
              </w:rPr>
              <w:t>）</w:t>
            </w:r>
            <w:r>
              <w:rPr>
                <w:rFonts w:hint="eastAsia" w:ascii="宋体" w:hAnsi="宋体" w:eastAsia="宋体" w:cs="宋体"/>
                <w:b w:val="0"/>
                <w:bCs w:val="0"/>
                <w:spacing w:val="-1"/>
                <w:sz w:val="24"/>
                <w:szCs w:val="24"/>
              </w:rPr>
              <w:t>，未</w:t>
            </w:r>
            <w:r>
              <w:rPr>
                <w:rFonts w:hint="eastAsia" w:ascii="宋体" w:hAnsi="宋体" w:eastAsia="宋体" w:cs="宋体"/>
                <w:spacing w:val="-1"/>
                <w:sz w:val="24"/>
                <w:szCs w:val="24"/>
              </w:rPr>
              <w:t>提供或提供不全不得分）。</w:t>
            </w:r>
          </w:p>
        </w:tc>
      </w:tr>
      <w:tr w14:paraId="49F354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51" w:hRule="atLeast"/>
          <w:jc w:val="center"/>
        </w:trPr>
        <w:tc>
          <w:tcPr>
            <w:tcW w:w="542" w:type="dxa"/>
            <w:vMerge w:val="continue"/>
            <w:tcBorders>
              <w:top w:val="nil"/>
              <w:left w:val="single" w:color="auto" w:sz="4" w:space="0"/>
            </w:tcBorders>
            <w:vAlign w:val="center"/>
          </w:tcPr>
          <w:p w14:paraId="7F8D1EEC">
            <w:pPr>
              <w:pStyle w:val="37"/>
              <w:spacing w:before="36"/>
              <w:ind w:left="119" w:right="156" w:firstLine="1"/>
              <w:jc w:val="center"/>
              <w:rPr>
                <w:rFonts w:hint="eastAsia" w:ascii="宋体" w:hAnsi="宋体" w:eastAsia="宋体" w:cs="宋体"/>
                <w:spacing w:val="-1"/>
                <w:sz w:val="24"/>
                <w:szCs w:val="24"/>
              </w:rPr>
            </w:pPr>
          </w:p>
        </w:tc>
        <w:tc>
          <w:tcPr>
            <w:tcW w:w="775" w:type="dxa"/>
            <w:vMerge w:val="continue"/>
            <w:tcBorders>
              <w:top w:val="nil"/>
            </w:tcBorders>
            <w:vAlign w:val="center"/>
          </w:tcPr>
          <w:p w14:paraId="0D111351">
            <w:pPr>
              <w:pStyle w:val="37"/>
              <w:spacing w:before="36"/>
              <w:ind w:left="119" w:right="156" w:firstLine="1"/>
              <w:jc w:val="center"/>
              <w:rPr>
                <w:rFonts w:hint="eastAsia" w:ascii="宋体" w:hAnsi="宋体" w:eastAsia="宋体" w:cs="宋体"/>
                <w:spacing w:val="-1"/>
                <w:sz w:val="24"/>
                <w:szCs w:val="24"/>
              </w:rPr>
            </w:pPr>
          </w:p>
        </w:tc>
        <w:tc>
          <w:tcPr>
            <w:tcW w:w="934" w:type="dxa"/>
            <w:vAlign w:val="center"/>
          </w:tcPr>
          <w:p w14:paraId="3EEDB589">
            <w:pPr>
              <w:pStyle w:val="37"/>
              <w:spacing w:before="36"/>
              <w:ind w:left="119" w:right="156" w:firstLine="1"/>
              <w:jc w:val="center"/>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售后服务（</w:t>
            </w:r>
            <w:r>
              <w:rPr>
                <w:rFonts w:hint="eastAsia" w:ascii="宋体" w:hAnsi="宋体" w:eastAsia="宋体" w:cs="宋体"/>
                <w:spacing w:val="-1"/>
                <w:sz w:val="24"/>
                <w:szCs w:val="24"/>
                <w:highlight w:val="none"/>
                <w:lang w:val="en-US" w:eastAsia="zh-CN"/>
              </w:rPr>
              <w:t>10分</w:t>
            </w:r>
            <w:r>
              <w:rPr>
                <w:rFonts w:hint="eastAsia" w:ascii="宋体" w:hAnsi="宋体" w:eastAsia="宋体" w:cs="宋体"/>
                <w:spacing w:val="-1"/>
                <w:sz w:val="24"/>
                <w:szCs w:val="24"/>
                <w:highlight w:val="none"/>
              </w:rPr>
              <w:t>）</w:t>
            </w:r>
          </w:p>
        </w:tc>
        <w:tc>
          <w:tcPr>
            <w:tcW w:w="7280" w:type="dxa"/>
            <w:vAlign w:val="top"/>
          </w:tcPr>
          <w:p w14:paraId="6D5A42BC">
            <w:pPr>
              <w:pStyle w:val="37"/>
              <w:spacing w:before="36"/>
              <w:ind w:left="119" w:right="156" w:firstLine="1"/>
              <w:jc w:val="both"/>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1.</w:t>
            </w:r>
            <w:r>
              <w:rPr>
                <w:rFonts w:hint="eastAsia" w:ascii="宋体" w:hAnsi="宋体" w:eastAsia="宋体" w:cs="宋体"/>
                <w:spacing w:val="-1"/>
                <w:sz w:val="24"/>
                <w:szCs w:val="24"/>
                <w:highlight w:val="none"/>
                <w:lang w:eastAsia="zh-CN"/>
              </w:rPr>
              <w:t>供应商</w:t>
            </w:r>
            <w:r>
              <w:rPr>
                <w:rFonts w:hint="eastAsia" w:ascii="宋体" w:hAnsi="宋体" w:eastAsia="宋体" w:cs="宋体"/>
                <w:spacing w:val="-1"/>
                <w:sz w:val="24"/>
                <w:szCs w:val="24"/>
                <w:highlight w:val="none"/>
              </w:rPr>
              <w:t>接到疑难咨询</w:t>
            </w:r>
            <w:r>
              <w:rPr>
                <w:rFonts w:hint="default" w:ascii="宋体" w:hAnsi="宋体" w:eastAsia="宋体" w:cs="宋体"/>
                <w:spacing w:val="-1"/>
                <w:sz w:val="24"/>
                <w:szCs w:val="24"/>
                <w:highlight w:val="none"/>
                <w:lang w:val="en-US"/>
              </w:rPr>
              <w:t>3</w:t>
            </w:r>
            <w:r>
              <w:rPr>
                <w:rFonts w:hint="eastAsia" w:ascii="宋体" w:hAnsi="宋体" w:eastAsia="宋体" w:cs="宋体"/>
                <w:spacing w:val="-1"/>
                <w:sz w:val="24"/>
                <w:szCs w:val="24"/>
                <w:highlight w:val="none"/>
              </w:rPr>
              <w:t>0分钟内回应，能按要求解决疑难问题的得2分，其他不得分（满分2分）。</w:t>
            </w:r>
          </w:p>
          <w:p w14:paraId="4501BEFB">
            <w:pPr>
              <w:pStyle w:val="37"/>
              <w:spacing w:before="36"/>
              <w:ind w:left="119" w:right="156" w:firstLine="1"/>
              <w:jc w:val="both"/>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2.</w:t>
            </w:r>
            <w:r>
              <w:rPr>
                <w:rFonts w:hint="eastAsia" w:ascii="宋体" w:hAnsi="宋体" w:eastAsia="宋体" w:cs="宋体"/>
                <w:spacing w:val="-1"/>
                <w:sz w:val="24"/>
                <w:szCs w:val="24"/>
                <w:highlight w:val="none"/>
                <w:lang w:eastAsia="zh-CN"/>
              </w:rPr>
              <w:t>供应商</w:t>
            </w:r>
            <w:r>
              <w:rPr>
                <w:rFonts w:hint="eastAsia" w:ascii="宋体" w:hAnsi="宋体" w:eastAsia="宋体" w:cs="宋体"/>
                <w:spacing w:val="-1"/>
                <w:sz w:val="24"/>
                <w:szCs w:val="24"/>
                <w:highlight w:val="none"/>
              </w:rPr>
              <w:t>具有完整的服务方案，至少包括</w:t>
            </w:r>
            <w:r>
              <w:rPr>
                <w:rFonts w:hint="eastAsia" w:ascii="宋体" w:hAnsi="宋体" w:eastAsia="宋体" w:cs="宋体"/>
                <w:spacing w:val="-1"/>
                <w:sz w:val="24"/>
                <w:szCs w:val="24"/>
                <w:highlight w:val="none"/>
                <w:lang w:val="en-US" w:eastAsia="zh-CN"/>
              </w:rPr>
              <w:t>2名</w:t>
            </w:r>
            <w:r>
              <w:rPr>
                <w:rFonts w:hint="eastAsia" w:ascii="宋体" w:hAnsi="宋体" w:eastAsia="宋体" w:cs="宋体"/>
                <w:spacing w:val="-1"/>
                <w:sz w:val="24"/>
                <w:szCs w:val="24"/>
                <w:highlight w:val="none"/>
              </w:rPr>
              <w:t>售后服务人员</w:t>
            </w:r>
            <w:r>
              <w:rPr>
                <w:rFonts w:hint="default" w:ascii="宋体" w:hAnsi="宋体" w:eastAsia="宋体" w:cs="宋体"/>
                <w:spacing w:val="-1"/>
                <w:sz w:val="24"/>
                <w:szCs w:val="24"/>
                <w:highlight w:val="none"/>
                <w:lang w:val="en-US"/>
              </w:rPr>
              <w:t>,</w:t>
            </w:r>
            <w:r>
              <w:rPr>
                <w:rFonts w:hint="eastAsia" w:ascii="宋体" w:hAnsi="宋体" w:eastAsia="宋体" w:cs="宋体"/>
                <w:spacing w:val="-1"/>
                <w:sz w:val="24"/>
                <w:szCs w:val="24"/>
                <w:highlight w:val="none"/>
              </w:rPr>
              <w:t>服务标准、服务流程、服务内容等详细合理的得8分，有一项不满足或者不全面的扣2分，扣完为止（满分</w:t>
            </w:r>
            <w:r>
              <w:rPr>
                <w:rFonts w:hint="eastAsia" w:ascii="宋体" w:hAnsi="宋体" w:eastAsia="宋体" w:cs="宋体"/>
                <w:spacing w:val="-1"/>
                <w:sz w:val="24"/>
                <w:szCs w:val="24"/>
                <w:highlight w:val="none"/>
                <w:lang w:val="en-US" w:eastAsia="zh-CN"/>
              </w:rPr>
              <w:t>8</w:t>
            </w:r>
            <w:r>
              <w:rPr>
                <w:rFonts w:hint="eastAsia" w:ascii="宋体" w:hAnsi="宋体" w:eastAsia="宋体" w:cs="宋体"/>
                <w:spacing w:val="-1"/>
                <w:sz w:val="24"/>
                <w:szCs w:val="24"/>
                <w:highlight w:val="none"/>
              </w:rPr>
              <w:t>分）。</w:t>
            </w:r>
          </w:p>
          <w:p w14:paraId="20694CF8">
            <w:pPr>
              <w:pStyle w:val="37"/>
              <w:spacing w:before="36"/>
              <w:ind w:left="119" w:right="156" w:firstLine="1"/>
              <w:jc w:val="both"/>
              <w:rPr>
                <w:rFonts w:hint="default"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3.项目验收后提供3年的免费更新、升级服务。</w:t>
            </w:r>
          </w:p>
        </w:tc>
      </w:tr>
      <w:tr w14:paraId="7631F6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jc w:val="center"/>
        </w:trPr>
        <w:tc>
          <w:tcPr>
            <w:tcW w:w="542" w:type="dxa"/>
            <w:vMerge w:val="restart"/>
            <w:vAlign w:val="center"/>
          </w:tcPr>
          <w:p w14:paraId="0B398DB9">
            <w:pPr>
              <w:pStyle w:val="37"/>
              <w:spacing w:before="36"/>
              <w:ind w:right="156"/>
              <w:jc w:val="center"/>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rPr>
              <w:t>3</w:t>
            </w:r>
          </w:p>
        </w:tc>
        <w:tc>
          <w:tcPr>
            <w:tcW w:w="775" w:type="dxa"/>
            <w:vMerge w:val="restart"/>
            <w:vAlign w:val="center"/>
          </w:tcPr>
          <w:p w14:paraId="7A6D8222">
            <w:pPr>
              <w:pStyle w:val="37"/>
              <w:spacing w:before="36"/>
              <w:ind w:right="156"/>
              <w:jc w:val="center"/>
              <w:rPr>
                <w:rFonts w:hint="eastAsia" w:ascii="宋体" w:hAnsi="宋体" w:eastAsia="宋体" w:cs="宋体"/>
                <w:spacing w:val="-1"/>
                <w:sz w:val="24"/>
                <w:szCs w:val="24"/>
              </w:rPr>
            </w:pPr>
            <w:r>
              <w:rPr>
                <w:rFonts w:hint="eastAsia" w:ascii="宋体" w:hAnsi="宋体" w:eastAsia="宋体" w:cs="宋体"/>
                <w:spacing w:val="-1"/>
                <w:sz w:val="24"/>
                <w:szCs w:val="24"/>
              </w:rPr>
              <w:t>技术评分标准（</w:t>
            </w:r>
            <w:r>
              <w:rPr>
                <w:rFonts w:hint="eastAsia" w:ascii="宋体" w:hAnsi="宋体" w:eastAsia="宋体" w:cs="宋体"/>
                <w:spacing w:val="-1"/>
                <w:sz w:val="24"/>
                <w:szCs w:val="24"/>
                <w:lang w:val="en-US" w:eastAsia="zh-CN"/>
              </w:rPr>
              <w:t>50</w:t>
            </w:r>
            <w:r>
              <w:rPr>
                <w:rFonts w:hint="eastAsia" w:ascii="宋体" w:hAnsi="宋体" w:eastAsia="宋体" w:cs="宋体"/>
                <w:spacing w:val="-1"/>
                <w:sz w:val="24"/>
                <w:szCs w:val="24"/>
              </w:rPr>
              <w:t>分）</w:t>
            </w:r>
          </w:p>
        </w:tc>
        <w:tc>
          <w:tcPr>
            <w:tcW w:w="934" w:type="dxa"/>
            <w:vAlign w:val="center"/>
          </w:tcPr>
          <w:p w14:paraId="44636433">
            <w:pPr>
              <w:pStyle w:val="37"/>
              <w:spacing w:before="36"/>
              <w:ind w:left="119" w:right="156" w:firstLine="1"/>
              <w:jc w:val="center"/>
              <w:rPr>
                <w:rFonts w:hint="eastAsia" w:ascii="宋体" w:hAnsi="宋体" w:eastAsia="宋体" w:cs="宋体"/>
                <w:spacing w:val="-1"/>
                <w:sz w:val="24"/>
                <w:szCs w:val="24"/>
              </w:rPr>
            </w:pPr>
          </w:p>
          <w:p w14:paraId="2620471C">
            <w:pPr>
              <w:pStyle w:val="37"/>
              <w:spacing w:before="36"/>
              <w:ind w:left="119" w:right="156" w:firstLine="1"/>
              <w:jc w:val="center"/>
              <w:rPr>
                <w:rFonts w:hint="eastAsia" w:ascii="宋体" w:hAnsi="宋体" w:eastAsia="宋体" w:cs="宋体"/>
                <w:spacing w:val="-1"/>
                <w:sz w:val="24"/>
                <w:szCs w:val="24"/>
              </w:rPr>
            </w:pPr>
            <w:r>
              <w:rPr>
                <w:rFonts w:hint="eastAsia" w:ascii="宋体" w:hAnsi="宋体" w:eastAsia="宋体" w:cs="宋体"/>
                <w:spacing w:val="-1"/>
                <w:sz w:val="24"/>
                <w:szCs w:val="24"/>
              </w:rPr>
              <w:t>技术性能指标（</w:t>
            </w:r>
            <w:r>
              <w:rPr>
                <w:rFonts w:hint="eastAsia" w:ascii="宋体" w:hAnsi="宋体" w:eastAsia="宋体" w:cs="宋体"/>
                <w:spacing w:val="-1"/>
                <w:sz w:val="24"/>
                <w:szCs w:val="24"/>
                <w:lang w:val="en-US" w:eastAsia="zh-CN"/>
              </w:rPr>
              <w:t>20</w:t>
            </w:r>
            <w:r>
              <w:rPr>
                <w:rFonts w:hint="eastAsia" w:ascii="宋体" w:hAnsi="宋体" w:eastAsia="宋体" w:cs="宋体"/>
                <w:spacing w:val="-1"/>
                <w:sz w:val="24"/>
                <w:szCs w:val="24"/>
              </w:rPr>
              <w:t xml:space="preserve"> 分）</w:t>
            </w:r>
          </w:p>
        </w:tc>
        <w:tc>
          <w:tcPr>
            <w:tcW w:w="7280" w:type="dxa"/>
            <w:vAlign w:val="top"/>
          </w:tcPr>
          <w:p w14:paraId="6B83220F">
            <w:pPr>
              <w:pStyle w:val="37"/>
              <w:spacing w:before="36"/>
              <w:ind w:left="119" w:right="156" w:firstLine="1"/>
              <w:jc w:val="both"/>
              <w:rPr>
                <w:rFonts w:hint="eastAsia" w:ascii="宋体" w:hAnsi="宋体" w:eastAsia="宋体" w:cs="宋体"/>
                <w:spacing w:val="-1"/>
                <w:sz w:val="24"/>
                <w:szCs w:val="24"/>
              </w:rPr>
            </w:pPr>
            <w:r>
              <w:rPr>
                <w:rFonts w:hint="eastAsia" w:ascii="宋体" w:hAnsi="宋体" w:eastAsia="宋体" w:cs="宋体"/>
                <w:spacing w:val="-1"/>
                <w:sz w:val="24"/>
                <w:szCs w:val="24"/>
              </w:rPr>
              <w:t>根据</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所投产品及方案的技术参数及要求的响应性进行评分：</w:t>
            </w:r>
          </w:p>
          <w:p w14:paraId="525B0F1C">
            <w:pPr>
              <w:pStyle w:val="37"/>
              <w:spacing w:before="36"/>
              <w:ind w:left="119" w:right="156" w:firstLine="1"/>
              <w:jc w:val="both"/>
              <w:rPr>
                <w:rFonts w:hint="eastAsia" w:ascii="宋体" w:hAnsi="宋体" w:eastAsia="宋体" w:cs="宋体"/>
                <w:spacing w:val="-1"/>
                <w:sz w:val="24"/>
                <w:szCs w:val="24"/>
              </w:rPr>
            </w:pPr>
            <w:r>
              <w:rPr>
                <w:rFonts w:hint="eastAsia" w:ascii="宋体" w:hAnsi="宋体" w:eastAsia="宋体" w:cs="宋体"/>
                <w:spacing w:val="-1"/>
                <w:sz w:val="24"/>
                <w:szCs w:val="24"/>
              </w:rPr>
              <w:t>投标产品技术参数指标符合招标文件要求，完全满足招标文件得</w:t>
            </w:r>
            <w:r>
              <w:rPr>
                <w:rFonts w:hint="eastAsia" w:ascii="宋体" w:hAnsi="宋体" w:eastAsia="宋体" w:cs="宋体"/>
                <w:spacing w:val="-1"/>
                <w:sz w:val="24"/>
                <w:szCs w:val="24"/>
                <w:lang w:val="en-US" w:eastAsia="zh-CN"/>
              </w:rPr>
              <w:t>20</w:t>
            </w:r>
            <w:r>
              <w:rPr>
                <w:rFonts w:hint="eastAsia" w:ascii="宋体" w:hAnsi="宋体" w:eastAsia="宋体" w:cs="宋体"/>
                <w:spacing w:val="-1"/>
                <w:sz w:val="24"/>
                <w:szCs w:val="24"/>
              </w:rPr>
              <w:t>分。</w:t>
            </w:r>
          </w:p>
          <w:p w14:paraId="69E44298">
            <w:pPr>
              <w:pStyle w:val="37"/>
              <w:spacing w:before="36"/>
              <w:ind w:left="119" w:right="156" w:firstLine="1"/>
              <w:jc w:val="both"/>
              <w:rPr>
                <w:rFonts w:hint="eastAsia" w:ascii="宋体" w:hAnsi="宋体" w:eastAsia="宋体" w:cs="宋体"/>
                <w:spacing w:val="-1"/>
                <w:sz w:val="24"/>
                <w:szCs w:val="24"/>
              </w:rPr>
            </w:pPr>
            <w:r>
              <w:rPr>
                <w:rFonts w:hint="eastAsia" w:ascii="宋体" w:hAnsi="宋体" w:eastAsia="宋体" w:cs="宋体"/>
                <w:spacing w:val="-1"/>
                <w:sz w:val="24"/>
                <w:szCs w:val="24"/>
              </w:rPr>
              <w:t>注：</w:t>
            </w:r>
            <w:r>
              <w:rPr>
                <w:rFonts w:hint="eastAsia" w:ascii="宋体" w:hAnsi="宋体" w:eastAsia="宋体" w:cs="宋体"/>
                <w:spacing w:val="-1"/>
                <w:sz w:val="24"/>
                <w:szCs w:val="24"/>
                <w:lang w:val="en-US" w:eastAsia="zh-CN"/>
              </w:rPr>
              <w:t>1.</w:t>
            </w:r>
            <w:r>
              <w:rPr>
                <w:rFonts w:hint="eastAsia" w:ascii="宋体" w:hAnsi="宋体" w:eastAsia="宋体" w:cs="宋体"/>
                <w:spacing w:val="-1"/>
                <w:sz w:val="24"/>
                <w:szCs w:val="24"/>
              </w:rPr>
              <w:t>每有一项技术参数非★条款不</w:t>
            </w:r>
            <w:r>
              <w:rPr>
                <w:rFonts w:hint="eastAsia" w:ascii="宋体" w:hAnsi="宋体" w:eastAsia="宋体" w:cs="宋体"/>
                <w:spacing w:val="-1"/>
                <w:sz w:val="24"/>
                <w:szCs w:val="24"/>
                <w:highlight w:val="none"/>
              </w:rPr>
              <w:t>满足扣0.</w:t>
            </w:r>
            <w:r>
              <w:rPr>
                <w:rFonts w:hint="eastAsia" w:ascii="宋体" w:hAnsi="宋体" w:eastAsia="宋体" w:cs="宋体"/>
                <w:spacing w:val="-1"/>
                <w:sz w:val="24"/>
                <w:szCs w:val="24"/>
                <w:highlight w:val="none"/>
                <w:lang w:val="en-US" w:eastAsia="zh-CN"/>
              </w:rPr>
              <w:t>2</w:t>
            </w:r>
            <w:r>
              <w:rPr>
                <w:rFonts w:hint="eastAsia" w:ascii="宋体" w:hAnsi="宋体" w:eastAsia="宋体" w:cs="宋体"/>
                <w:spacing w:val="-1"/>
                <w:sz w:val="24"/>
                <w:szCs w:val="24"/>
                <w:highlight w:val="none"/>
              </w:rPr>
              <w:t>分，每一项★条款不满足扣</w:t>
            </w:r>
            <w:r>
              <w:rPr>
                <w:rFonts w:hint="eastAsia" w:ascii="宋体" w:hAnsi="宋体" w:eastAsia="宋体" w:cs="宋体"/>
                <w:spacing w:val="-1"/>
                <w:sz w:val="24"/>
                <w:szCs w:val="24"/>
                <w:highlight w:val="none"/>
                <w:lang w:val="en-US" w:eastAsia="zh-CN"/>
              </w:rPr>
              <w:t>0.5</w:t>
            </w:r>
            <w:r>
              <w:rPr>
                <w:rFonts w:hint="eastAsia" w:ascii="宋体" w:hAnsi="宋体" w:eastAsia="宋体" w:cs="宋体"/>
                <w:spacing w:val="-1"/>
                <w:sz w:val="24"/>
                <w:szCs w:val="24"/>
                <w:highlight w:val="none"/>
              </w:rPr>
              <w:t>分，扣完为止。</w:t>
            </w:r>
            <w:r>
              <w:rPr>
                <w:rFonts w:hint="eastAsia" w:ascii="宋体" w:hAnsi="宋体" w:eastAsia="宋体" w:cs="宋体"/>
                <w:spacing w:val="-1"/>
                <w:sz w:val="24"/>
                <w:szCs w:val="24"/>
                <w:highlight w:val="none"/>
                <w:lang w:val="en-US" w:eastAsia="zh-CN"/>
              </w:rPr>
              <w:t>2.</w:t>
            </w:r>
            <w:r>
              <w:rPr>
                <w:rFonts w:hint="eastAsia" w:ascii="宋体" w:hAnsi="宋体" w:eastAsia="宋体" w:cs="宋体"/>
                <w:spacing w:val="-1"/>
                <w:sz w:val="24"/>
                <w:szCs w:val="24"/>
                <w:highlight w:val="none"/>
              </w:rPr>
              <w:t>以投标响应表及招标文件中要求提供的材料作为评审依据。</w:t>
            </w:r>
          </w:p>
        </w:tc>
      </w:tr>
      <w:tr w14:paraId="162D95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8" w:hRule="atLeast"/>
          <w:jc w:val="center"/>
        </w:trPr>
        <w:tc>
          <w:tcPr>
            <w:tcW w:w="542" w:type="dxa"/>
            <w:vMerge w:val="continue"/>
            <w:vAlign w:val="center"/>
          </w:tcPr>
          <w:p w14:paraId="0230CDA7">
            <w:pPr>
              <w:pStyle w:val="37"/>
              <w:spacing w:before="36"/>
              <w:ind w:left="119" w:right="156" w:firstLine="1"/>
              <w:jc w:val="center"/>
              <w:rPr>
                <w:rFonts w:hint="eastAsia" w:ascii="宋体" w:hAnsi="宋体" w:eastAsia="宋体" w:cs="宋体"/>
                <w:spacing w:val="-1"/>
                <w:sz w:val="24"/>
                <w:szCs w:val="24"/>
              </w:rPr>
            </w:pPr>
          </w:p>
        </w:tc>
        <w:tc>
          <w:tcPr>
            <w:tcW w:w="775" w:type="dxa"/>
            <w:vMerge w:val="continue"/>
            <w:vAlign w:val="center"/>
          </w:tcPr>
          <w:p w14:paraId="57BA464C">
            <w:pPr>
              <w:pStyle w:val="37"/>
              <w:spacing w:before="36"/>
              <w:ind w:left="119" w:right="156" w:firstLine="1"/>
              <w:jc w:val="center"/>
              <w:rPr>
                <w:rFonts w:hint="eastAsia" w:ascii="宋体" w:hAnsi="宋体" w:eastAsia="宋体" w:cs="宋体"/>
                <w:spacing w:val="-1"/>
                <w:sz w:val="24"/>
                <w:szCs w:val="24"/>
              </w:rPr>
            </w:pPr>
          </w:p>
        </w:tc>
        <w:tc>
          <w:tcPr>
            <w:tcW w:w="934" w:type="dxa"/>
            <w:vAlign w:val="center"/>
          </w:tcPr>
          <w:p w14:paraId="5EAC87A8">
            <w:pPr>
              <w:pStyle w:val="37"/>
              <w:spacing w:before="36"/>
              <w:ind w:left="119" w:right="156" w:firstLine="1"/>
              <w:jc w:val="center"/>
              <w:rPr>
                <w:rFonts w:hint="eastAsia" w:ascii="宋体" w:hAnsi="宋体" w:eastAsia="宋体" w:cs="宋体"/>
                <w:spacing w:val="-1"/>
                <w:sz w:val="24"/>
                <w:szCs w:val="24"/>
                <w:lang w:val="en-US" w:eastAsia="en-US"/>
              </w:rPr>
            </w:pPr>
          </w:p>
          <w:p w14:paraId="6C74939B">
            <w:pPr>
              <w:pStyle w:val="37"/>
              <w:spacing w:before="36"/>
              <w:ind w:left="119" w:right="156" w:firstLine="1"/>
              <w:jc w:val="center"/>
              <w:rPr>
                <w:rFonts w:hint="eastAsia" w:ascii="宋体" w:hAnsi="宋体" w:eastAsia="宋体" w:cs="宋体"/>
                <w:spacing w:val="-1"/>
                <w:sz w:val="24"/>
                <w:szCs w:val="24"/>
                <w:lang w:val="en-US" w:eastAsia="en-US"/>
              </w:rPr>
            </w:pPr>
          </w:p>
          <w:p w14:paraId="3DE13731">
            <w:pPr>
              <w:pStyle w:val="37"/>
              <w:spacing w:before="36"/>
              <w:ind w:left="119" w:right="156" w:firstLine="1"/>
              <w:jc w:val="center"/>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en-US"/>
              </w:rPr>
              <w:t>服务方案</w:t>
            </w:r>
            <w:r>
              <w:rPr>
                <w:rFonts w:hint="eastAsia" w:ascii="宋体" w:hAnsi="宋体" w:eastAsia="宋体" w:cs="宋体"/>
                <w:spacing w:val="-1"/>
                <w:sz w:val="24"/>
                <w:szCs w:val="24"/>
                <w:lang w:val="en-US" w:eastAsia="zh-CN"/>
              </w:rPr>
              <w:t>（12分）</w:t>
            </w:r>
          </w:p>
          <w:p w14:paraId="1DE45E3D">
            <w:pPr>
              <w:pStyle w:val="37"/>
              <w:spacing w:before="36"/>
              <w:ind w:left="119" w:right="156" w:firstLine="1"/>
              <w:jc w:val="center"/>
              <w:rPr>
                <w:rFonts w:hint="eastAsia" w:ascii="宋体" w:hAnsi="宋体" w:eastAsia="宋体" w:cs="宋体"/>
                <w:spacing w:val="-1"/>
                <w:sz w:val="24"/>
                <w:szCs w:val="24"/>
              </w:rPr>
            </w:pPr>
          </w:p>
        </w:tc>
        <w:tc>
          <w:tcPr>
            <w:tcW w:w="7280" w:type="dxa"/>
            <w:vAlign w:val="top"/>
          </w:tcPr>
          <w:p w14:paraId="0A6F6A2F">
            <w:pPr>
              <w:pStyle w:val="37"/>
              <w:spacing w:before="36"/>
              <w:ind w:left="119" w:right="156" w:firstLine="1"/>
              <w:jc w:val="both"/>
              <w:rPr>
                <w:rFonts w:hint="eastAsia" w:ascii="宋体" w:hAnsi="宋体" w:eastAsia="宋体" w:cs="宋体"/>
                <w:spacing w:val="-1"/>
                <w:sz w:val="24"/>
                <w:szCs w:val="24"/>
              </w:rPr>
            </w:pPr>
            <w:r>
              <w:rPr>
                <w:rFonts w:hint="eastAsia" w:ascii="宋体" w:hAnsi="宋体" w:eastAsia="宋体" w:cs="宋体"/>
                <w:spacing w:val="-1"/>
                <w:sz w:val="24"/>
                <w:szCs w:val="24"/>
              </w:rPr>
              <w:t>根据</w:t>
            </w:r>
            <w:r>
              <w:rPr>
                <w:rFonts w:hint="eastAsia" w:ascii="宋体" w:hAnsi="宋体" w:eastAsia="宋体" w:cs="宋体"/>
                <w:spacing w:val="-1"/>
                <w:sz w:val="24"/>
                <w:szCs w:val="24"/>
                <w:lang w:val="en-US" w:eastAsia="zh-CN"/>
              </w:rPr>
              <w:t>供应商提供服务方案的总体思路、包含但不仅限于</w:t>
            </w:r>
            <w:r>
              <w:rPr>
                <w:rFonts w:hint="eastAsia" w:ascii="宋体" w:hAnsi="宋体" w:eastAsia="宋体" w:cs="宋体"/>
                <w:spacing w:val="-1"/>
                <w:sz w:val="24"/>
                <w:szCs w:val="24"/>
              </w:rPr>
              <w:t>对采购需求的响应程度</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lang w:val="en-US" w:eastAsia="zh-CN"/>
              </w:rPr>
              <w:t>人员配备情况、拟投入设备情况、课程资源开发方案</w:t>
            </w:r>
            <w:r>
              <w:rPr>
                <w:rFonts w:hint="eastAsia" w:ascii="宋体" w:hAnsi="宋体" w:eastAsia="宋体" w:cs="宋体"/>
                <w:spacing w:val="-1"/>
                <w:sz w:val="24"/>
                <w:szCs w:val="24"/>
              </w:rPr>
              <w:t>、</w:t>
            </w:r>
            <w:r>
              <w:rPr>
                <w:rFonts w:hint="eastAsia" w:ascii="宋体" w:hAnsi="宋体" w:eastAsia="宋体" w:cs="宋体"/>
                <w:spacing w:val="-1"/>
                <w:sz w:val="24"/>
                <w:szCs w:val="24"/>
                <w:lang w:val="en-US" w:eastAsia="zh-CN"/>
              </w:rPr>
              <w:t>培训</w:t>
            </w:r>
            <w:r>
              <w:rPr>
                <w:rFonts w:hint="eastAsia" w:ascii="宋体" w:hAnsi="宋体" w:eastAsia="宋体" w:cs="宋体"/>
                <w:spacing w:val="-1"/>
                <w:sz w:val="24"/>
                <w:szCs w:val="24"/>
              </w:rPr>
              <w:t>方案等，横向比较进行打分。</w:t>
            </w:r>
          </w:p>
          <w:p w14:paraId="6A7274AC">
            <w:pPr>
              <w:pStyle w:val="37"/>
              <w:spacing w:before="36"/>
              <w:ind w:left="119" w:right="156" w:firstLine="1"/>
              <w:jc w:val="both"/>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1.供应商提供的人员、设备投入方案。评委根据供应商提供的相关方案进行综合评审。</w:t>
            </w:r>
            <w:r>
              <w:rPr>
                <w:rFonts w:hint="eastAsia" w:ascii="宋体" w:hAnsi="宋体" w:eastAsia="宋体" w:cs="宋体"/>
                <w:spacing w:val="-1"/>
                <w:sz w:val="24"/>
                <w:szCs w:val="24"/>
                <w:lang w:val="en-US" w:eastAsia="zh-CN"/>
              </w:rPr>
              <w:br w:type="textWrapping"/>
            </w:r>
            <w:r>
              <w:rPr>
                <w:rFonts w:hint="eastAsia" w:ascii="宋体" w:hAnsi="宋体" w:eastAsia="宋体" w:cs="宋体"/>
                <w:spacing w:val="-1"/>
                <w:sz w:val="24"/>
                <w:szCs w:val="24"/>
                <w:lang w:val="en-US" w:eastAsia="zh-CN"/>
              </w:rPr>
              <w:t>（1）人员、设备投入方案详细，项目人员中具有类似专业的教学资源库专家聘书且完全满足项目需求的，得4分。</w:t>
            </w:r>
            <w:r>
              <w:rPr>
                <w:rFonts w:hint="eastAsia" w:ascii="宋体" w:hAnsi="宋体" w:eastAsia="宋体" w:cs="宋体"/>
                <w:spacing w:val="-1"/>
                <w:sz w:val="24"/>
                <w:szCs w:val="24"/>
                <w:lang w:val="en-US" w:eastAsia="zh-CN"/>
              </w:rPr>
              <w:br w:type="textWrapping"/>
            </w:r>
            <w:r>
              <w:rPr>
                <w:rFonts w:hint="eastAsia" w:ascii="宋体" w:hAnsi="宋体" w:eastAsia="宋体" w:cs="宋体"/>
                <w:spacing w:val="-1"/>
                <w:sz w:val="24"/>
                <w:szCs w:val="24"/>
                <w:lang w:val="en-US" w:eastAsia="zh-CN"/>
              </w:rPr>
              <w:t>（2）人员、设备投入方案详细，项目人员中无类似专业的教学资源库专家聘书且基本满足项目需求的，得2分。</w:t>
            </w:r>
            <w:r>
              <w:rPr>
                <w:rFonts w:hint="eastAsia" w:ascii="宋体" w:hAnsi="宋体" w:eastAsia="宋体" w:cs="宋体"/>
                <w:spacing w:val="-1"/>
                <w:sz w:val="24"/>
                <w:szCs w:val="24"/>
                <w:lang w:val="en-US" w:eastAsia="zh-CN"/>
              </w:rPr>
              <w:br w:type="textWrapping"/>
            </w:r>
            <w:r>
              <w:rPr>
                <w:rFonts w:hint="eastAsia" w:ascii="宋体" w:hAnsi="宋体" w:eastAsia="宋体" w:cs="宋体"/>
                <w:spacing w:val="-1"/>
                <w:sz w:val="24"/>
                <w:szCs w:val="24"/>
                <w:lang w:val="en-US" w:eastAsia="zh-CN"/>
              </w:rPr>
              <w:t>（3）人员、设备投入方案粗略，项目人员中无类似专业的教学资源库专家聘书且基本不能满足项目需求的，得1分。</w:t>
            </w:r>
            <w:r>
              <w:rPr>
                <w:rFonts w:hint="eastAsia" w:ascii="宋体" w:hAnsi="宋体" w:eastAsia="宋体" w:cs="宋体"/>
                <w:spacing w:val="-1"/>
                <w:sz w:val="24"/>
                <w:szCs w:val="24"/>
                <w:lang w:val="en-US" w:eastAsia="zh-CN"/>
              </w:rPr>
              <w:br w:type="textWrapping"/>
            </w:r>
            <w:r>
              <w:rPr>
                <w:rFonts w:hint="eastAsia" w:ascii="宋体" w:hAnsi="宋体" w:eastAsia="宋体" w:cs="宋体"/>
                <w:spacing w:val="-1"/>
                <w:sz w:val="24"/>
                <w:szCs w:val="24"/>
                <w:lang w:val="en-US" w:eastAsia="zh-CN"/>
              </w:rPr>
              <w:t>（4）未提供方案不得分。</w:t>
            </w:r>
            <w:r>
              <w:rPr>
                <w:rFonts w:hint="eastAsia" w:ascii="宋体" w:hAnsi="宋体" w:eastAsia="宋体" w:cs="宋体"/>
                <w:spacing w:val="-1"/>
                <w:sz w:val="24"/>
                <w:szCs w:val="24"/>
                <w:lang w:val="en-US" w:eastAsia="zh-CN"/>
              </w:rPr>
              <w:br w:type="textWrapping"/>
            </w:r>
            <w:r>
              <w:rPr>
                <w:rFonts w:hint="eastAsia" w:ascii="宋体" w:hAnsi="宋体" w:eastAsia="宋体" w:cs="宋体"/>
                <w:spacing w:val="-1"/>
                <w:sz w:val="24"/>
                <w:szCs w:val="24"/>
                <w:lang w:val="en-US" w:eastAsia="zh-CN"/>
              </w:rPr>
              <w:t>（教学资源库专家聘书原件备查）</w:t>
            </w:r>
            <w:r>
              <w:rPr>
                <w:rFonts w:hint="eastAsia" w:ascii="宋体" w:hAnsi="宋体" w:eastAsia="宋体" w:cs="宋体"/>
                <w:spacing w:val="-1"/>
                <w:sz w:val="24"/>
                <w:szCs w:val="24"/>
                <w:lang w:val="en-US" w:eastAsia="zh-CN"/>
              </w:rPr>
              <w:br w:type="textWrapping"/>
            </w:r>
            <w:r>
              <w:rPr>
                <w:rFonts w:hint="eastAsia" w:ascii="宋体" w:hAnsi="宋体" w:eastAsia="宋体" w:cs="宋体"/>
                <w:spacing w:val="-1"/>
                <w:sz w:val="24"/>
                <w:szCs w:val="24"/>
                <w:lang w:val="en-US" w:eastAsia="zh-CN"/>
              </w:rPr>
              <w:t>2.供应商需提供的“课程资源开发方案”。 评委根据供应商提供相关方案进行综合评审。</w:t>
            </w:r>
          </w:p>
          <w:p w14:paraId="43F2C96B">
            <w:pPr>
              <w:pStyle w:val="37"/>
              <w:spacing w:before="36"/>
              <w:ind w:left="119" w:right="156" w:firstLine="1"/>
              <w:jc w:val="both"/>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（1）方案详细，可操作性强，设计优秀，完全满足项目需要的，得4分；</w:t>
            </w:r>
          </w:p>
          <w:p w14:paraId="5425ED07">
            <w:pPr>
              <w:pStyle w:val="37"/>
              <w:spacing w:before="36"/>
              <w:ind w:left="119" w:right="156" w:firstLine="1"/>
              <w:jc w:val="both"/>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（2）方案较详细，可操作性较强，设计合理，基本满足项目需要，略有欠缺需要完善的，得2分；</w:t>
            </w:r>
          </w:p>
          <w:p w14:paraId="4E03199B">
            <w:pPr>
              <w:pStyle w:val="37"/>
              <w:spacing w:before="36"/>
              <w:ind w:left="119" w:right="156" w:firstLine="1"/>
              <w:jc w:val="both"/>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（3）方案粗略，可操作性一般，设计普通，基本不能满足项目需要的，得1分；</w:t>
            </w:r>
          </w:p>
          <w:p w14:paraId="4BDC6F7B">
            <w:pPr>
              <w:pStyle w:val="37"/>
              <w:spacing w:before="36"/>
              <w:ind w:left="119" w:right="156" w:firstLine="1"/>
              <w:jc w:val="both"/>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（4）未提供方案不得分。</w:t>
            </w:r>
            <w:r>
              <w:rPr>
                <w:rFonts w:hint="eastAsia" w:ascii="宋体" w:hAnsi="宋体" w:eastAsia="宋体" w:cs="宋体"/>
                <w:spacing w:val="-1"/>
                <w:sz w:val="24"/>
                <w:szCs w:val="24"/>
                <w:lang w:val="en-US" w:eastAsia="zh-CN"/>
              </w:rPr>
              <w:br w:type="textWrapping"/>
            </w:r>
            <w:r>
              <w:rPr>
                <w:rFonts w:hint="eastAsia" w:ascii="宋体" w:hAnsi="宋体" w:eastAsia="宋体" w:cs="宋体"/>
                <w:spacing w:val="-1"/>
                <w:sz w:val="24"/>
                <w:szCs w:val="24"/>
                <w:lang w:val="en-US" w:eastAsia="zh-CN"/>
              </w:rPr>
              <w:t>3.供应商需提供详实的资源库后续推广计划和方案。评委根据供应商提供的方案进行综合评审。</w:t>
            </w:r>
            <w:r>
              <w:rPr>
                <w:rFonts w:hint="eastAsia" w:ascii="宋体" w:hAnsi="宋体" w:eastAsia="宋体" w:cs="宋体"/>
                <w:spacing w:val="-1"/>
                <w:sz w:val="24"/>
                <w:szCs w:val="24"/>
                <w:lang w:val="en-US" w:eastAsia="zh-CN"/>
              </w:rPr>
              <w:br w:type="textWrapping"/>
            </w:r>
            <w:r>
              <w:rPr>
                <w:rFonts w:hint="eastAsia" w:ascii="宋体" w:hAnsi="宋体" w:eastAsia="宋体" w:cs="宋体"/>
                <w:spacing w:val="-1"/>
                <w:sz w:val="24"/>
                <w:szCs w:val="24"/>
                <w:lang w:val="en-US" w:eastAsia="zh-CN"/>
              </w:rPr>
              <w:t>（1）推广方案详细、合理、可行且提供能在相关行业产教融合共同体进行推广的证明材料，完全满足项目需要的，得4分；</w:t>
            </w:r>
          </w:p>
          <w:p w14:paraId="62ADAEDA">
            <w:pPr>
              <w:pStyle w:val="37"/>
              <w:spacing w:before="36"/>
              <w:ind w:left="119" w:right="156" w:firstLine="1"/>
              <w:jc w:val="both"/>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（2）推广方案较详细、基本合理、可行，不能提供在相关行业产教融合共同体进行推广的证明材料，基本满足项目需要，略有欠缺需要完善的，得2分；</w:t>
            </w:r>
          </w:p>
          <w:p w14:paraId="3C19D3FC">
            <w:pPr>
              <w:pStyle w:val="37"/>
              <w:spacing w:before="36"/>
              <w:ind w:left="119" w:right="156" w:firstLine="1"/>
              <w:jc w:val="both"/>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（3）推广方案粗略、不合理、可行性差，不能提供在相关行业产教融合共同体进行推广的证明材料，基本不能满足项目需要的，得1分；</w:t>
            </w:r>
          </w:p>
          <w:p w14:paraId="34559350">
            <w:pPr>
              <w:pStyle w:val="37"/>
              <w:spacing w:before="36"/>
              <w:ind w:left="119" w:right="156" w:firstLine="1"/>
              <w:jc w:val="both"/>
              <w:rPr>
                <w:rFonts w:hint="default"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（4）未提供方案不得分。</w:t>
            </w:r>
            <w:r>
              <w:rPr>
                <w:rFonts w:hint="eastAsia" w:ascii="宋体" w:hAnsi="宋体" w:eastAsia="宋体" w:cs="宋体"/>
                <w:spacing w:val="-1"/>
                <w:sz w:val="24"/>
                <w:szCs w:val="24"/>
                <w:lang w:val="en-US" w:eastAsia="zh-CN"/>
              </w:rPr>
              <w:br w:type="textWrapping"/>
            </w:r>
            <w:r>
              <w:rPr>
                <w:rFonts w:hint="eastAsia" w:ascii="宋体" w:hAnsi="宋体" w:eastAsia="宋体" w:cs="宋体"/>
                <w:spacing w:val="-1"/>
                <w:sz w:val="24"/>
                <w:szCs w:val="24"/>
                <w:lang w:val="en-US" w:eastAsia="zh-CN"/>
              </w:rPr>
              <w:t>（相关行业产教融合共同体进行推广的证明材料原件备查）</w:t>
            </w:r>
          </w:p>
        </w:tc>
      </w:tr>
      <w:tr w14:paraId="2C3443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8" w:hRule="atLeast"/>
          <w:jc w:val="center"/>
        </w:trPr>
        <w:tc>
          <w:tcPr>
            <w:tcW w:w="542" w:type="dxa"/>
            <w:vMerge w:val="continue"/>
            <w:vAlign w:val="center"/>
          </w:tcPr>
          <w:p w14:paraId="0C446F6D">
            <w:pPr>
              <w:pStyle w:val="37"/>
              <w:spacing w:before="36"/>
              <w:ind w:left="119" w:right="156" w:firstLine="1"/>
              <w:jc w:val="center"/>
              <w:rPr>
                <w:rFonts w:hint="eastAsia" w:ascii="宋体" w:hAnsi="宋体" w:eastAsia="宋体" w:cs="宋体"/>
                <w:spacing w:val="-1"/>
                <w:sz w:val="24"/>
                <w:szCs w:val="24"/>
              </w:rPr>
            </w:pPr>
          </w:p>
        </w:tc>
        <w:tc>
          <w:tcPr>
            <w:tcW w:w="775" w:type="dxa"/>
            <w:vMerge w:val="continue"/>
            <w:vAlign w:val="center"/>
          </w:tcPr>
          <w:p w14:paraId="751B9FE4">
            <w:pPr>
              <w:pStyle w:val="37"/>
              <w:spacing w:before="36"/>
              <w:ind w:left="119" w:right="156" w:firstLine="1"/>
              <w:jc w:val="center"/>
              <w:rPr>
                <w:rFonts w:hint="eastAsia" w:ascii="宋体" w:hAnsi="宋体" w:eastAsia="宋体" w:cs="宋体"/>
                <w:spacing w:val="-1"/>
                <w:sz w:val="24"/>
                <w:szCs w:val="24"/>
              </w:rPr>
            </w:pPr>
          </w:p>
        </w:tc>
        <w:tc>
          <w:tcPr>
            <w:tcW w:w="934" w:type="dxa"/>
            <w:vAlign w:val="center"/>
          </w:tcPr>
          <w:p w14:paraId="01152135">
            <w:pPr>
              <w:pStyle w:val="37"/>
              <w:spacing w:before="36"/>
              <w:ind w:left="119" w:leftChars="0" w:right="156" w:rightChars="0" w:firstLine="1" w:firstLineChars="0"/>
              <w:jc w:val="center"/>
              <w:rPr>
                <w:rFonts w:hint="eastAsia" w:ascii="宋体" w:hAnsi="宋体" w:eastAsia="宋体" w:cs="宋体"/>
                <w:spacing w:val="-1"/>
                <w:sz w:val="24"/>
                <w:szCs w:val="24"/>
              </w:rPr>
            </w:pPr>
            <w:r>
              <w:rPr>
                <w:rFonts w:hint="eastAsia" w:ascii="宋体" w:hAnsi="宋体" w:eastAsia="宋体" w:cs="宋体"/>
                <w:spacing w:val="-1"/>
                <w:sz w:val="24"/>
                <w:szCs w:val="24"/>
                <w:shd w:val="clear"/>
                <w:lang w:val="en-US" w:eastAsia="zh-CN"/>
              </w:rPr>
              <w:t>现场演示（18分）</w:t>
            </w:r>
          </w:p>
        </w:tc>
        <w:tc>
          <w:tcPr>
            <w:tcW w:w="7280" w:type="dxa"/>
            <w:vAlign w:val="top"/>
          </w:tcPr>
          <w:p w14:paraId="7FE60085">
            <w:pPr>
              <w:pStyle w:val="37"/>
              <w:spacing w:before="36"/>
              <w:ind w:left="119" w:right="156" w:firstLine="1"/>
              <w:jc w:val="both"/>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1.平台部分</w:t>
            </w:r>
          </w:p>
          <w:p w14:paraId="4AF0FF19">
            <w:pPr>
              <w:pStyle w:val="37"/>
              <w:spacing w:before="36"/>
              <w:ind w:left="119" w:right="156" w:firstLine="1"/>
              <w:jc w:val="both"/>
              <w:rPr>
                <w:rFonts w:hint="eastAsia" w:ascii="宋体" w:hAnsi="宋体" w:eastAsia="宋体" w:cs="宋体"/>
                <w:spacing w:val="-1"/>
                <w:sz w:val="24"/>
                <w:szCs w:val="24"/>
              </w:rPr>
            </w:pPr>
            <w:r>
              <w:rPr>
                <w:rFonts w:hint="eastAsia" w:ascii="宋体" w:hAnsi="宋体" w:eastAsia="宋体" w:cs="宋体"/>
                <w:spacing w:val="-1"/>
                <w:sz w:val="24"/>
                <w:szCs w:val="24"/>
                <w:lang w:val="en-US" w:eastAsia="zh-CN"/>
              </w:rPr>
              <w:t>（1）</w:t>
            </w:r>
            <w:r>
              <w:rPr>
                <w:rFonts w:hint="eastAsia" w:ascii="宋体" w:hAnsi="宋体" w:eastAsia="宋体" w:cs="宋体"/>
                <w:spacing w:val="-1"/>
                <w:sz w:val="24"/>
                <w:szCs w:val="24"/>
              </w:rPr>
              <w:t>如课程负责人已经参与了其他相关国家级/省级/校级资源库的建设，在原有资源库负责人赋权的前提下，该课程负责人可从原有资源库中导入其个人所建的资源</w:t>
            </w:r>
            <w:r>
              <w:rPr>
                <w:rFonts w:hint="eastAsia" w:ascii="宋体" w:hAnsi="宋体" w:eastAsia="宋体" w:cs="宋体"/>
                <w:spacing w:val="-1"/>
                <w:sz w:val="24"/>
                <w:szCs w:val="24"/>
                <w:lang w:val="en-US" w:eastAsia="zh-CN"/>
              </w:rPr>
              <w:t>和</w:t>
            </w:r>
            <w:r>
              <w:rPr>
                <w:rFonts w:hint="eastAsia" w:ascii="宋体" w:hAnsi="宋体" w:eastAsia="宋体" w:cs="宋体"/>
                <w:spacing w:val="-1"/>
                <w:sz w:val="24"/>
                <w:szCs w:val="24"/>
              </w:rPr>
              <w:t>课程，避免资源重复建设。</w:t>
            </w:r>
          </w:p>
          <w:p w14:paraId="470EA32A">
            <w:pPr>
              <w:pStyle w:val="37"/>
              <w:spacing w:before="36"/>
              <w:ind w:left="119" w:right="156" w:firstLine="1"/>
              <w:jc w:val="both"/>
              <w:rPr>
                <w:rFonts w:hint="eastAsia" w:ascii="宋体" w:hAnsi="宋体" w:eastAsia="宋体" w:cs="宋体"/>
                <w:spacing w:val="-1"/>
                <w:sz w:val="24"/>
                <w:szCs w:val="24"/>
              </w:rPr>
            </w:pPr>
            <w:r>
              <w:rPr>
                <w:rFonts w:hint="eastAsia" w:ascii="宋体" w:hAnsi="宋体" w:eastAsia="宋体" w:cs="宋体"/>
                <w:spacing w:val="-1"/>
                <w:sz w:val="24"/>
                <w:szCs w:val="24"/>
                <w:lang w:val="en-US" w:eastAsia="zh-CN"/>
              </w:rPr>
              <w:t>（2）</w:t>
            </w:r>
            <w:r>
              <w:rPr>
                <w:rFonts w:hint="eastAsia" w:ascii="宋体" w:hAnsi="宋体" w:eastAsia="宋体" w:cs="宋体"/>
                <w:spacing w:val="-1"/>
                <w:sz w:val="24"/>
                <w:szCs w:val="24"/>
              </w:rPr>
              <w:t>课程负责人可将其在与本资源库平台关联的SPOC平台或MOOC平台中原创的课程资源，导入本资源库中，完成课程设计。</w:t>
            </w:r>
          </w:p>
          <w:p w14:paraId="59B7EAF8">
            <w:pPr>
              <w:pStyle w:val="37"/>
              <w:spacing w:before="36"/>
              <w:ind w:left="119" w:right="156" w:firstLine="1"/>
              <w:jc w:val="both"/>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（3）基Deepseek通用大模型底层核心能力，提供具备职教特色的智能问答助手；问答支持在线编辑公式。</w:t>
            </w:r>
          </w:p>
          <w:p w14:paraId="5D24101B">
            <w:pPr>
              <w:pStyle w:val="37"/>
              <w:spacing w:before="36"/>
              <w:ind w:left="119" w:right="156" w:firstLine="1"/>
              <w:jc w:val="both"/>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4）可提供全面覆盖19个职业教育专业大类的专业大类智能体，以及不低于50个的专业智能体和不低于1500个的课程智能体，提供分专业、分课程的智能问答功能，通过情境建模及知识检索整合，输出专业针对性强的答案，还可反馈答案索引资源，满足用户的多元化专业知识需求。</w:t>
            </w:r>
          </w:p>
          <w:p w14:paraId="32C2D1B5">
            <w:pPr>
              <w:pStyle w:val="37"/>
              <w:spacing w:before="36"/>
              <w:ind w:left="119" w:right="156" w:firstLine="1"/>
              <w:jc w:val="both"/>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（5）</w:t>
            </w:r>
            <w:r>
              <w:rPr>
                <w:rFonts w:hint="eastAsia" w:ascii="宋体" w:hAnsi="宋体" w:eastAsia="宋体" w:cs="宋体"/>
                <w:color w:val="000000" w:themeColor="text1"/>
                <w:spacing w:val="-1"/>
                <w:sz w:val="24"/>
                <w:szCs w:val="24"/>
                <w:highlight w:val="darkBlue"/>
                <w:shd w:val="clear"/>
                <w:lang w:val="en-US" w:eastAsia="zh-CN"/>
                <w14:textFill>
                  <w14:solidFill>
                    <w14:schemeClr w14:val="tx1"/>
                  </w14:solidFill>
                </w14:textFill>
              </w:rPr>
              <w:t>为</w:t>
            </w:r>
            <w:r>
              <w:rPr>
                <w:rFonts w:hint="eastAsia" w:ascii="宋体" w:hAnsi="宋体" w:eastAsia="宋体" w:cs="宋体"/>
                <w:spacing w:val="-1"/>
                <w:sz w:val="24"/>
                <w:szCs w:val="24"/>
                <w:shd w:val="clear"/>
                <w:lang w:val="en-US" w:eastAsia="zh-CN"/>
              </w:rPr>
              <w:t>满足</w:t>
            </w:r>
            <w:r>
              <w:rPr>
                <w:rFonts w:hint="eastAsia" w:ascii="宋体" w:hAnsi="宋体" w:eastAsia="宋体" w:cs="宋体"/>
                <w:color w:val="000000" w:themeColor="text1"/>
                <w:spacing w:val="-1"/>
                <w:sz w:val="24"/>
                <w:szCs w:val="24"/>
                <w:highlight w:val="darkBlue"/>
                <w:shd w:val="clear"/>
                <w:lang w:val="en-US" w:eastAsia="zh-CN"/>
                <w14:textFill>
                  <w14:solidFill>
                    <w14:schemeClr w14:val="tx1"/>
                  </w14:solidFill>
                </w14:textFill>
              </w:rPr>
              <w:t>我校“课材”一体化建设需求，</w:t>
            </w:r>
            <w:r>
              <w:rPr>
                <w:rFonts w:hint="eastAsia" w:ascii="宋体" w:hAnsi="宋体" w:eastAsia="宋体" w:cs="宋体"/>
                <w:spacing w:val="-1"/>
                <w:sz w:val="24"/>
                <w:szCs w:val="24"/>
                <w:lang w:val="en-US" w:eastAsia="zh-CN"/>
              </w:rPr>
              <w:t>供应商提供的资源库运行平台须满足我校数字化教材支撑服务，在数字化教材平台编写教材时可一键调用资源库平台数字化资源（外部链接跳转、本地资源上传等调用形式视为非一键调用）。</w:t>
            </w:r>
          </w:p>
          <w:p w14:paraId="45488C1E">
            <w:pPr>
              <w:pStyle w:val="37"/>
              <w:spacing w:before="36"/>
              <w:ind w:left="119" w:right="156" w:firstLine="1"/>
              <w:jc w:val="left"/>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2.资源部分</w:t>
            </w:r>
            <w:r>
              <w:rPr>
                <w:rFonts w:hint="eastAsia" w:ascii="宋体" w:hAnsi="宋体" w:eastAsia="宋体" w:cs="宋体"/>
                <w:spacing w:val="-1"/>
                <w:sz w:val="24"/>
                <w:szCs w:val="24"/>
                <w:lang w:val="en-US" w:eastAsia="zh-CN"/>
              </w:rPr>
              <w:br w:type="textWrapping"/>
            </w:r>
            <w:r>
              <w:rPr>
                <w:rFonts w:hint="eastAsia" w:ascii="宋体" w:hAnsi="宋体" w:eastAsia="宋体" w:cs="宋体"/>
                <w:spacing w:val="-1"/>
                <w:sz w:val="24"/>
                <w:szCs w:val="24"/>
                <w:lang w:val="en-US" w:eastAsia="zh-CN"/>
              </w:rPr>
              <w:t>提供本项目专业相关的各类型资源（二维动画、三维动画、视频各一个，每演示一项得1分。）。</w:t>
            </w:r>
          </w:p>
          <w:p w14:paraId="63EDA3F8">
            <w:pPr>
              <w:pStyle w:val="8"/>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注：</w:t>
            </w:r>
            <w:r>
              <w:rPr>
                <w:rFonts w:hint="eastAsia" w:ascii="宋体" w:hAnsi="宋体" w:eastAsia="宋体" w:cs="宋体"/>
                <w:spacing w:val="-1"/>
                <w:kern w:val="2"/>
                <w:sz w:val="24"/>
                <w:szCs w:val="24"/>
                <w:lang w:val="en-US" w:eastAsia="zh-CN" w:bidi="ar-SA"/>
              </w:rPr>
              <w:t>通过资格符合性实质性响应的投标供应商，在腾讯会议上进行线上不见面演示。</w:t>
            </w:r>
            <w:r>
              <w:rPr>
                <w:rFonts w:hint="eastAsia" w:ascii="宋体" w:hAnsi="宋体" w:eastAsia="宋体" w:cs="宋体"/>
                <w:spacing w:val="-1"/>
                <w:sz w:val="24"/>
                <w:szCs w:val="24"/>
                <w:lang w:val="en-US" w:eastAsia="zh-CN"/>
              </w:rPr>
              <w:t>每演示成功一项计3分，本项总分18分，不演示或演示不成功不</w:t>
            </w:r>
            <w:r>
              <w:rPr>
                <w:rFonts w:hint="eastAsia" w:ascii="宋体" w:hAnsi="宋体" w:eastAsia="宋体" w:cs="宋体"/>
                <w:spacing w:val="-1"/>
                <w:sz w:val="24"/>
                <w:szCs w:val="24"/>
                <w:highlight w:val="none"/>
                <w:lang w:val="en-US" w:eastAsia="zh-CN"/>
              </w:rPr>
              <w:t>得分，演示不流畅酌情扣分，扣完为止。</w:t>
            </w:r>
          </w:p>
        </w:tc>
      </w:tr>
    </w:tbl>
    <w:p w14:paraId="33BA9419">
      <w:pPr>
        <w:pageBreakBefore w:val="0"/>
        <w:kinsoku/>
        <w:wordWrap w:val="0"/>
        <w:overflowPunct/>
        <w:topLinePunct w:val="0"/>
        <w:autoSpaceDE/>
        <w:autoSpaceDN/>
        <w:bidi w:val="0"/>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备注：</w:t>
      </w:r>
    </w:p>
    <w:p w14:paraId="18A05299">
      <w:pPr>
        <w:keepNext w:val="0"/>
        <w:keepLines w:val="0"/>
        <w:pageBreakBefore w:val="0"/>
        <w:widowControl w:val="0"/>
        <w:numPr>
          <w:ilvl w:val="0"/>
          <w:numId w:val="12"/>
        </w:numPr>
        <w:kinsoku/>
        <w:wordWrap w:val="0"/>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各评委独立打分。</w:t>
      </w:r>
    </w:p>
    <w:p w14:paraId="3A021BC7">
      <w:pPr>
        <w:keepNext w:val="0"/>
        <w:keepLines w:val="0"/>
        <w:pageBreakBefore w:val="0"/>
        <w:widowControl w:val="0"/>
        <w:numPr>
          <w:ilvl w:val="0"/>
          <w:numId w:val="12"/>
        </w:numPr>
        <w:kinsoku/>
        <w:wordWrap w:val="0"/>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评委打分超过得分界限或未按本表规定赋分时，该评委的打分作废，不计入汇总分。各评委有效打分的平均值为该项评分的最终分值，若出现综合得分并列时，比较价格得分，此项得分高者排序在前；若价格得分仍相同，比较</w:t>
      </w:r>
      <w:r>
        <w:rPr>
          <w:rFonts w:hint="eastAsia" w:ascii="宋体" w:hAnsi="宋体" w:eastAsia="宋体" w:cs="宋体"/>
          <w:b/>
          <w:bCs/>
          <w:color w:val="auto"/>
          <w:sz w:val="24"/>
          <w:szCs w:val="24"/>
          <w:lang w:eastAsia="zh-CN"/>
        </w:rPr>
        <w:t>技术商务得分</w:t>
      </w:r>
      <w:r>
        <w:rPr>
          <w:rFonts w:hint="eastAsia" w:ascii="宋体" w:hAnsi="宋体" w:eastAsia="宋体" w:cs="宋体"/>
          <w:b/>
          <w:bCs/>
          <w:color w:val="auto"/>
          <w:sz w:val="24"/>
          <w:szCs w:val="24"/>
        </w:rPr>
        <w:t>，此项得分高者排序在前；若</w:t>
      </w:r>
      <w:r>
        <w:rPr>
          <w:rFonts w:hint="eastAsia" w:ascii="宋体" w:hAnsi="宋体" w:eastAsia="宋体" w:cs="宋体"/>
          <w:b/>
          <w:bCs/>
          <w:color w:val="auto"/>
          <w:sz w:val="24"/>
          <w:szCs w:val="24"/>
          <w:lang w:eastAsia="zh-CN"/>
        </w:rPr>
        <w:t>技术商务得分</w:t>
      </w:r>
      <w:r>
        <w:rPr>
          <w:rFonts w:hint="eastAsia" w:ascii="宋体" w:hAnsi="宋体" w:eastAsia="宋体" w:cs="宋体"/>
          <w:b/>
          <w:bCs/>
          <w:color w:val="auto"/>
          <w:sz w:val="24"/>
          <w:szCs w:val="24"/>
        </w:rPr>
        <w:t>仍相同，则由全体评标委员会成员无记名投票，得票高者排序在前。</w:t>
      </w:r>
    </w:p>
    <w:p w14:paraId="0D41BF95">
      <w:pPr>
        <w:keepNext w:val="0"/>
        <w:keepLines w:val="0"/>
        <w:pageBreakBefore w:val="0"/>
        <w:widowControl w:val="0"/>
        <w:numPr>
          <w:ilvl w:val="0"/>
          <w:numId w:val="12"/>
        </w:numPr>
        <w:kinsoku/>
        <w:wordWrap w:val="0"/>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计算分数时四舍五入取小数点后两位。</w:t>
      </w:r>
    </w:p>
    <w:p w14:paraId="2F1AD89B">
      <w:pPr>
        <w:keepNext w:val="0"/>
        <w:keepLines w:val="0"/>
        <w:pageBreakBefore w:val="0"/>
        <w:widowControl w:val="0"/>
        <w:numPr>
          <w:ilvl w:val="0"/>
          <w:numId w:val="12"/>
        </w:numPr>
        <w:kinsoku/>
        <w:wordWrap w:val="0"/>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如有缺项或只有标题但无实质内容或有严重错误者得0分。</w:t>
      </w:r>
    </w:p>
    <w:p w14:paraId="461089DE">
      <w:pPr>
        <w:keepNext w:val="0"/>
        <w:keepLines w:val="0"/>
        <w:pageBreakBefore w:val="0"/>
        <w:widowControl w:val="0"/>
        <w:numPr>
          <w:ilvl w:val="0"/>
          <w:numId w:val="12"/>
        </w:numPr>
        <w:kinsoku/>
        <w:wordWrap w:val="0"/>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磋商小组应当根据综合评分情况，按照评审得分由高到低顺序推荐1-3名成交候选</w:t>
      </w:r>
      <w:r>
        <w:rPr>
          <w:rFonts w:hint="eastAsia" w:ascii="宋体" w:hAnsi="宋体" w:eastAsia="宋体" w:cs="宋体"/>
          <w:b/>
          <w:bCs/>
          <w:color w:val="auto"/>
          <w:sz w:val="24"/>
          <w:szCs w:val="24"/>
          <w:lang w:eastAsia="zh-CN"/>
        </w:rPr>
        <w:t>供应商</w:t>
      </w:r>
      <w:r>
        <w:rPr>
          <w:rFonts w:hint="eastAsia" w:ascii="宋体" w:hAnsi="宋体" w:eastAsia="宋体" w:cs="宋体"/>
          <w:b/>
          <w:bCs/>
          <w:color w:val="auto"/>
          <w:sz w:val="24"/>
          <w:szCs w:val="24"/>
        </w:rPr>
        <w:t>。</w:t>
      </w:r>
    </w:p>
    <w:p w14:paraId="21166020">
      <w:pPr>
        <w:keepNext w:val="0"/>
        <w:keepLines w:val="0"/>
        <w:pageBreakBefore w:val="0"/>
        <w:widowControl w:val="0"/>
        <w:numPr>
          <w:ilvl w:val="0"/>
          <w:numId w:val="12"/>
        </w:numPr>
        <w:kinsoku/>
        <w:wordWrap w:val="0"/>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评审过程中，若出现本办法以外的特殊情况时，将暂停评审，有关情况待磋商小组确定后，再行评定。</w:t>
      </w:r>
    </w:p>
    <w:p w14:paraId="533EC296">
      <w:pPr>
        <w:keepNext w:val="0"/>
        <w:keepLines w:val="0"/>
        <w:pageBreakBefore w:val="0"/>
        <w:widowControl w:val="0"/>
        <w:numPr>
          <w:ilvl w:val="0"/>
          <w:numId w:val="12"/>
        </w:numPr>
        <w:kinsoku/>
        <w:wordWrap w:val="0"/>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采购活动内容见第</w:t>
      </w:r>
      <w:r>
        <w:rPr>
          <w:rFonts w:hint="eastAsia" w:ascii="宋体" w:hAnsi="宋体" w:eastAsia="宋体" w:cs="宋体"/>
          <w:b/>
          <w:bCs/>
          <w:color w:val="auto"/>
          <w:sz w:val="24"/>
          <w:szCs w:val="24"/>
          <w:lang w:val="en-US" w:eastAsia="zh-CN"/>
        </w:rPr>
        <w:t>四章</w:t>
      </w:r>
      <w:r>
        <w:rPr>
          <w:rFonts w:hint="eastAsia" w:ascii="宋体" w:hAnsi="宋体" w:eastAsia="宋体" w:cs="宋体"/>
          <w:b/>
          <w:bCs/>
          <w:color w:val="auto"/>
          <w:sz w:val="24"/>
          <w:szCs w:val="24"/>
        </w:rPr>
        <w:t>采购内容及要求。</w:t>
      </w:r>
    </w:p>
    <w:p w14:paraId="7368FB12">
      <w:pPr>
        <w:pStyle w:val="29"/>
        <w:rPr>
          <w:rFonts w:hint="eastAsia"/>
        </w:rPr>
        <w:sectPr>
          <w:pgSz w:w="11910" w:h="16840"/>
          <w:pgMar w:top="1380" w:right="1540" w:bottom="1200" w:left="1680" w:header="517" w:footer="1004" w:gutter="0"/>
          <w:pgNumType w:fmt="decimal"/>
          <w:cols w:space="720" w:num="1"/>
        </w:sectPr>
      </w:pPr>
    </w:p>
    <w:p w14:paraId="1A1DF1D0">
      <w:pPr>
        <w:pStyle w:val="2"/>
        <w:pageBreakBefore w:val="0"/>
        <w:kinsoku/>
        <w:wordWrap w:val="0"/>
        <w:overflowPunct/>
        <w:topLinePunct w:val="0"/>
        <w:autoSpaceDE/>
        <w:autoSpaceDN/>
        <w:bidi w:val="0"/>
        <w:jc w:val="center"/>
        <w:rPr>
          <w:rFonts w:hint="eastAsia" w:ascii="宋体" w:hAnsi="宋体" w:eastAsia="宋体" w:cs="宋体"/>
          <w:color w:val="auto"/>
          <w:lang w:val="en-US" w:eastAsia="zh-CN"/>
        </w:rPr>
      </w:pPr>
      <w:bookmarkStart w:id="161" w:name="_Toc18868"/>
      <w:bookmarkStart w:id="162" w:name="_Toc21163"/>
      <w:r>
        <w:rPr>
          <w:rFonts w:hint="eastAsia" w:ascii="宋体" w:hAnsi="宋体" w:eastAsia="宋体" w:cs="宋体"/>
          <w:color w:val="auto"/>
          <w:lang w:val="en-US" w:eastAsia="zh-CN"/>
        </w:rPr>
        <w:t>第四章 采购内容及要求</w:t>
      </w:r>
      <w:bookmarkEnd w:id="161"/>
      <w:bookmarkEnd w:id="162"/>
    </w:p>
    <w:p w14:paraId="744CD1FD">
      <w:pPr>
        <w:spacing w:before="156" w:beforeLines="50" w:after="156" w:afterLines="50"/>
        <w:jc w:val="center"/>
        <w:rPr>
          <w:rFonts w:hint="default" w:eastAsia="宋体"/>
          <w:b/>
          <w:sz w:val="32"/>
          <w:szCs w:val="32"/>
          <w:highlight w:val="yellow"/>
          <w:lang w:val="en-US" w:eastAsia="zh-CN"/>
        </w:rPr>
      </w:pPr>
      <w:r>
        <w:rPr>
          <w:rFonts w:hint="eastAsia"/>
          <w:b/>
          <w:sz w:val="32"/>
          <w:szCs w:val="32"/>
        </w:rPr>
        <w:t>榆林职业技术学院煤化工技术专业（群）教学资源库建设项目采购清单及技术要求</w:t>
      </w:r>
    </w:p>
    <w:tbl>
      <w:tblPr>
        <w:tblStyle w:val="24"/>
        <w:tblW w:w="50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852"/>
        <w:gridCol w:w="852"/>
        <w:gridCol w:w="6434"/>
      </w:tblGrid>
      <w:tr w14:paraId="29E31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1" w:type="pct"/>
            <w:vAlign w:val="center"/>
          </w:tcPr>
          <w:p w14:paraId="3988C2B2">
            <w:pPr>
              <w:pageBreakBefore w:val="0"/>
              <w:widowControl/>
              <w:kinsoku/>
              <w:wordWrap/>
              <w:overflowPunct/>
              <w:topLinePunct w:val="0"/>
              <w:autoSpaceDE/>
              <w:autoSpaceDN/>
              <w:bidi w:val="0"/>
              <w:adjustRightInd/>
              <w:snapToGrid/>
              <w:spacing w:line="240" w:lineRule="auto"/>
              <w:ind w:left="0"/>
              <w:jc w:val="center"/>
              <w:rPr>
                <w:rFonts w:hint="eastAsia" w:ascii="仿宋" w:hAnsi="仿宋" w:eastAsia="仿宋" w:cs="仿宋"/>
                <w:b/>
                <w:kern w:val="0"/>
                <w:sz w:val="21"/>
                <w:szCs w:val="21"/>
              </w:rPr>
            </w:pPr>
            <w:r>
              <w:rPr>
                <w:rFonts w:hint="eastAsia" w:ascii="仿宋" w:hAnsi="仿宋" w:eastAsia="仿宋" w:cs="仿宋"/>
                <w:b/>
                <w:kern w:val="0"/>
                <w:sz w:val="21"/>
                <w:szCs w:val="21"/>
              </w:rPr>
              <w:t>序号</w:t>
            </w:r>
          </w:p>
        </w:tc>
        <w:tc>
          <w:tcPr>
            <w:tcW w:w="500" w:type="pct"/>
            <w:vAlign w:val="center"/>
          </w:tcPr>
          <w:p w14:paraId="05756030">
            <w:pPr>
              <w:pageBreakBefore w:val="0"/>
              <w:widowControl/>
              <w:kinsoku/>
              <w:wordWrap/>
              <w:overflowPunct/>
              <w:topLinePunct w:val="0"/>
              <w:autoSpaceDE/>
              <w:autoSpaceDN/>
              <w:bidi w:val="0"/>
              <w:adjustRightInd/>
              <w:snapToGrid/>
              <w:spacing w:line="240" w:lineRule="auto"/>
              <w:ind w:left="0"/>
              <w:jc w:val="center"/>
              <w:rPr>
                <w:rFonts w:hint="eastAsia" w:ascii="仿宋" w:hAnsi="仿宋" w:eastAsia="仿宋" w:cs="仿宋"/>
                <w:b/>
                <w:bCs/>
                <w:kern w:val="0"/>
                <w:sz w:val="21"/>
                <w:szCs w:val="21"/>
                <w:lang w:val="en-US" w:eastAsia="zh-CN"/>
              </w:rPr>
            </w:pPr>
            <w:r>
              <w:rPr>
                <w:rFonts w:hint="eastAsia" w:ascii="仿宋" w:hAnsi="仿宋" w:eastAsia="仿宋" w:cs="仿宋"/>
                <w:b/>
                <w:bCs/>
                <w:kern w:val="0"/>
                <w:sz w:val="21"/>
                <w:szCs w:val="21"/>
                <w:lang w:val="en-US" w:eastAsia="zh-CN"/>
              </w:rPr>
              <w:t>采购</w:t>
            </w:r>
          </w:p>
          <w:p w14:paraId="2AEDB723">
            <w:pPr>
              <w:pageBreakBefore w:val="0"/>
              <w:widowControl/>
              <w:kinsoku/>
              <w:wordWrap/>
              <w:overflowPunct/>
              <w:topLinePunct w:val="0"/>
              <w:autoSpaceDE/>
              <w:autoSpaceDN/>
              <w:bidi w:val="0"/>
              <w:adjustRightInd/>
              <w:snapToGrid/>
              <w:spacing w:line="240" w:lineRule="auto"/>
              <w:ind w:left="0"/>
              <w:jc w:val="center"/>
              <w:rPr>
                <w:rFonts w:hint="default" w:ascii="仿宋" w:hAnsi="仿宋" w:eastAsia="仿宋" w:cs="仿宋"/>
                <w:b/>
                <w:bCs/>
                <w:kern w:val="0"/>
                <w:sz w:val="21"/>
                <w:szCs w:val="21"/>
                <w:lang w:val="en-US" w:eastAsia="zh-CN"/>
              </w:rPr>
            </w:pPr>
            <w:r>
              <w:rPr>
                <w:rFonts w:hint="eastAsia" w:ascii="仿宋" w:hAnsi="仿宋" w:eastAsia="仿宋" w:cs="仿宋"/>
                <w:b/>
                <w:bCs/>
                <w:kern w:val="0"/>
                <w:sz w:val="21"/>
                <w:szCs w:val="21"/>
                <w:lang w:val="en-US" w:eastAsia="zh-CN"/>
              </w:rPr>
              <w:t>项目</w:t>
            </w:r>
          </w:p>
        </w:tc>
        <w:tc>
          <w:tcPr>
            <w:tcW w:w="500" w:type="pct"/>
            <w:vAlign w:val="center"/>
          </w:tcPr>
          <w:p w14:paraId="39BD4EA1">
            <w:pPr>
              <w:pageBreakBefore w:val="0"/>
              <w:widowControl/>
              <w:kinsoku/>
              <w:wordWrap/>
              <w:overflowPunct/>
              <w:topLinePunct w:val="0"/>
              <w:autoSpaceDE/>
              <w:autoSpaceDN/>
              <w:bidi w:val="0"/>
              <w:adjustRightInd/>
              <w:snapToGrid/>
              <w:spacing w:line="240" w:lineRule="auto"/>
              <w:ind w:left="0"/>
              <w:jc w:val="center"/>
              <w:rPr>
                <w:rFonts w:hint="eastAsia" w:ascii="仿宋" w:hAnsi="仿宋" w:eastAsia="仿宋" w:cs="仿宋"/>
                <w:b/>
                <w:bCs/>
                <w:kern w:val="0"/>
                <w:sz w:val="21"/>
                <w:szCs w:val="21"/>
                <w:lang w:val="en-US" w:eastAsia="zh-CN"/>
              </w:rPr>
            </w:pPr>
            <w:r>
              <w:rPr>
                <w:rFonts w:hint="eastAsia" w:ascii="仿宋" w:hAnsi="仿宋" w:eastAsia="仿宋" w:cs="仿宋"/>
                <w:b/>
                <w:bCs/>
                <w:kern w:val="0"/>
                <w:sz w:val="21"/>
                <w:szCs w:val="21"/>
                <w:lang w:val="en-US" w:eastAsia="zh-CN"/>
              </w:rPr>
              <w:t>项目</w:t>
            </w:r>
          </w:p>
          <w:p w14:paraId="75CDD550">
            <w:pPr>
              <w:pageBreakBefore w:val="0"/>
              <w:widowControl/>
              <w:kinsoku/>
              <w:wordWrap/>
              <w:overflowPunct/>
              <w:topLinePunct w:val="0"/>
              <w:autoSpaceDE/>
              <w:autoSpaceDN/>
              <w:bidi w:val="0"/>
              <w:adjustRightInd/>
              <w:snapToGrid/>
              <w:spacing w:line="240" w:lineRule="auto"/>
              <w:ind w:left="0"/>
              <w:jc w:val="center"/>
              <w:rPr>
                <w:rFonts w:hint="default" w:ascii="仿宋" w:hAnsi="仿宋" w:eastAsia="仿宋" w:cs="仿宋"/>
                <w:b/>
                <w:bCs/>
                <w:kern w:val="0"/>
                <w:sz w:val="21"/>
                <w:szCs w:val="21"/>
                <w:lang w:val="en-US" w:eastAsia="zh-CN"/>
              </w:rPr>
            </w:pPr>
            <w:r>
              <w:rPr>
                <w:rFonts w:hint="eastAsia" w:ascii="仿宋" w:hAnsi="仿宋" w:eastAsia="仿宋" w:cs="仿宋"/>
                <w:b/>
                <w:bCs/>
                <w:kern w:val="0"/>
                <w:sz w:val="21"/>
                <w:szCs w:val="21"/>
                <w:lang w:val="en-US" w:eastAsia="zh-CN"/>
              </w:rPr>
              <w:t>内容</w:t>
            </w:r>
          </w:p>
        </w:tc>
        <w:tc>
          <w:tcPr>
            <w:tcW w:w="3757" w:type="pct"/>
            <w:vAlign w:val="center"/>
          </w:tcPr>
          <w:p w14:paraId="58234E9F">
            <w:pPr>
              <w:pageBreakBefore w:val="0"/>
              <w:widowControl/>
              <w:kinsoku/>
              <w:wordWrap/>
              <w:overflowPunct/>
              <w:topLinePunct w:val="0"/>
              <w:autoSpaceDE/>
              <w:autoSpaceDN/>
              <w:bidi w:val="0"/>
              <w:adjustRightInd/>
              <w:snapToGrid/>
              <w:spacing w:line="240" w:lineRule="auto"/>
              <w:ind w:left="0"/>
              <w:jc w:val="center"/>
              <w:rPr>
                <w:rFonts w:hint="eastAsia" w:ascii="仿宋" w:hAnsi="仿宋" w:eastAsia="仿宋" w:cs="仿宋"/>
                <w:b/>
                <w:bCs/>
                <w:kern w:val="0"/>
                <w:sz w:val="21"/>
                <w:szCs w:val="21"/>
              </w:rPr>
            </w:pPr>
            <w:r>
              <w:rPr>
                <w:rFonts w:hint="eastAsia" w:ascii="仿宋" w:hAnsi="仿宋" w:eastAsia="仿宋" w:cs="仿宋"/>
                <w:b/>
                <w:bCs/>
                <w:kern w:val="0"/>
                <w:sz w:val="21"/>
                <w:szCs w:val="21"/>
              </w:rPr>
              <w:t>技术指标要求</w:t>
            </w:r>
          </w:p>
        </w:tc>
      </w:tr>
      <w:tr w14:paraId="575F2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1" w:type="pct"/>
            <w:vMerge w:val="restart"/>
            <w:vAlign w:val="center"/>
          </w:tcPr>
          <w:p w14:paraId="5D06D1EA">
            <w:pPr>
              <w:pageBreakBefore w:val="0"/>
              <w:widowControl/>
              <w:kinsoku/>
              <w:wordWrap/>
              <w:overflowPunct/>
              <w:topLinePunct w:val="0"/>
              <w:autoSpaceDE/>
              <w:autoSpaceDN/>
              <w:bidi w:val="0"/>
              <w:adjustRightInd/>
              <w:snapToGrid/>
              <w:spacing w:line="240" w:lineRule="auto"/>
              <w:ind w:left="0"/>
              <w:jc w:val="center"/>
              <w:rPr>
                <w:rFonts w:hint="eastAsia" w:ascii="仿宋" w:hAnsi="仿宋" w:eastAsia="仿宋" w:cs="仿宋"/>
                <w:b/>
                <w:kern w:val="0"/>
                <w:sz w:val="21"/>
                <w:szCs w:val="21"/>
                <w:lang w:val="en-US" w:eastAsia="zh-CN"/>
              </w:rPr>
            </w:pPr>
            <w:r>
              <w:rPr>
                <w:rFonts w:hint="eastAsia" w:ascii="仿宋" w:hAnsi="仿宋" w:eastAsia="仿宋" w:cs="仿宋"/>
                <w:b/>
                <w:kern w:val="0"/>
                <w:sz w:val="21"/>
                <w:szCs w:val="21"/>
                <w:lang w:val="en-US" w:eastAsia="zh-CN"/>
              </w:rPr>
              <w:t>1</w:t>
            </w:r>
          </w:p>
        </w:tc>
        <w:tc>
          <w:tcPr>
            <w:tcW w:w="500" w:type="pct"/>
            <w:vMerge w:val="restart"/>
            <w:shd w:val="clear" w:color="auto" w:fill="auto"/>
            <w:vAlign w:val="center"/>
          </w:tcPr>
          <w:p w14:paraId="2C5E27B4">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搭建煤化工技术专业（群）教学资源库运行平台。</w:t>
            </w:r>
          </w:p>
        </w:tc>
        <w:tc>
          <w:tcPr>
            <w:tcW w:w="500" w:type="pct"/>
            <w:shd w:val="clear" w:color="auto" w:fill="auto"/>
            <w:vAlign w:val="center"/>
          </w:tcPr>
          <w:p w14:paraId="3A98660A">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jc w:val="center"/>
              <w:textAlignment w:val="center"/>
              <w:rPr>
                <w:rFonts w:hint="eastAsia" w:ascii="仿宋" w:hAnsi="仿宋" w:eastAsia="仿宋" w:cs="仿宋"/>
                <w:kern w:val="0"/>
                <w:sz w:val="21"/>
                <w:szCs w:val="21"/>
                <w:lang w:val="en-US" w:eastAsia="zh-CN" w:bidi="ar-SA"/>
              </w:rPr>
            </w:pPr>
            <w:r>
              <w:rPr>
                <w:rFonts w:hint="eastAsia" w:ascii="仿宋" w:hAnsi="仿宋" w:eastAsia="仿宋" w:cs="仿宋"/>
                <w:i w:val="0"/>
                <w:iCs w:val="0"/>
                <w:color w:val="000000"/>
                <w:kern w:val="0"/>
                <w:sz w:val="21"/>
                <w:szCs w:val="21"/>
                <w:u w:val="none"/>
                <w:lang w:val="en-US" w:eastAsia="zh-CN" w:bidi="ar"/>
              </w:rPr>
              <w:t>资源库平台服务、技术要求</w:t>
            </w:r>
          </w:p>
        </w:tc>
        <w:tc>
          <w:tcPr>
            <w:tcW w:w="3757" w:type="pct"/>
            <w:shd w:val="clear" w:color="auto" w:fill="auto"/>
            <w:tcFitText/>
            <w:vAlign w:val="center"/>
          </w:tcPr>
          <w:p w14:paraId="1AB7FE94">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bCs w:val="0"/>
                <w:color w:val="auto"/>
                <w:sz w:val="21"/>
                <w:szCs w:val="21"/>
                <w:u w:val="none"/>
                <w:lang w:val="en-US" w:eastAsia="zh-CN"/>
              </w:rPr>
              <w:t xml:space="preserve">   </w:t>
            </w:r>
            <w:r>
              <w:rPr>
                <w:rFonts w:hint="eastAsia" w:ascii="仿宋" w:hAnsi="仿宋" w:eastAsia="仿宋" w:cs="仿宋"/>
                <w:b w:val="0"/>
                <w:bCs/>
                <w:color w:val="auto"/>
                <w:sz w:val="21"/>
                <w:szCs w:val="21"/>
                <w:u w:val="none"/>
                <w:lang w:val="en-US" w:eastAsia="zh-CN"/>
              </w:rPr>
              <w:t xml:space="preserve"> 资源库运行平台建设水平必须符合国家职业教育智慧教育平台对接标准，并可以实现与国家职业教育智慧教育平台对接；并且需作为“国家职业教育专业教学资源库”项目支持平台。具备资源库建设、管理、教学、学习、分析、教研等功能，能够接入“国家职业教育智慧教育平台”并纳入运行监测，服务授权不低于三年。</w:t>
            </w:r>
          </w:p>
          <w:p w14:paraId="55B6C003">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bCs w:val="0"/>
                <w:color w:val="auto"/>
                <w:sz w:val="21"/>
                <w:szCs w:val="21"/>
                <w:u w:val="none"/>
                <w:lang w:val="en-US" w:eastAsia="zh-CN"/>
              </w:rPr>
            </w:pPr>
            <w:r>
              <w:rPr>
                <w:rFonts w:hint="eastAsia" w:ascii="仿宋" w:hAnsi="仿宋" w:eastAsia="仿宋" w:cs="仿宋"/>
                <w:b/>
                <w:bCs w:val="0"/>
                <w:color w:val="auto"/>
                <w:sz w:val="21"/>
                <w:szCs w:val="21"/>
                <w:u w:val="none"/>
                <w:lang w:val="en-US" w:eastAsia="zh-CN"/>
              </w:rPr>
              <w:t>1.资源库前台</w:t>
            </w:r>
          </w:p>
          <w:p w14:paraId="489AA055">
            <w:pPr>
              <w:pStyle w:val="5"/>
              <w:keepNext/>
              <w:keepLines/>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200"/>
              <w:jc w:val="left"/>
              <w:textAlignment w:val="auto"/>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（1）资源库门户支持对学校BANNER、LOGO后台自定义编辑。</w:t>
            </w:r>
          </w:p>
          <w:p w14:paraId="3138D16F">
            <w:pPr>
              <w:pStyle w:val="5"/>
              <w:keepNext/>
              <w:keepLines/>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200"/>
              <w:jc w:val="left"/>
              <w:textAlignment w:val="auto"/>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（2）资源库首页宣传轮播图展示。</w:t>
            </w:r>
          </w:p>
          <w:p w14:paraId="7E50BA21">
            <w:pPr>
              <w:pStyle w:val="5"/>
              <w:keepNext/>
              <w:keepLines/>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200"/>
              <w:jc w:val="left"/>
              <w:textAlignment w:val="auto"/>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（3）支持资源库基本信息展示，包括专业介绍，联建单位信息。</w:t>
            </w:r>
          </w:p>
          <w:p w14:paraId="24556537">
            <w:pPr>
              <w:pStyle w:val="5"/>
              <w:keepNext/>
              <w:keepLines/>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200"/>
              <w:jc w:val="left"/>
              <w:textAlignment w:val="auto"/>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（4）支持资源库基本统计信息，包括用户数，课程数，开课数，素材数等。</w:t>
            </w:r>
          </w:p>
          <w:p w14:paraId="47FE0D7B">
            <w:pPr>
              <w:pStyle w:val="5"/>
              <w:keepNext/>
              <w:keepLines/>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200"/>
              <w:jc w:val="left"/>
              <w:textAlignment w:val="auto"/>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（5）支持所有发布课程和上传素材的展示。</w:t>
            </w:r>
          </w:p>
          <w:p w14:paraId="2EB94CD6">
            <w:pPr>
              <w:pStyle w:val="5"/>
              <w:keepNext/>
              <w:keepLines/>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200"/>
              <w:jc w:val="left"/>
              <w:textAlignment w:val="auto"/>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（6）支持资源库项目知识技能图谱展示。</w:t>
            </w:r>
          </w:p>
          <w:p w14:paraId="3988A7AF">
            <w:pPr>
              <w:pStyle w:val="5"/>
              <w:keepNext/>
              <w:keepLines/>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200"/>
              <w:jc w:val="left"/>
              <w:textAlignment w:val="auto"/>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（7）支持与独立定制的本资源库门户子站进行对接。</w:t>
            </w:r>
          </w:p>
          <w:p w14:paraId="4B698C52">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bCs w:val="0"/>
                <w:color w:val="auto"/>
                <w:sz w:val="21"/>
                <w:szCs w:val="21"/>
                <w:u w:val="none"/>
                <w:lang w:val="en-US" w:eastAsia="zh-CN"/>
              </w:rPr>
            </w:pPr>
            <w:r>
              <w:rPr>
                <w:rFonts w:hint="eastAsia" w:ascii="仿宋" w:hAnsi="仿宋" w:eastAsia="仿宋" w:cs="仿宋"/>
                <w:b/>
                <w:bCs w:val="0"/>
                <w:color w:val="auto"/>
                <w:sz w:val="21"/>
                <w:szCs w:val="21"/>
                <w:u w:val="none"/>
                <w:lang w:val="en-US" w:eastAsia="zh-CN"/>
              </w:rPr>
              <w:t>2.资源库管理空间</w:t>
            </w:r>
          </w:p>
          <w:p w14:paraId="0CFB757A">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（1）设定资源库的建设目标，学校可自主按照核心专业及多个服务专业的组织形式开展资源库建设。</w:t>
            </w:r>
          </w:p>
          <w:p w14:paraId="7292FB21">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（2）支持本资源库负责人设置专业基础信息，包括资源库LOGO以及门户网站模板（选择门户建设方式，包括自行独立定制或选择示范模板）等。</w:t>
            </w:r>
          </w:p>
          <w:p w14:paraId="412B1F71">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★（3）支持本资源库项目负责人对平台成员进行管理，设置专业负责人、课程负责人和课程审核人，支持设置人员权限，并有权限管理本资源库所有成员的账号。</w:t>
            </w:r>
          </w:p>
          <w:p w14:paraId="10CB5E41">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★（4）支持设置资源库的人才培养方案和专业建设标准，发挥资源库内协同育人的建设目标。</w:t>
            </w:r>
          </w:p>
          <w:p w14:paraId="3FFEF382">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5）支持规划和建设课程体系，支持从课程类型、课程层次、课程对应岗位及相关职业证书等多个维度进行课程分类；支持通过项目知识技能图谱的方式，构建课程与课程之间的联系，体现“结构化课程”的建设理念。</w:t>
            </w:r>
          </w:p>
          <w:p w14:paraId="225A3947">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6）支持按类型将课程划分为学历课程和培训课程，在实现资源共建共享的基础上丰富资源库课程内容。学历课程支持按公共基础课、专业基础课、专业核心课、专业拓展课、实验实训课构建资源库的课程层次；培训课程支持按教师培训、职业培训、竞赛培训构建资源库的课程类型。</w:t>
            </w:r>
          </w:p>
          <w:p w14:paraId="2BA1B616">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（7）支持资源库所建课程对应多专业，并与各专业职业面向就业岗位相关联，实现课程与国家职业标准体系对接，提高学生所学技能与岗位需求的匹配度。</w:t>
            </w:r>
          </w:p>
          <w:p w14:paraId="4E00912D">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★（8）支持资源库课程团队建设，并分别指定每门课程的课程建设人员和审核人员，保证课程内容质量，实现审核流程可记录、可追溯。</w:t>
            </w:r>
          </w:p>
          <w:p w14:paraId="6AAC83A8">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（9）支持展示资源库下所有的知识技能图谱、素材、题目和课程体系，汇聚成资源库资源空间，便于管理员整体把握资源库内容结构和建设进度、成果。</w:t>
            </w:r>
          </w:p>
          <w:p w14:paraId="3087ECBC">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bCs w:val="0"/>
                <w:color w:val="auto"/>
                <w:sz w:val="21"/>
                <w:szCs w:val="21"/>
                <w:u w:val="none"/>
                <w:lang w:val="en-US" w:eastAsia="zh-CN"/>
              </w:rPr>
            </w:pPr>
            <w:r>
              <w:rPr>
                <w:rFonts w:hint="eastAsia" w:ascii="仿宋" w:hAnsi="仿宋" w:eastAsia="仿宋" w:cs="仿宋"/>
                <w:b/>
                <w:bCs w:val="0"/>
                <w:color w:val="auto"/>
                <w:sz w:val="21"/>
                <w:szCs w:val="21"/>
                <w:u w:val="none"/>
                <w:lang w:val="en-US" w:eastAsia="zh-CN"/>
              </w:rPr>
              <w:t>3.课程建设系统</w:t>
            </w:r>
          </w:p>
          <w:p w14:paraId="7BCA7299">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（1）平台通过知识技能图谱的形式构建课程，支持课程负责人新建知识技能点，并在章节结构下自主上传课程资源与内容。</w:t>
            </w:r>
          </w:p>
          <w:p w14:paraId="79F5DFBC">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（2）如课程负责人已经参与了其他相关国家级/省级/校级资源库的建设，在原有资源库负责人赋权的前提下，该课程负责人可从原有资源库中导入其个人所建的资源和课程，避免资源重复建设。</w:t>
            </w:r>
          </w:p>
          <w:p w14:paraId="5748A186">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（3）课程负责人可将其在与本资源库平台关联的SPOC平台或MOOC平台中原创的课程资源，导入本资源库中，完成课程设计。</w:t>
            </w:r>
          </w:p>
          <w:p w14:paraId="57B78F3F">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（4）支持同一门课程开设多个使用周期，并支持对不同周期的课程进行内容优化提升，实现课程资源建设的全过程留存；同时，支持不同课程周期内的资源复制，实现资源共建共享。</w:t>
            </w:r>
          </w:p>
          <w:p w14:paraId="65E2E27D">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（5）支持将题库、素材与知识技能图谱对接。</w:t>
            </w:r>
          </w:p>
          <w:p w14:paraId="4C73700A">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（6）支持课程负责人创建课程团队，进行教学内容建设与管理。</w:t>
            </w:r>
          </w:p>
          <w:p w14:paraId="644F7CDF">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（7）支持教师对不同开课周期设置不同的作业与考试，且支持对不同考试设置不同出卷规则，实现同一课程针对不同对象的差异化教学。</w:t>
            </w:r>
          </w:p>
          <w:p w14:paraId="13697C23">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（8）支持课程负责人创建课程公告，设置课程基本信息、考核标准、参考教材，上传课程封面、课程简介视频等，支持教师根据课程教学需求自定义设置讨论区，完善课程介绍。</w:t>
            </w:r>
          </w:p>
          <w:p w14:paraId="1CA18165">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（9）支持教师在开课周期内设置考试开始时间、结束时间、考试时长、答案公布时间等。</w:t>
            </w:r>
          </w:p>
          <w:p w14:paraId="2A25E357">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（10）支持教师在开课周期内设置不同的作业类型，并可个性化设计作业结束时间，支持作业添加到课程内容指定的位置。</w:t>
            </w:r>
          </w:p>
          <w:p w14:paraId="0D09202E">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（11）支持课程负责人统计学生学习情况，包括作业统计，考试统计，随堂测验统计，视频资源统计，其他资源统计，讨论统计。</w:t>
            </w:r>
          </w:p>
          <w:p w14:paraId="60366568">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（12）支持一键开启SPOC教学，在资源库的建课中心，可以开启本课程的SPOC教学。即用同步或者新开的开课方式，把当前开课的课程设计、题库等内容同步到SPOC空间里。</w:t>
            </w:r>
          </w:p>
          <w:p w14:paraId="1E9F9D6B">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bCs w:val="0"/>
                <w:color w:val="auto"/>
                <w:sz w:val="21"/>
                <w:szCs w:val="21"/>
                <w:u w:val="none"/>
                <w:lang w:val="en-US" w:eastAsia="zh-CN"/>
              </w:rPr>
            </w:pPr>
            <w:r>
              <w:rPr>
                <w:rFonts w:hint="eastAsia" w:ascii="仿宋" w:hAnsi="仿宋" w:eastAsia="仿宋" w:cs="仿宋"/>
                <w:b/>
                <w:bCs w:val="0"/>
                <w:color w:val="auto"/>
                <w:sz w:val="21"/>
                <w:szCs w:val="21"/>
                <w:u w:val="none"/>
                <w:lang w:val="en-US" w:eastAsia="zh-CN"/>
              </w:rPr>
              <w:t>4.课程审核系统</w:t>
            </w:r>
          </w:p>
          <w:p w14:paraId="7F060D03">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（1）支持课程建设完成后进行课程预览，并提交课程审核人进行内容审核。</w:t>
            </w:r>
          </w:p>
          <w:p w14:paraId="5D6C814D">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2）支持课程审核人对素材、题目等资源进行审核，支持批量审核与下架；素材审核包括素材名称、上传者、上传时间、媒体类型、应用类型、所属平台来源等属性；题库审核包括题干、题型、难易程度、上传者、上传时间等属性。</w:t>
            </w:r>
          </w:p>
          <w:p w14:paraId="4B7E9D36">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（3）支持课程审核人对课程属性进行审核，包括课程名称、类型、所属专业、创建时间、课程层次，课程开课周期等属性。</w:t>
            </w:r>
          </w:p>
          <w:p w14:paraId="10905A1F">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（4）支持课程审核人对课程建设内容进行审核，填写审核意见，体现资源库的“一体化设计”要求，提高资源库建设质量。</w:t>
            </w:r>
          </w:p>
          <w:p w14:paraId="44270EE7">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bCs w:val="0"/>
                <w:color w:val="auto"/>
                <w:sz w:val="21"/>
                <w:szCs w:val="21"/>
                <w:u w:val="none"/>
                <w:lang w:val="en-US" w:eastAsia="zh-CN"/>
              </w:rPr>
            </w:pPr>
            <w:r>
              <w:rPr>
                <w:rFonts w:hint="eastAsia" w:ascii="仿宋" w:hAnsi="仿宋" w:eastAsia="仿宋" w:cs="仿宋"/>
                <w:b/>
                <w:bCs w:val="0"/>
                <w:color w:val="auto"/>
                <w:sz w:val="21"/>
                <w:szCs w:val="21"/>
                <w:u w:val="none"/>
                <w:lang w:val="en-US" w:eastAsia="zh-CN"/>
              </w:rPr>
              <w:t>5.资源建设系统</w:t>
            </w:r>
          </w:p>
          <w:p w14:paraId="14DCCDBD">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（1）支持按课程构建资源库的课程知识树和课程技能图谱。</w:t>
            </w:r>
          </w:p>
          <w:p w14:paraId="1DD8CD4E">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（2）支持资源库项目团队成员加入项目对应智慧教研室，实现线上虚拟教研。</w:t>
            </w:r>
          </w:p>
          <w:p w14:paraId="7B83BB68">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（3）支持汇聚资源库的素材、题库及课程建设内容，并支持智能搜索和推荐。</w:t>
            </w:r>
          </w:p>
          <w:p w14:paraId="1CA32A36">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★（4）支持素材进行标签管理，支持将素材设置媒体类型、适用对象、素材语言、素材来源等，增强资源检索的便捷性。</w:t>
            </w:r>
          </w:p>
          <w:p w14:paraId="747C3C2D">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（5）支持用户收藏资源库内的课程、素材等内容，提高资源使用效率。</w:t>
            </w:r>
          </w:p>
          <w:p w14:paraId="70821D68">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（6）文档格式，支持doc、docx、xls、xlsx、pdf、txt、ppt、pptx等主流格式，上传后自动转码，无需另行安装插件可直接在线阅读。</w:t>
            </w:r>
          </w:p>
          <w:p w14:paraId="7010A559">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(7）图片支持jpg、jpeg、png、bmp、gif等格式。</w:t>
            </w:r>
          </w:p>
          <w:p w14:paraId="7E1741FE">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（8）压缩包支持上传7z、rar、tar、zip等格式。</w:t>
            </w:r>
          </w:p>
          <w:p w14:paraId="05D6931D">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（9）支持包括各种文档、音频、视频、动画、图片的在线预览和播放。</w:t>
            </w:r>
          </w:p>
          <w:p w14:paraId="184B49A6">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bCs w:val="0"/>
                <w:color w:val="auto"/>
                <w:sz w:val="21"/>
                <w:szCs w:val="21"/>
                <w:u w:val="none"/>
                <w:lang w:val="en-US" w:eastAsia="zh-CN"/>
              </w:rPr>
            </w:pPr>
            <w:r>
              <w:rPr>
                <w:rFonts w:hint="eastAsia" w:ascii="仿宋" w:hAnsi="仿宋" w:eastAsia="仿宋" w:cs="仿宋"/>
                <w:b/>
                <w:bCs w:val="0"/>
                <w:color w:val="auto"/>
                <w:sz w:val="21"/>
                <w:szCs w:val="21"/>
                <w:u w:val="none"/>
                <w:lang w:val="en-US" w:eastAsia="zh-CN"/>
              </w:rPr>
              <w:t>6.知识技能图谱管理系统</w:t>
            </w:r>
          </w:p>
          <w:p w14:paraId="1676F3EC">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（1）门户支持项目图谱和课程图谱的展示</w:t>
            </w:r>
          </w:p>
          <w:p w14:paraId="4699A2C5">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★①　在资源库门户显示资源库项目的专业技能图谱，在课程页面显示该课程的图谱，并支持查看图谱关系结构；</w:t>
            </w:r>
          </w:p>
          <w:p w14:paraId="4C17C3BB">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②　支持点击项目图谱内课程节点，并打开相应课程图谱；</w:t>
            </w:r>
          </w:p>
          <w:p w14:paraId="01E30A9C">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③　支持在项目图谱、课程图谱内点击查看资源；</w:t>
            </w:r>
          </w:p>
          <w:p w14:paraId="6F357370">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④　支持项目图谱和课程图谱搜索节点名称，搜索查找该节点的图谱路径详情；</w:t>
            </w:r>
          </w:p>
          <w:p w14:paraId="65083E50">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⑤　课程图谱支持按开课周期筛选，每期开课显示每期开课不同课程图谱。</w:t>
            </w:r>
          </w:p>
          <w:p w14:paraId="3BC26E32">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（2）资源库项目图谱管理</w:t>
            </w:r>
          </w:p>
          <w:p w14:paraId="4BDCB784">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①　支持由资源库的项目知识技能树自动生成项目知识技能图谱，同步节点之间的包含关系。项目管理员管理项目图谱内各个课程之间的关系，支持查看、编辑图谱节点关系；</w:t>
            </w:r>
          </w:p>
          <w:p w14:paraId="1D200B8F">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②　支持对已创建的项目图谱进行查看、缩放、导出等操作，并支持快速展开图谱层级节点，搜索查找该节点的图谱路径详情；</w:t>
            </w:r>
          </w:p>
          <w:p w14:paraId="4630A642">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③　可添加图谱内节点之间的先后、并列两种关系，添加关系快速搜索；</w:t>
            </w:r>
          </w:p>
          <w:p w14:paraId="3B315362">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④　支持查看当前节点下的全部素材、题库内容、类型、上传人等信息；</w:t>
            </w:r>
          </w:p>
          <w:p w14:paraId="184BD2B5">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⑤　支持知识点答题情况查询，包括知识点下全部知识点学习情况，答题正确率，答题次数，具体答题学生；</w:t>
            </w:r>
          </w:p>
          <w:p w14:paraId="09593865">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⑥　支持按学生搜索，查看某学生知识点学习情况。</w:t>
            </w:r>
          </w:p>
          <w:p w14:paraId="287FD2FB">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（3）课程图谱管理</w:t>
            </w:r>
          </w:p>
          <w:p w14:paraId="571A92DE">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①　课程负责人负责创建和管理课程知识技能图谱，可对课程图谱结构进行查看、编辑、导出等操作；</w:t>
            </w:r>
          </w:p>
          <w:p w14:paraId="15765749">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②　支持对已创建的项目图谱进行查看、缩放、线条、连接点、刷新的操作，并支持快速展开图谱层级节点，搜索查找该节点的图谱路径详情；</w:t>
            </w:r>
          </w:p>
          <w:p w14:paraId="22A41C02">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③　支持新增、删除、编辑课程图谱节点，包括节点上传相应资源，填写属性，知识点目标描述，编辑技能点；</w:t>
            </w:r>
          </w:p>
          <w:p w14:paraId="4F6C3FB5">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④　可添加图谱内节点之间的先后、并列两种关系；</w:t>
            </w:r>
          </w:p>
          <w:p w14:paraId="7FECEAF6">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⑤　支持查看资源、查看题目，可以查看当前节点下的全部素材、题库内容、类型、上传人等信息；</w:t>
            </w:r>
          </w:p>
          <w:p w14:paraId="38749D52">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⑥　支持知识点答题情况查询，包括知识点下全部知识点学习情况，答题正确率，答题次数，具体答题学生；</w:t>
            </w:r>
          </w:p>
          <w:p w14:paraId="31C2EB27">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⑦　支持按学生搜索，查看当前某学生全部知识点学习情况；</w:t>
            </w:r>
          </w:p>
          <w:p w14:paraId="1BF39A9B">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⑧　支持添加概述、引言、案例、知识点等节点标签。</w:t>
            </w:r>
          </w:p>
          <w:p w14:paraId="2C298D13">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（4）知识技能图谱学习</w:t>
            </w:r>
          </w:p>
          <w:p w14:paraId="0F40F094">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①　支持按开课周期选择需要学习的课程图谱；</w:t>
            </w:r>
          </w:p>
          <w:p w14:paraId="46EDFC7A">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②　支持根据图谱节点点击查看资源、学习节点下的课件资源；</w:t>
            </w:r>
          </w:p>
          <w:p w14:paraId="18849658">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③　可查看学习图谱内作业、考试、测验内容，显示当前操作人的作业考试已完成、未完成、已截止、重做等 状态；</w:t>
            </w:r>
          </w:p>
          <w:p w14:paraId="265511F3">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④　搜索节点名称，可显示图谱路径详情，快速查找。</w:t>
            </w:r>
          </w:p>
          <w:p w14:paraId="6A0FE5FE">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bCs w:val="0"/>
                <w:color w:val="auto"/>
                <w:sz w:val="21"/>
                <w:szCs w:val="21"/>
                <w:u w:val="none"/>
                <w:lang w:val="en-US" w:eastAsia="zh-CN"/>
              </w:rPr>
            </w:pPr>
            <w:r>
              <w:rPr>
                <w:rFonts w:hint="eastAsia" w:ascii="仿宋" w:hAnsi="仿宋" w:eastAsia="仿宋" w:cs="仿宋"/>
                <w:b/>
                <w:bCs w:val="0"/>
                <w:color w:val="auto"/>
                <w:sz w:val="21"/>
                <w:szCs w:val="21"/>
                <w:u w:val="none"/>
                <w:lang w:val="en-US" w:eastAsia="zh-CN"/>
              </w:rPr>
              <w:t>7.学习中心</w:t>
            </w:r>
          </w:p>
          <w:p w14:paraId="12C9729E">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（1）我的课程，已经添加的课程展示，可以对在修课程和已修课程进行管理、学习。</w:t>
            </w:r>
          </w:p>
          <w:p w14:paraId="70FC42E9">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（2）待答作业，学生可以对自己的作业进行作答、查看。</w:t>
            </w:r>
          </w:p>
          <w:p w14:paraId="55051D20">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（3）待答考试，学生可以对自己的考试进行作答、查看。</w:t>
            </w:r>
          </w:p>
          <w:p w14:paraId="4BEA00FB">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（4）消息通知，查询消息通知详情、标记为全部已读。</w:t>
            </w:r>
          </w:p>
          <w:p w14:paraId="435F2BD2">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（5）我的收藏，对收藏的课程和素材资源进行查看、删除的管理。</w:t>
            </w:r>
          </w:p>
          <w:p w14:paraId="2B34A8A6">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bCs w:val="0"/>
                <w:color w:val="auto"/>
                <w:sz w:val="21"/>
                <w:szCs w:val="21"/>
                <w:u w:val="none"/>
                <w:lang w:val="en-US" w:eastAsia="zh-CN"/>
              </w:rPr>
            </w:pPr>
            <w:r>
              <w:rPr>
                <w:rFonts w:hint="eastAsia" w:ascii="仿宋" w:hAnsi="仿宋" w:eastAsia="仿宋" w:cs="仿宋"/>
                <w:b/>
                <w:bCs w:val="0"/>
                <w:color w:val="auto"/>
                <w:sz w:val="21"/>
                <w:szCs w:val="21"/>
                <w:u w:val="none"/>
                <w:lang w:val="en-US" w:eastAsia="zh-CN"/>
              </w:rPr>
              <w:t>8.虚拟智慧教研室</w:t>
            </w:r>
          </w:p>
          <w:p w14:paraId="0B8515CC">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（1）资源库教研室管理员后台管理</w:t>
            </w:r>
          </w:p>
          <w:p w14:paraId="5664302E">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①　完善教研室信息，编辑修改教研室信息；</w:t>
            </w:r>
          </w:p>
          <w:p w14:paraId="64489AC6">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②　加入管理，设置加入方式、分享二维码生成、申请加入审核；</w:t>
            </w:r>
          </w:p>
          <w:p w14:paraId="5E20A1FA">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③　成员管理，批量用户权设置、成员设置管理权限、移除用户；</w:t>
            </w:r>
          </w:p>
          <w:p w14:paraId="141FFB8C">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④　通知公告，发布教研室通知公告，增、删、改、查、发布功能；</w:t>
            </w:r>
          </w:p>
          <w:p w14:paraId="1F3774CC">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⑤　群发通知，新增、群发、预览、编辑、删除功能；</w:t>
            </w:r>
          </w:p>
          <w:p w14:paraId="303F8594">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⑥　资源管理，资源审核、下载、预览、删除、查询功能；</w:t>
            </w:r>
          </w:p>
          <w:p w14:paraId="6FA756D9">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⑦　听评课管理，每天可以创建并发布听评课管理活动、设置打分区间一次，指定听评课专家不超过5人，查看评课人完成情况；</w:t>
            </w:r>
          </w:p>
          <w:p w14:paraId="23938FAD">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⑧　教研任务，支持周任务排期表、月任务排期表；同时进行3个任务的创建并发布通知、附件、资源等类型任务；任务查看详情管理；</w:t>
            </w:r>
          </w:p>
          <w:p w14:paraId="384A911D">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⑨　教研室动态管理，对教研室发帖审核设置，审核、删除、搜索等操作；</w:t>
            </w:r>
          </w:p>
          <w:p w14:paraId="19CD6EFA">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⑩　评论管理，对教研室所有的已发布、未发布的评论回复数据进行审核删除等操作。</w:t>
            </w:r>
          </w:p>
          <w:p w14:paraId="6D8C9184">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（2）教研室普通成员</w:t>
            </w:r>
          </w:p>
          <w:p w14:paraId="79727974">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①　我的教研室，申请退出、查看详情、查询功能；</w:t>
            </w:r>
          </w:p>
          <w:p w14:paraId="6D2975F5">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②　资源上传，新增资源，提交审核、编辑、删除、查询资源；</w:t>
            </w:r>
          </w:p>
          <w:p w14:paraId="3A55204F">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③　听评课管理，授课老师根据需求上传评课物料资源；听评课专家根据活动设定的评分规则，查阅授课老师上传资源并对资源进行打分，填写报告，提交报告；支持听评课专家查看授课老师上传课程资源进度；</w:t>
            </w:r>
          </w:p>
          <w:p w14:paraId="43A8D1F0">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④　任务管理，教研室成员可根据周历任务排期表、月历任务排期表查看需要自己完成的任务，可根据任务详情完成任务提交；</w:t>
            </w:r>
          </w:p>
          <w:p w14:paraId="78C8CCC5">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⑤　我的动态管理，展示该教研室成员发布的全部动态信息，可按发布状态筛选、支持模糊搜索、删除等操作；</w:t>
            </w:r>
          </w:p>
          <w:p w14:paraId="5B8B07E9">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⑥　评论回复管理，展示该教研室成员参与的全部评论可按状态筛选、支持模糊搜索、删除等操作；</w:t>
            </w:r>
          </w:p>
          <w:p w14:paraId="6CE5E700">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⑦　系统消息，查看消息详情、全部标为已读、删除、查询功能；</w:t>
            </w:r>
          </w:p>
          <w:p w14:paraId="06EA0A89">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⑧　个人信息，完善个人信息，可与国家职业教育智慧教育平台智慧教研室频道进行账号对接。</w:t>
            </w:r>
          </w:p>
          <w:p w14:paraId="693F7BF5">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bCs w:val="0"/>
                <w:color w:val="auto"/>
                <w:sz w:val="21"/>
                <w:szCs w:val="21"/>
                <w:u w:val="none"/>
                <w:lang w:val="en-US" w:eastAsia="zh-CN"/>
              </w:rPr>
            </w:pPr>
            <w:r>
              <w:rPr>
                <w:rFonts w:hint="eastAsia" w:ascii="仿宋" w:hAnsi="仿宋" w:eastAsia="仿宋" w:cs="仿宋"/>
                <w:b/>
                <w:bCs w:val="0"/>
                <w:color w:val="auto"/>
                <w:sz w:val="21"/>
                <w:szCs w:val="21"/>
                <w:u w:val="none"/>
                <w:lang w:val="en-US" w:eastAsia="zh-CN"/>
              </w:rPr>
              <w:t>9.AI大模型</w:t>
            </w:r>
          </w:p>
          <w:p w14:paraId="1BA40C31">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（1）基于Deepseek等通用大模型底层核心能力，提供具备职教特色的智能问答助手；问答支持在线编辑公式。</w:t>
            </w:r>
          </w:p>
          <w:p w14:paraId="0CEBB158">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val="0"/>
                <w:bCs/>
                <w:color w:val="auto"/>
                <w:sz w:val="21"/>
                <w:szCs w:val="21"/>
                <w:u w:val="none"/>
                <w:lang w:val="en-US" w:eastAsia="zh-CN"/>
              </w:rPr>
            </w:pPr>
            <w:r>
              <w:rPr>
                <w:rFonts w:hint="eastAsia" w:ascii="仿宋" w:hAnsi="仿宋" w:eastAsia="仿宋" w:cs="仿宋"/>
                <w:b w:val="0"/>
                <w:bCs/>
                <w:color w:val="auto"/>
                <w:sz w:val="21"/>
                <w:szCs w:val="21"/>
                <w:u w:val="none"/>
                <w:lang w:val="en-US" w:eastAsia="zh-CN"/>
              </w:rPr>
              <w:t xml:space="preserve">    （2）可提供全面覆盖19个职业教育专业大类的专业大类智能体，以及若干相关专业智能体和课程智能体，提供分专业、分课程的智能问答功能，通过情境建模及知识检索整合，输出专业针对性强的答案，还可反馈答案索引资源，满足用户的多元化专业知识需求。</w:t>
            </w:r>
          </w:p>
          <w:p w14:paraId="24D29C33">
            <w:pPr>
              <w:pStyle w:val="5"/>
              <w:pageBreakBefore w:val="0"/>
              <w:numPr>
                <w:ilvl w:val="0"/>
                <w:numId w:val="13"/>
              </w:numPr>
              <w:kinsoku/>
              <w:wordWrap/>
              <w:overflowPunct/>
              <w:topLinePunct w:val="0"/>
              <w:autoSpaceDE/>
              <w:autoSpaceDN/>
              <w:bidi w:val="0"/>
              <w:adjustRightInd/>
              <w:snapToGrid/>
              <w:spacing w:before="0" w:beforeLines="0" w:after="0" w:afterLines="0" w:line="240" w:lineRule="auto"/>
              <w:ind w:left="0" w:leftChars="0" w:hanging="425" w:firstLineChars="0"/>
              <w:jc w:val="left"/>
              <w:outlineLvl w:val="3"/>
              <w:rPr>
                <w:rFonts w:hint="eastAsia" w:ascii="仿宋" w:hAnsi="仿宋" w:eastAsia="仿宋" w:cs="仿宋"/>
                <w:b/>
                <w:bCs w:val="0"/>
                <w:color w:val="auto"/>
                <w:sz w:val="21"/>
                <w:szCs w:val="21"/>
                <w:u w:val="none"/>
                <w:lang w:val="en-US" w:eastAsia="zh-CN"/>
              </w:rPr>
            </w:pPr>
            <w:r>
              <w:rPr>
                <w:rFonts w:hint="eastAsia" w:ascii="仿宋" w:hAnsi="仿宋" w:eastAsia="仿宋" w:cs="仿宋"/>
                <w:b/>
                <w:bCs w:val="0"/>
                <w:color w:val="auto"/>
                <w:sz w:val="21"/>
                <w:szCs w:val="21"/>
                <w:u w:val="none"/>
                <w:lang w:val="en-US" w:eastAsia="zh-CN"/>
              </w:rPr>
              <w:t>10.数据分析中心</w:t>
            </w:r>
          </w:p>
          <w:p w14:paraId="3E1A689E">
            <w:pPr>
              <w:pageBreakBefore w:val="0"/>
              <w:numPr>
                <w:ilvl w:val="0"/>
                <w:numId w:val="14"/>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b w:val="0"/>
                <w:bCs/>
                <w:sz w:val="21"/>
                <w:szCs w:val="21"/>
                <w:lang w:eastAsia="zh-CN"/>
              </w:rPr>
            </w:pPr>
            <w:r>
              <w:rPr>
                <w:rFonts w:hint="eastAsia" w:ascii="仿宋" w:hAnsi="仿宋" w:eastAsia="仿宋" w:cs="仿宋"/>
                <w:b w:val="0"/>
                <w:bCs/>
                <w:sz w:val="21"/>
                <w:szCs w:val="21"/>
                <w:lang w:val="en-US" w:eastAsia="zh-CN"/>
              </w:rPr>
              <w:t xml:space="preserve">    （1）</w:t>
            </w:r>
            <w:r>
              <w:rPr>
                <w:rFonts w:hint="eastAsia" w:ascii="仿宋" w:hAnsi="仿宋" w:eastAsia="仿宋" w:cs="仿宋"/>
                <w:b w:val="0"/>
                <w:bCs/>
                <w:sz w:val="21"/>
                <w:szCs w:val="21"/>
                <w:lang w:eastAsia="zh-CN"/>
              </w:rPr>
              <w:t>资源库数据分析</w:t>
            </w:r>
          </w:p>
          <w:p w14:paraId="2121FC92">
            <w:pPr>
              <w:pageBreakBefore w:val="0"/>
              <w:numPr>
                <w:ilvl w:val="0"/>
                <w:numId w:val="14"/>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b w:val="0"/>
                <w:bCs/>
                <w:sz w:val="21"/>
                <w:szCs w:val="21"/>
                <w:lang w:eastAsia="zh-CN"/>
              </w:rPr>
            </w:pPr>
            <w:r>
              <w:rPr>
                <w:rFonts w:hint="eastAsia" w:ascii="仿宋" w:hAnsi="仿宋" w:eastAsia="仿宋" w:cs="仿宋"/>
                <w:b w:val="0"/>
                <w:bCs/>
                <w:sz w:val="21"/>
                <w:szCs w:val="21"/>
                <w:lang w:val="en-US" w:eastAsia="zh-CN"/>
              </w:rPr>
              <w:t xml:space="preserve">    </w:t>
            </w:r>
            <w:r>
              <w:rPr>
                <w:rFonts w:hint="eastAsia" w:ascii="仿宋" w:hAnsi="仿宋" w:eastAsia="仿宋" w:cs="仿宋"/>
                <w:b w:val="0"/>
                <w:bCs/>
                <w:sz w:val="21"/>
                <w:szCs w:val="21"/>
                <w:lang w:eastAsia="zh-CN"/>
              </w:rPr>
              <w:t>①　支持统计分析资源库的总用户数、素材数、题库数、知识图谱总节点数、课程总数、资源库课程总期数、标准化课程总数等；</w:t>
            </w:r>
          </w:p>
          <w:p w14:paraId="2B29AAA8">
            <w:pPr>
              <w:pageBreakBefore w:val="0"/>
              <w:numPr>
                <w:ilvl w:val="0"/>
                <w:numId w:val="14"/>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b w:val="0"/>
                <w:bCs/>
                <w:sz w:val="21"/>
                <w:szCs w:val="21"/>
                <w:lang w:eastAsia="zh-CN"/>
              </w:rPr>
            </w:pPr>
            <w:r>
              <w:rPr>
                <w:rFonts w:hint="eastAsia" w:ascii="仿宋" w:hAnsi="仿宋" w:eastAsia="仿宋" w:cs="仿宋"/>
                <w:b w:val="0"/>
                <w:bCs/>
                <w:sz w:val="21"/>
                <w:szCs w:val="21"/>
                <w:lang w:val="en-US" w:eastAsia="zh-CN"/>
              </w:rPr>
              <w:t xml:space="preserve">    </w:t>
            </w:r>
            <w:r>
              <w:rPr>
                <w:rFonts w:hint="eastAsia" w:ascii="仿宋" w:hAnsi="仿宋" w:eastAsia="仿宋" w:cs="仿宋"/>
                <w:b w:val="0"/>
                <w:bCs/>
                <w:sz w:val="21"/>
                <w:szCs w:val="21"/>
                <w:lang w:eastAsia="zh-CN"/>
              </w:rPr>
              <w:t>②　支持按素材来源、适应对象、媒体类型、应用类型、被课程引用的资源占比、被课程引用的资源类型占比，以及按课程分布、按建设单位统计等维度，统计分析资源库的资源建设数据；</w:t>
            </w:r>
          </w:p>
          <w:p w14:paraId="0DB605B1">
            <w:pPr>
              <w:pageBreakBefore w:val="0"/>
              <w:numPr>
                <w:ilvl w:val="0"/>
                <w:numId w:val="14"/>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b w:val="0"/>
                <w:bCs/>
                <w:sz w:val="21"/>
                <w:szCs w:val="21"/>
                <w:lang w:eastAsia="zh-CN"/>
              </w:rPr>
            </w:pPr>
            <w:r>
              <w:rPr>
                <w:rFonts w:hint="eastAsia" w:ascii="仿宋" w:hAnsi="仿宋" w:eastAsia="仿宋" w:cs="仿宋"/>
                <w:b w:val="0"/>
                <w:bCs/>
                <w:sz w:val="21"/>
                <w:szCs w:val="21"/>
                <w:lang w:val="en-US" w:eastAsia="zh-CN"/>
              </w:rPr>
              <w:t xml:space="preserve">    </w:t>
            </w:r>
            <w:r>
              <w:rPr>
                <w:rFonts w:hint="eastAsia" w:ascii="仿宋" w:hAnsi="仿宋" w:eastAsia="仿宋" w:cs="仿宋"/>
                <w:b w:val="0"/>
                <w:bCs/>
                <w:sz w:val="21"/>
                <w:szCs w:val="21"/>
                <w:lang w:eastAsia="zh-CN"/>
              </w:rPr>
              <w:t>③　支持按题型、难易度、主客观分类、课程分布等维度，统计分析题库建设数据。</w:t>
            </w:r>
          </w:p>
          <w:p w14:paraId="3F6C2DB0">
            <w:pPr>
              <w:pageBreakBefore w:val="0"/>
              <w:numPr>
                <w:ilvl w:val="0"/>
                <w:numId w:val="14"/>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b w:val="0"/>
                <w:bCs/>
                <w:sz w:val="21"/>
                <w:szCs w:val="21"/>
                <w:lang w:eastAsia="zh-CN"/>
              </w:rPr>
            </w:pPr>
            <w:r>
              <w:rPr>
                <w:rFonts w:hint="eastAsia" w:ascii="仿宋" w:hAnsi="仿宋" w:eastAsia="仿宋" w:cs="仿宋"/>
                <w:b w:val="0"/>
                <w:bCs/>
                <w:sz w:val="21"/>
                <w:szCs w:val="21"/>
                <w:lang w:val="en-US" w:eastAsia="zh-CN"/>
              </w:rPr>
              <w:t xml:space="preserve">    ★（2）</w:t>
            </w:r>
            <w:r>
              <w:rPr>
                <w:rFonts w:hint="eastAsia" w:ascii="仿宋" w:hAnsi="仿宋" w:eastAsia="仿宋" w:cs="仿宋"/>
                <w:b w:val="0"/>
                <w:bCs/>
                <w:sz w:val="21"/>
                <w:szCs w:val="21"/>
                <w:lang w:eastAsia="zh-CN"/>
              </w:rPr>
              <w:t>课程数据分析</w:t>
            </w:r>
          </w:p>
          <w:p w14:paraId="799AE478">
            <w:pPr>
              <w:pageBreakBefore w:val="0"/>
              <w:numPr>
                <w:ilvl w:val="0"/>
                <w:numId w:val="14"/>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b w:val="0"/>
                <w:bCs/>
                <w:sz w:val="21"/>
                <w:szCs w:val="21"/>
                <w:lang w:eastAsia="zh-CN"/>
              </w:rPr>
            </w:pPr>
            <w:r>
              <w:rPr>
                <w:rFonts w:hint="eastAsia" w:ascii="仿宋" w:hAnsi="仿宋" w:eastAsia="仿宋" w:cs="仿宋"/>
                <w:b w:val="0"/>
                <w:bCs/>
                <w:sz w:val="21"/>
                <w:szCs w:val="21"/>
                <w:lang w:val="en-US" w:eastAsia="zh-CN"/>
              </w:rPr>
              <w:t xml:space="preserve">    </w:t>
            </w:r>
            <w:r>
              <w:rPr>
                <w:rFonts w:hint="eastAsia" w:ascii="仿宋" w:hAnsi="仿宋" w:eastAsia="仿宋" w:cs="仿宋"/>
                <w:b w:val="0"/>
                <w:bCs/>
                <w:sz w:val="21"/>
                <w:szCs w:val="21"/>
                <w:lang w:eastAsia="zh-CN"/>
              </w:rPr>
              <w:t>①　支持统计分析资源库标准化课程数、SPOC课程总数、MOOC上线期数、学历课程数、证书课程数和培训课程数，以及各参建单位课程建设数量情况；</w:t>
            </w:r>
          </w:p>
          <w:p w14:paraId="25FD606A">
            <w:pPr>
              <w:pageBreakBefore w:val="0"/>
              <w:numPr>
                <w:ilvl w:val="0"/>
                <w:numId w:val="14"/>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b w:val="0"/>
                <w:bCs/>
                <w:sz w:val="21"/>
                <w:szCs w:val="21"/>
                <w:lang w:eastAsia="zh-CN"/>
              </w:rPr>
            </w:pPr>
            <w:r>
              <w:rPr>
                <w:rFonts w:hint="eastAsia" w:ascii="仿宋" w:hAnsi="仿宋" w:eastAsia="仿宋" w:cs="仿宋"/>
                <w:b w:val="0"/>
                <w:bCs/>
                <w:sz w:val="21"/>
                <w:szCs w:val="21"/>
                <w:lang w:val="en-US" w:eastAsia="zh-CN"/>
              </w:rPr>
              <w:t xml:space="preserve">    </w:t>
            </w:r>
            <w:r>
              <w:rPr>
                <w:rFonts w:hint="eastAsia" w:ascii="仿宋" w:hAnsi="仿宋" w:eastAsia="仿宋" w:cs="仿宋"/>
                <w:b w:val="0"/>
                <w:bCs/>
                <w:sz w:val="21"/>
                <w:szCs w:val="21"/>
                <w:lang w:eastAsia="zh-CN"/>
              </w:rPr>
              <w:t>②　支持统计分析资源库中每门课程的建设数据；包括授课视频、课程公告、非视频资源、测验和作业、互动交流情况、考试等数据，以及课程衍生的SPOC、MOOC数据情况。</w:t>
            </w:r>
          </w:p>
          <w:p w14:paraId="4F28740F">
            <w:pPr>
              <w:pageBreakBefore w:val="0"/>
              <w:numPr>
                <w:ilvl w:val="0"/>
                <w:numId w:val="14"/>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b w:val="0"/>
                <w:bCs/>
                <w:sz w:val="21"/>
                <w:szCs w:val="21"/>
                <w:lang w:eastAsia="zh-CN"/>
              </w:rPr>
            </w:pPr>
            <w:r>
              <w:rPr>
                <w:rFonts w:hint="eastAsia" w:ascii="仿宋" w:hAnsi="仿宋" w:eastAsia="仿宋" w:cs="仿宋"/>
                <w:b w:val="0"/>
                <w:bCs/>
                <w:sz w:val="21"/>
                <w:szCs w:val="21"/>
                <w:lang w:val="en-US" w:eastAsia="zh-CN"/>
              </w:rPr>
              <w:t xml:space="preserve">    （3）</w:t>
            </w:r>
            <w:r>
              <w:rPr>
                <w:rFonts w:hint="eastAsia" w:ascii="仿宋" w:hAnsi="仿宋" w:eastAsia="仿宋" w:cs="仿宋"/>
                <w:b w:val="0"/>
                <w:bCs/>
                <w:sz w:val="21"/>
                <w:szCs w:val="21"/>
                <w:lang w:eastAsia="zh-CN"/>
              </w:rPr>
              <w:t>日志统计，统计分析展示当前资源库的日志分布、日志类型分布、学生类型日志分布、用户行为日志按时间段分布、按项目成员统计、按用户所在单位等数据。</w:t>
            </w:r>
          </w:p>
          <w:p w14:paraId="4EB4EC8E">
            <w:pPr>
              <w:pageBreakBefore w:val="0"/>
              <w:numPr>
                <w:ilvl w:val="0"/>
                <w:numId w:val="14"/>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b w:val="0"/>
                <w:bCs/>
                <w:sz w:val="21"/>
                <w:szCs w:val="21"/>
                <w:lang w:eastAsia="zh-CN"/>
              </w:rPr>
            </w:pPr>
            <w:r>
              <w:rPr>
                <w:rFonts w:hint="eastAsia" w:ascii="仿宋" w:hAnsi="仿宋" w:eastAsia="仿宋" w:cs="仿宋"/>
                <w:b w:val="0"/>
                <w:bCs/>
                <w:sz w:val="21"/>
                <w:szCs w:val="21"/>
                <w:lang w:val="en-US" w:eastAsia="zh-CN"/>
              </w:rPr>
              <w:t xml:space="preserve">    （4）</w:t>
            </w:r>
            <w:r>
              <w:rPr>
                <w:rFonts w:hint="eastAsia" w:ascii="仿宋" w:hAnsi="仿宋" w:eastAsia="仿宋" w:cs="仿宋"/>
                <w:b w:val="0"/>
                <w:bCs/>
                <w:sz w:val="21"/>
                <w:szCs w:val="21"/>
                <w:lang w:eastAsia="zh-CN"/>
              </w:rPr>
              <w:t>参建单位统计，统计分析展示当前资源库的参建单位用户数量、参建单位课程建设情况、参建单位上传资源情况（点击柱形图可查看学校详情）、日志类型分布、参建单位日志日期分布等数据。</w:t>
            </w:r>
          </w:p>
          <w:p w14:paraId="62CD2D4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0" w:firstLineChars="200"/>
              <w:jc w:val="left"/>
              <w:textAlignment w:val="auto"/>
              <w:rPr>
                <w:rFonts w:hint="eastAsia" w:ascii="仿宋" w:hAnsi="仿宋" w:eastAsia="仿宋" w:cs="仿宋"/>
                <w:kern w:val="0"/>
                <w:sz w:val="21"/>
                <w:szCs w:val="21"/>
                <w:lang w:val="en-US" w:eastAsia="zh-CN" w:bidi="ar-SA"/>
              </w:rPr>
            </w:pPr>
            <w:r>
              <w:rPr>
                <w:rFonts w:hint="eastAsia" w:ascii="仿宋" w:hAnsi="仿宋" w:eastAsia="仿宋" w:cs="仿宋"/>
                <w:b w:val="0"/>
                <w:bCs/>
                <w:sz w:val="21"/>
                <w:szCs w:val="21"/>
                <w:lang w:eastAsia="zh-CN"/>
              </w:rPr>
              <w:t>★（5）监测数据分析，支持根据教育部资源库申报文件，以及后续资源库监测平台所列的数据监测指标要求，提供本资源库相关监测数据。</w:t>
            </w:r>
          </w:p>
        </w:tc>
      </w:tr>
      <w:tr w14:paraId="48C8E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1" w:type="pct"/>
            <w:vMerge w:val="continue"/>
            <w:vAlign w:val="center"/>
          </w:tcPr>
          <w:p w14:paraId="7513ECD5">
            <w:pPr>
              <w:pageBreakBefore w:val="0"/>
              <w:widowControl/>
              <w:kinsoku/>
              <w:wordWrap/>
              <w:overflowPunct/>
              <w:topLinePunct w:val="0"/>
              <w:autoSpaceDE/>
              <w:autoSpaceDN/>
              <w:bidi w:val="0"/>
              <w:adjustRightInd/>
              <w:snapToGrid/>
              <w:spacing w:line="240" w:lineRule="auto"/>
              <w:ind w:left="0"/>
              <w:jc w:val="center"/>
              <w:rPr>
                <w:rFonts w:hint="eastAsia" w:ascii="仿宋" w:hAnsi="仿宋" w:eastAsia="仿宋" w:cs="仿宋"/>
                <w:b/>
                <w:kern w:val="0"/>
                <w:sz w:val="21"/>
                <w:szCs w:val="21"/>
                <w:lang w:val="en-US" w:eastAsia="zh-CN"/>
              </w:rPr>
            </w:pPr>
          </w:p>
        </w:tc>
        <w:tc>
          <w:tcPr>
            <w:tcW w:w="500" w:type="pct"/>
            <w:vMerge w:val="continue"/>
            <w:shd w:val="clear" w:color="auto" w:fill="auto"/>
            <w:vAlign w:val="center"/>
          </w:tcPr>
          <w:p w14:paraId="6E33D609">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jc w:val="center"/>
              <w:textAlignment w:val="center"/>
              <w:rPr>
                <w:rFonts w:hint="eastAsia" w:ascii="仿宋" w:hAnsi="仿宋" w:eastAsia="仿宋" w:cs="仿宋"/>
                <w:i w:val="0"/>
                <w:iCs w:val="0"/>
                <w:color w:val="000000"/>
                <w:kern w:val="0"/>
                <w:sz w:val="21"/>
                <w:szCs w:val="21"/>
                <w:u w:val="none"/>
                <w:lang w:val="en-US" w:eastAsia="zh-CN" w:bidi="ar"/>
              </w:rPr>
            </w:pPr>
          </w:p>
        </w:tc>
        <w:tc>
          <w:tcPr>
            <w:tcW w:w="500" w:type="pct"/>
            <w:shd w:val="clear" w:color="auto" w:fill="auto"/>
            <w:vAlign w:val="center"/>
          </w:tcPr>
          <w:p w14:paraId="1693D41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b w:val="0"/>
                <w:bCs/>
                <w:spacing w:val="0"/>
                <w:sz w:val="21"/>
                <w:szCs w:val="21"/>
                <w:lang w:val="en-US" w:eastAsia="zh-CN"/>
              </w:rPr>
            </w:pPr>
            <w:r>
              <w:rPr>
                <w:rFonts w:hint="eastAsia" w:ascii="仿宋" w:hAnsi="仿宋" w:eastAsia="仿宋" w:cs="仿宋"/>
                <w:b w:val="0"/>
                <w:bCs/>
                <w:spacing w:val="0"/>
                <w:sz w:val="21"/>
                <w:szCs w:val="21"/>
                <w:lang w:val="en-US" w:eastAsia="zh-CN"/>
              </w:rPr>
              <w:t>平台服务</w:t>
            </w:r>
          </w:p>
          <w:p w14:paraId="255C277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spacing w:val="0"/>
                <w:kern w:val="2"/>
                <w:sz w:val="21"/>
                <w:szCs w:val="21"/>
                <w:lang w:val="en-US" w:eastAsia="zh-CN" w:bidi="ar-SA"/>
              </w:rPr>
            </w:pPr>
            <w:r>
              <w:rPr>
                <w:rFonts w:hint="eastAsia" w:ascii="仿宋" w:hAnsi="仿宋" w:eastAsia="仿宋" w:cs="仿宋"/>
                <w:b w:val="0"/>
                <w:bCs/>
                <w:spacing w:val="0"/>
                <w:sz w:val="21"/>
                <w:szCs w:val="21"/>
                <w:lang w:val="en-US" w:eastAsia="zh-CN"/>
              </w:rPr>
              <w:t>要求</w:t>
            </w:r>
          </w:p>
        </w:tc>
        <w:tc>
          <w:tcPr>
            <w:tcW w:w="3757" w:type="pct"/>
            <w:shd w:val="clear" w:color="auto" w:fill="auto"/>
            <w:tcFitText/>
            <w:vAlign w:val="center"/>
          </w:tcPr>
          <w:p w14:paraId="3D0A8F78">
            <w:pPr>
              <w:pageBreakBefore w:val="0"/>
              <w:numPr>
                <w:ilvl w:val="0"/>
                <w:numId w:val="14"/>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b w:val="0"/>
                <w:bCs/>
                <w:sz w:val="21"/>
                <w:szCs w:val="21"/>
                <w:lang w:eastAsia="zh-CN"/>
              </w:rPr>
            </w:pPr>
            <w:r>
              <w:rPr>
                <w:rFonts w:hint="eastAsia" w:ascii="仿宋" w:hAnsi="仿宋" w:eastAsia="仿宋" w:cs="仿宋"/>
                <w:b w:val="0"/>
                <w:bCs/>
                <w:sz w:val="21"/>
                <w:szCs w:val="21"/>
                <w:lang w:val="en-US" w:eastAsia="zh-CN"/>
              </w:rPr>
              <w:t xml:space="preserve">    1.</w:t>
            </w:r>
            <w:r>
              <w:rPr>
                <w:rFonts w:hint="eastAsia" w:ascii="仿宋" w:hAnsi="仿宋" w:eastAsia="仿宋" w:cs="仿宋"/>
                <w:b w:val="0"/>
                <w:bCs/>
                <w:sz w:val="21"/>
                <w:szCs w:val="21"/>
                <w:lang w:eastAsia="zh-CN"/>
              </w:rPr>
              <w:t>为满足我校“课材”一体化建设，供应商提供的资源库平台需为我校数字教材建设提供资源支撑；为本项目库内对应课程提供数字教材平台一年校内应用服务。</w:t>
            </w:r>
          </w:p>
          <w:p w14:paraId="3A09D69E">
            <w:pPr>
              <w:pageBreakBefore w:val="0"/>
              <w:numPr>
                <w:ilvl w:val="0"/>
                <w:numId w:val="14"/>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b w:val="0"/>
                <w:bCs/>
                <w:spacing w:val="0"/>
                <w:kern w:val="2"/>
                <w:sz w:val="21"/>
                <w:szCs w:val="21"/>
                <w:lang w:val="en-US" w:eastAsia="zh-CN" w:bidi="ar-SA"/>
              </w:rPr>
            </w:pPr>
            <w:r>
              <w:rPr>
                <w:rFonts w:hint="eastAsia" w:ascii="仿宋" w:hAnsi="仿宋" w:eastAsia="仿宋" w:cs="仿宋"/>
                <w:b w:val="0"/>
                <w:bCs/>
                <w:sz w:val="21"/>
                <w:szCs w:val="21"/>
                <w:lang w:val="en-US" w:eastAsia="zh-CN"/>
              </w:rPr>
              <w:t xml:space="preserve">   </w:t>
            </w:r>
            <w:r>
              <w:rPr>
                <w:rFonts w:hint="eastAsia" w:ascii="仿宋" w:hAnsi="仿宋" w:eastAsia="仿宋" w:cs="仿宋"/>
                <w:b w:val="0"/>
                <w:bCs/>
                <w:sz w:val="21"/>
                <w:szCs w:val="21"/>
                <w:shd w:val="clear" w:fill="92D050"/>
                <w:lang w:val="en-US" w:eastAsia="zh-CN"/>
              </w:rPr>
              <w:t xml:space="preserve"> ▲ 2.</w:t>
            </w:r>
            <w:r>
              <w:rPr>
                <w:rFonts w:hint="eastAsia" w:ascii="仿宋" w:hAnsi="仿宋" w:eastAsia="仿宋" w:cs="仿宋"/>
                <w:b w:val="0"/>
                <w:bCs/>
                <w:sz w:val="21"/>
                <w:szCs w:val="21"/>
                <w:shd w:val="clear" w:fill="92D050"/>
                <w:lang w:eastAsia="zh-CN"/>
              </w:rPr>
              <w:t>供应商提供的资源库运行平台须与国家智慧教育平台进行对接，在国家智慧教育平台能看到该平台运行的专业教学资源库项目。</w:t>
            </w:r>
          </w:p>
        </w:tc>
      </w:tr>
      <w:tr w14:paraId="06D01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1" w:type="pct"/>
            <w:vAlign w:val="center"/>
          </w:tcPr>
          <w:p w14:paraId="20CB935C">
            <w:pPr>
              <w:pageBreakBefore w:val="0"/>
              <w:widowControl/>
              <w:kinsoku/>
              <w:wordWrap/>
              <w:overflowPunct/>
              <w:topLinePunct w:val="0"/>
              <w:autoSpaceDE/>
              <w:autoSpaceDN/>
              <w:bidi w:val="0"/>
              <w:adjustRightInd/>
              <w:snapToGrid/>
              <w:spacing w:line="240" w:lineRule="auto"/>
              <w:ind w:left="0"/>
              <w:jc w:val="center"/>
              <w:rPr>
                <w:rFonts w:hint="eastAsia" w:ascii="仿宋" w:hAnsi="仿宋" w:eastAsia="仿宋" w:cs="仿宋"/>
                <w:b/>
                <w:kern w:val="0"/>
                <w:sz w:val="21"/>
                <w:szCs w:val="21"/>
                <w:lang w:val="en-US" w:eastAsia="zh-CN"/>
              </w:rPr>
            </w:pPr>
            <w:r>
              <w:rPr>
                <w:rFonts w:hint="eastAsia" w:ascii="仿宋" w:hAnsi="仿宋" w:eastAsia="仿宋" w:cs="仿宋"/>
                <w:b/>
                <w:kern w:val="0"/>
                <w:sz w:val="21"/>
                <w:szCs w:val="21"/>
                <w:lang w:val="en-US" w:eastAsia="zh-CN"/>
              </w:rPr>
              <w:t>2</w:t>
            </w:r>
          </w:p>
        </w:tc>
        <w:tc>
          <w:tcPr>
            <w:tcW w:w="500" w:type="pct"/>
            <w:shd w:val="clear" w:color="auto" w:fill="auto"/>
            <w:vAlign w:val="center"/>
          </w:tcPr>
          <w:p w14:paraId="7F8B6C43">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对标省级国家级专业教学资源库建设标准，探索适合本专业发展需要的特色建设模块</w:t>
            </w:r>
          </w:p>
        </w:tc>
        <w:tc>
          <w:tcPr>
            <w:tcW w:w="500" w:type="pct"/>
            <w:shd w:val="clear" w:color="auto" w:fill="auto"/>
            <w:vAlign w:val="center"/>
          </w:tcPr>
          <w:p w14:paraId="2DACFF2F">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特色模块建设</w:t>
            </w:r>
          </w:p>
        </w:tc>
        <w:tc>
          <w:tcPr>
            <w:tcW w:w="3757" w:type="pct"/>
            <w:shd w:val="clear" w:color="auto" w:fill="auto"/>
            <w:vAlign w:val="center"/>
          </w:tcPr>
          <w:p w14:paraId="75E196FC">
            <w:pPr>
              <w:pageBreakBefore w:val="0"/>
              <w:kinsoku/>
              <w:wordWrap/>
              <w:overflowPunct/>
              <w:topLinePunct w:val="0"/>
              <w:autoSpaceDE/>
              <w:autoSpaceDN/>
              <w:bidi w:val="0"/>
              <w:adjustRightInd/>
              <w:snapToGrid/>
              <w:spacing w:line="240" w:lineRule="auto"/>
              <w:ind w:left="0" w:firstLine="420" w:firstLineChars="20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1.模块设计需充分体现本专业特色，强化“能学、辅教”功能，满足不同用户群体的个性化需求，促进优质教学资源的共建共享。</w:t>
            </w:r>
          </w:p>
          <w:p w14:paraId="1DC652BB">
            <w:pPr>
              <w:pageBreakBefore w:val="0"/>
              <w:kinsoku/>
              <w:wordWrap/>
              <w:overflowPunct/>
              <w:topLinePunct w:val="0"/>
              <w:autoSpaceDE/>
              <w:autoSpaceDN/>
              <w:bidi w:val="0"/>
              <w:adjustRightInd/>
              <w:snapToGrid/>
              <w:spacing w:line="240" w:lineRule="auto"/>
              <w:ind w:left="0" w:firstLine="420" w:firstLineChars="20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2.根据学校煤化工技术专业现有情况，开发若干二级模块（例如：职教出海、课程思政、虚拟仿真、校企合作等）。</w:t>
            </w:r>
          </w:p>
          <w:p w14:paraId="0F79885B">
            <w:pPr>
              <w:pageBreakBefore w:val="0"/>
              <w:kinsoku/>
              <w:wordWrap/>
              <w:overflowPunct/>
              <w:topLinePunct w:val="0"/>
              <w:autoSpaceDE/>
              <w:autoSpaceDN/>
              <w:bidi w:val="0"/>
              <w:adjustRightInd/>
              <w:snapToGrid/>
              <w:spacing w:line="240" w:lineRule="auto"/>
              <w:ind w:left="0" w:firstLine="420" w:firstLineChars="20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3.主页模块设计应采用“多维度导航+可视化呈现”的布局模式。</w:t>
            </w:r>
          </w:p>
          <w:p w14:paraId="230C2351">
            <w:pPr>
              <w:pageBreakBefore w:val="0"/>
              <w:kinsoku/>
              <w:wordWrap/>
              <w:overflowPunct/>
              <w:topLinePunct w:val="0"/>
              <w:autoSpaceDE/>
              <w:autoSpaceDN/>
              <w:bidi w:val="0"/>
              <w:adjustRightInd/>
              <w:snapToGrid/>
              <w:spacing w:line="240" w:lineRule="auto"/>
              <w:ind w:left="0" w:leftChars="0" w:firstLine="420" w:firstLineChars="200"/>
              <w:jc w:val="left"/>
              <w:rPr>
                <w:rFonts w:hint="eastAsia" w:ascii="仿宋" w:hAnsi="仿宋" w:eastAsia="仿宋" w:cs="仿宋"/>
                <w:kern w:val="2"/>
                <w:sz w:val="21"/>
                <w:szCs w:val="21"/>
                <w:lang w:val="en-US" w:eastAsia="zh-CN" w:bidi="ar-SA"/>
              </w:rPr>
            </w:pPr>
            <w:r>
              <w:rPr>
                <w:rFonts w:hint="eastAsia" w:ascii="仿宋" w:hAnsi="仿宋" w:eastAsia="仿宋" w:cs="仿宋"/>
                <w:sz w:val="21"/>
                <w:szCs w:val="21"/>
                <w:lang w:val="en-US" w:eastAsia="zh-CN"/>
              </w:rPr>
              <w:t>4.模块设计需与用户共同商定，并提供不少于3套设计初稿供用户选择。</w:t>
            </w:r>
          </w:p>
        </w:tc>
      </w:tr>
      <w:tr w14:paraId="3A5A4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1" w:type="pct"/>
            <w:vAlign w:val="center"/>
          </w:tcPr>
          <w:p w14:paraId="4BCDB083">
            <w:pPr>
              <w:pageBreakBefore w:val="0"/>
              <w:widowControl/>
              <w:kinsoku/>
              <w:wordWrap/>
              <w:overflowPunct/>
              <w:topLinePunct w:val="0"/>
              <w:autoSpaceDE/>
              <w:autoSpaceDN/>
              <w:bidi w:val="0"/>
              <w:adjustRightInd/>
              <w:snapToGrid/>
              <w:spacing w:line="240" w:lineRule="auto"/>
              <w:ind w:left="0"/>
              <w:jc w:val="center"/>
              <w:rPr>
                <w:rFonts w:hint="eastAsia" w:ascii="仿宋" w:hAnsi="仿宋" w:eastAsia="仿宋" w:cs="仿宋"/>
                <w:b/>
                <w:kern w:val="0"/>
                <w:sz w:val="21"/>
                <w:szCs w:val="21"/>
                <w:lang w:val="en-US" w:eastAsia="zh-CN"/>
              </w:rPr>
            </w:pPr>
            <w:r>
              <w:rPr>
                <w:rFonts w:hint="eastAsia" w:ascii="仿宋" w:hAnsi="仿宋" w:eastAsia="仿宋" w:cs="仿宋"/>
                <w:b/>
                <w:kern w:val="0"/>
                <w:sz w:val="21"/>
                <w:szCs w:val="21"/>
                <w:lang w:val="en-US" w:eastAsia="zh-CN"/>
              </w:rPr>
              <w:t>3</w:t>
            </w:r>
          </w:p>
        </w:tc>
        <w:tc>
          <w:tcPr>
            <w:tcW w:w="500" w:type="pct"/>
            <w:shd w:val="clear" w:color="auto" w:fill="auto"/>
            <w:vAlign w:val="center"/>
          </w:tcPr>
          <w:p w14:paraId="3A56F1D4">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依托国家认可的资源库搭载平台改造开发煤化工技术专业（群）教学资源库门户页面</w:t>
            </w:r>
          </w:p>
        </w:tc>
        <w:tc>
          <w:tcPr>
            <w:tcW w:w="500" w:type="pct"/>
            <w:shd w:val="clear" w:color="auto" w:fill="auto"/>
            <w:vAlign w:val="center"/>
          </w:tcPr>
          <w:p w14:paraId="0310E595">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jc w:val="center"/>
              <w:textAlignment w:val="center"/>
              <w:rPr>
                <w:rFonts w:hint="eastAsia" w:ascii="仿宋" w:hAnsi="仿宋" w:eastAsia="仿宋" w:cs="仿宋"/>
                <w:kern w:val="0"/>
                <w:sz w:val="21"/>
                <w:szCs w:val="21"/>
                <w:lang w:val="en-US" w:eastAsia="zh-CN" w:bidi="ar-SA"/>
              </w:rPr>
            </w:pPr>
            <w:r>
              <w:rPr>
                <w:rFonts w:hint="eastAsia" w:ascii="仿宋" w:hAnsi="仿宋" w:eastAsia="仿宋" w:cs="仿宋"/>
                <w:i w:val="0"/>
                <w:iCs w:val="0"/>
                <w:color w:val="000000"/>
                <w:kern w:val="0"/>
                <w:sz w:val="21"/>
                <w:szCs w:val="21"/>
                <w:u w:val="none"/>
                <w:lang w:val="en-US" w:eastAsia="zh-CN" w:bidi="ar"/>
              </w:rPr>
              <w:t>资源库运行平台门户改造</w:t>
            </w:r>
          </w:p>
        </w:tc>
        <w:tc>
          <w:tcPr>
            <w:tcW w:w="3757" w:type="pct"/>
            <w:shd w:val="clear" w:color="auto" w:fill="auto"/>
            <w:vAlign w:val="center"/>
          </w:tcPr>
          <w:p w14:paraId="159662EA">
            <w:pPr>
              <w:pageBreakBefore w:val="0"/>
              <w:kinsoku/>
              <w:wordWrap/>
              <w:overflowPunct/>
              <w:topLinePunct w:val="0"/>
              <w:autoSpaceDE/>
              <w:autoSpaceDN/>
              <w:bidi w:val="0"/>
              <w:adjustRightInd/>
              <w:snapToGrid/>
              <w:spacing w:line="240" w:lineRule="auto"/>
              <w:ind w:left="0" w:firstLine="420" w:firstLineChars="20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资源库子站整体风格设计，符合煤化工技术专业特点。</w:t>
            </w:r>
          </w:p>
          <w:p w14:paraId="0E9A5409">
            <w:pPr>
              <w:pageBreakBefore w:val="0"/>
              <w:kinsoku/>
              <w:wordWrap/>
              <w:overflowPunct/>
              <w:topLinePunct w:val="0"/>
              <w:autoSpaceDE/>
              <w:autoSpaceDN/>
              <w:bidi w:val="0"/>
              <w:adjustRightInd/>
              <w:snapToGrid/>
              <w:spacing w:line="240" w:lineRule="auto"/>
              <w:ind w:left="0" w:firstLine="420" w:firstLineChars="20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1.功能架构与定制化要求</w:t>
            </w:r>
          </w:p>
          <w:p w14:paraId="28CC335F">
            <w:pPr>
              <w:pageBreakBefore w:val="0"/>
              <w:kinsoku/>
              <w:wordWrap/>
              <w:overflowPunct/>
              <w:topLinePunct w:val="0"/>
              <w:autoSpaceDE/>
              <w:autoSpaceDN/>
              <w:bidi w:val="0"/>
              <w:adjustRightInd/>
              <w:snapToGrid/>
              <w:spacing w:line="240" w:lineRule="auto"/>
              <w:ind w:left="0" w:firstLine="420" w:firstLineChars="20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门户页面需构建“一体化”首页设计，包含专业园地、课程中心、素材中心等核心板块。</w:t>
            </w:r>
          </w:p>
          <w:p w14:paraId="59D2CD2C">
            <w:pPr>
              <w:pageBreakBefore w:val="0"/>
              <w:kinsoku/>
              <w:wordWrap/>
              <w:overflowPunct/>
              <w:topLinePunct w:val="0"/>
              <w:autoSpaceDE/>
              <w:autoSpaceDN/>
              <w:bidi w:val="0"/>
              <w:adjustRightInd/>
              <w:snapToGrid/>
              <w:spacing w:line="240" w:lineRule="auto"/>
              <w:ind w:left="0" w:firstLine="420" w:firstLineChars="20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2.数据标准与平台对接</w:t>
            </w:r>
          </w:p>
          <w:p w14:paraId="18494A12">
            <w:pPr>
              <w:pageBreakBefore w:val="0"/>
              <w:kinsoku/>
              <w:wordWrap/>
              <w:overflowPunct/>
              <w:topLinePunct w:val="0"/>
              <w:autoSpaceDE/>
              <w:autoSpaceDN/>
              <w:bidi w:val="0"/>
              <w:adjustRightInd/>
              <w:snapToGrid/>
              <w:spacing w:line="240" w:lineRule="auto"/>
              <w:ind w:left="0" w:firstLine="420" w:firstLineChars="20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开发过程须严格遵循国家职业教育专业教学资源库建设相关技术规范及数据标准（如元数据标准）。系统须预与资源库运行平台无缝对接，确保用户信息、学习行为数据、资源访问量等核心数据的实时采集与上报，打破信息孤岛。</w:t>
            </w:r>
          </w:p>
          <w:p w14:paraId="4D3DAD40">
            <w:pPr>
              <w:pageBreakBefore w:val="0"/>
              <w:kinsoku/>
              <w:wordWrap/>
              <w:overflowPunct/>
              <w:topLinePunct w:val="0"/>
              <w:autoSpaceDE/>
              <w:autoSpaceDN/>
              <w:bidi w:val="0"/>
              <w:adjustRightInd/>
              <w:snapToGrid/>
              <w:spacing w:line="240" w:lineRule="auto"/>
              <w:ind w:left="0" w:firstLine="420" w:firstLineChars="20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3.兼容性与性能指标</w:t>
            </w:r>
          </w:p>
          <w:p w14:paraId="2EBD1E66">
            <w:pPr>
              <w:pageBreakBefore w:val="0"/>
              <w:kinsoku/>
              <w:wordWrap/>
              <w:overflowPunct/>
              <w:topLinePunct w:val="0"/>
              <w:autoSpaceDE/>
              <w:autoSpaceDN/>
              <w:bidi w:val="0"/>
              <w:adjustRightInd/>
              <w:snapToGrid/>
              <w:spacing w:line="240" w:lineRule="auto"/>
              <w:ind w:left="0" w:firstLine="420" w:firstLineChars="20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门户页面须实现多终端访问，完美兼容PC端、移动端（手机、平板）及主流浏览器，分辨率自适应调节，确保页面无错位、无乱码。系统需支持高并发访问，具备完善的权限管理机制与数据加密传输功能，保障教学资源与用户信息的安全。</w:t>
            </w:r>
          </w:p>
          <w:p w14:paraId="28DF692D">
            <w:pPr>
              <w:pageBreakBefore w:val="0"/>
              <w:kinsoku/>
              <w:wordWrap/>
              <w:overflowPunct/>
              <w:topLinePunct w:val="0"/>
              <w:autoSpaceDE/>
              <w:autoSpaceDN/>
              <w:bidi w:val="0"/>
              <w:adjustRightInd/>
              <w:snapToGrid/>
              <w:spacing w:line="240" w:lineRule="auto"/>
              <w:ind w:left="0" w:firstLine="420" w:firstLineChars="20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4.视觉设计与用户体验</w:t>
            </w:r>
          </w:p>
          <w:p w14:paraId="0B6259EA">
            <w:pPr>
              <w:pageBreakBefore w:val="0"/>
              <w:kinsoku/>
              <w:wordWrap/>
              <w:overflowPunct/>
              <w:topLinePunct w:val="0"/>
              <w:autoSpaceDE/>
              <w:autoSpaceDN/>
              <w:bidi w:val="0"/>
              <w:adjustRightInd/>
              <w:snapToGrid/>
              <w:spacing w:line="240" w:lineRule="auto"/>
              <w:ind w:left="0" w:leftChars="0" w:firstLine="420" w:firstLineChars="200"/>
              <w:jc w:val="left"/>
              <w:rPr>
                <w:rFonts w:hint="eastAsia" w:ascii="仿宋" w:hAnsi="仿宋" w:eastAsia="仿宋" w:cs="仿宋"/>
                <w:kern w:val="0"/>
                <w:sz w:val="21"/>
                <w:szCs w:val="21"/>
                <w:lang w:val="en-US" w:eastAsia="zh-CN" w:bidi="ar-SA"/>
              </w:rPr>
            </w:pPr>
            <w:r>
              <w:rPr>
                <w:rFonts w:hint="eastAsia" w:ascii="仿宋" w:hAnsi="仿宋" w:eastAsia="仿宋" w:cs="仿宋"/>
                <w:sz w:val="21"/>
                <w:szCs w:val="21"/>
                <w:lang w:val="en-US" w:eastAsia="zh-CN"/>
              </w:rPr>
              <w:t>UI设计需深度融合煤化工行业特色与职业教育教学理念，色调稳重、风格大气。需提供不少于3套设计初稿供选择，并支持后期根据用户反馈进行不少于3次的细节迭代优化，确保导航逻辑清晰，用户操作便捷流畅。</w:t>
            </w:r>
          </w:p>
        </w:tc>
      </w:tr>
      <w:tr w14:paraId="7C2EC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1" w:type="pct"/>
            <w:vMerge w:val="restart"/>
            <w:vAlign w:val="center"/>
          </w:tcPr>
          <w:p w14:paraId="08A05CB6">
            <w:pPr>
              <w:pageBreakBefore w:val="0"/>
              <w:widowControl/>
              <w:kinsoku/>
              <w:wordWrap/>
              <w:overflowPunct/>
              <w:topLinePunct w:val="0"/>
              <w:autoSpaceDE/>
              <w:autoSpaceDN/>
              <w:bidi w:val="0"/>
              <w:adjustRightInd/>
              <w:snapToGrid/>
              <w:spacing w:line="240" w:lineRule="auto"/>
              <w:ind w:left="0"/>
              <w:jc w:val="center"/>
              <w:rPr>
                <w:rFonts w:hint="eastAsia" w:ascii="仿宋" w:hAnsi="仿宋" w:eastAsia="仿宋" w:cs="仿宋"/>
                <w:b/>
                <w:bCs/>
                <w:kern w:val="0"/>
                <w:sz w:val="21"/>
                <w:szCs w:val="21"/>
              </w:rPr>
            </w:pPr>
            <w:r>
              <w:rPr>
                <w:rFonts w:hint="eastAsia" w:ascii="仿宋" w:hAnsi="仿宋" w:eastAsia="仿宋" w:cs="仿宋"/>
                <w:b/>
                <w:bCs/>
                <w:kern w:val="0"/>
                <w:sz w:val="21"/>
                <w:szCs w:val="21"/>
              </w:rPr>
              <w:t>4</w:t>
            </w:r>
          </w:p>
          <w:p w14:paraId="192B2003">
            <w:pPr>
              <w:pageBreakBefore w:val="0"/>
              <w:widowControl/>
              <w:kinsoku/>
              <w:wordWrap/>
              <w:overflowPunct/>
              <w:topLinePunct w:val="0"/>
              <w:autoSpaceDE/>
              <w:autoSpaceDN/>
              <w:bidi w:val="0"/>
              <w:adjustRightInd/>
              <w:snapToGrid/>
              <w:spacing w:line="240" w:lineRule="auto"/>
              <w:ind w:left="0"/>
              <w:jc w:val="center"/>
              <w:rPr>
                <w:rFonts w:hint="eastAsia" w:ascii="仿宋" w:hAnsi="仿宋" w:eastAsia="仿宋" w:cs="仿宋"/>
                <w:kern w:val="0"/>
                <w:sz w:val="21"/>
                <w:szCs w:val="21"/>
              </w:rPr>
            </w:pPr>
          </w:p>
        </w:tc>
        <w:tc>
          <w:tcPr>
            <w:tcW w:w="500" w:type="pct"/>
            <w:vMerge w:val="restart"/>
            <w:vAlign w:val="center"/>
          </w:tcPr>
          <w:p w14:paraId="420FC62F">
            <w:pPr>
              <w:keepNext w:val="0"/>
              <w:keepLines w:val="0"/>
              <w:pageBreakBefore w:val="0"/>
              <w:widowControl/>
              <w:suppressLineNumbers w:val="0"/>
              <w:kinsoku/>
              <w:wordWrap/>
              <w:overflowPunct/>
              <w:topLinePunct w:val="0"/>
              <w:autoSpaceDE/>
              <w:autoSpaceDN/>
              <w:bidi w:val="0"/>
              <w:adjustRightInd/>
              <w:snapToGrid/>
              <w:spacing w:line="240" w:lineRule="auto"/>
              <w:ind w:left="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建设煤化工技术专业（群）人才培养方案中所包含的6门专业核心课程教学资源</w:t>
            </w:r>
          </w:p>
        </w:tc>
        <w:tc>
          <w:tcPr>
            <w:tcW w:w="500" w:type="pct"/>
            <w:vAlign w:val="center"/>
          </w:tcPr>
          <w:p w14:paraId="45F5A018">
            <w:pPr>
              <w:keepNext w:val="0"/>
              <w:keepLines w:val="0"/>
              <w:pageBreakBefore w:val="0"/>
              <w:widowControl/>
              <w:suppressLineNumbers w:val="0"/>
              <w:kinsoku/>
              <w:wordWrap/>
              <w:overflowPunct/>
              <w:topLinePunct w:val="0"/>
              <w:autoSpaceDE/>
              <w:autoSpaceDN/>
              <w:bidi w:val="0"/>
              <w:adjustRightInd/>
              <w:snapToGrid/>
              <w:spacing w:line="240" w:lineRule="auto"/>
              <w:ind w:left="0"/>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u w:val="none"/>
                <w:lang w:val="en-US" w:eastAsia="zh-CN" w:bidi="ar"/>
              </w:rPr>
              <w:t>文本文档</w:t>
            </w:r>
          </w:p>
        </w:tc>
        <w:tc>
          <w:tcPr>
            <w:tcW w:w="3757" w:type="pct"/>
            <w:vAlign w:val="center"/>
          </w:tcPr>
          <w:p w14:paraId="78308100">
            <w:pPr>
              <w:pStyle w:val="36"/>
              <w:pageBreakBefore w:val="0"/>
              <w:numPr>
                <w:ilvl w:val="0"/>
                <w:numId w:val="15"/>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    1.</w:t>
            </w:r>
            <w:r>
              <w:rPr>
                <w:rFonts w:hint="eastAsia" w:ascii="仿宋" w:hAnsi="仿宋" w:eastAsia="仿宋" w:cs="仿宋"/>
                <w:color w:val="000000"/>
                <w:sz w:val="21"/>
                <w:szCs w:val="21"/>
              </w:rPr>
              <w:t>文件制作版本不低于当前主流版本，要求上下兼容。</w:t>
            </w:r>
          </w:p>
          <w:p w14:paraId="5A995FCA">
            <w:pPr>
              <w:pStyle w:val="36"/>
              <w:pageBreakBefore w:val="0"/>
              <w:numPr>
                <w:ilvl w:val="0"/>
                <w:numId w:val="15"/>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    2.</w:t>
            </w:r>
            <w:r>
              <w:rPr>
                <w:rFonts w:hint="eastAsia" w:ascii="仿宋" w:hAnsi="仿宋" w:eastAsia="仿宋" w:cs="仿宋"/>
                <w:color w:val="000000"/>
                <w:sz w:val="21"/>
                <w:szCs w:val="21"/>
              </w:rPr>
              <w:t>文本正文应设定文章标题，文章标题放在正文内第一行居中的位置。</w:t>
            </w:r>
          </w:p>
          <w:p w14:paraId="4C027CF9">
            <w:pPr>
              <w:pStyle w:val="36"/>
              <w:pageBreakBefore w:val="0"/>
              <w:numPr>
                <w:ilvl w:val="0"/>
                <w:numId w:val="15"/>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    3.</w:t>
            </w:r>
            <w:r>
              <w:rPr>
                <w:rFonts w:hint="eastAsia" w:ascii="仿宋" w:hAnsi="仿宋" w:eastAsia="仿宋" w:cs="仿宋"/>
                <w:color w:val="000000"/>
                <w:sz w:val="21"/>
                <w:szCs w:val="21"/>
              </w:rPr>
              <w:t>各级标题应设置正确，同一级标题使用同样的样式，文本结构清晰</w:t>
            </w:r>
            <w:r>
              <w:rPr>
                <w:rFonts w:hint="eastAsia" w:ascii="仿宋" w:hAnsi="仿宋" w:eastAsia="仿宋" w:cs="仿宋"/>
                <w:color w:val="000000"/>
                <w:sz w:val="21"/>
                <w:szCs w:val="21"/>
                <w:lang w:eastAsia="zh-CN"/>
              </w:rPr>
              <w:t>。</w:t>
            </w:r>
          </w:p>
          <w:p w14:paraId="34DFDD5D">
            <w:pPr>
              <w:pStyle w:val="36"/>
              <w:pageBreakBefore w:val="0"/>
              <w:numPr>
                <w:ilvl w:val="0"/>
                <w:numId w:val="15"/>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    4.</w:t>
            </w:r>
            <w:r>
              <w:rPr>
                <w:rFonts w:hint="eastAsia" w:ascii="仿宋" w:hAnsi="仿宋" w:eastAsia="仿宋" w:cs="仿宋"/>
                <w:color w:val="000000"/>
                <w:sz w:val="21"/>
                <w:szCs w:val="21"/>
              </w:rPr>
              <w:t>正文字体、字号、颜色、行间距等要美观、统一。</w:t>
            </w:r>
          </w:p>
          <w:p w14:paraId="0B909A9C">
            <w:pPr>
              <w:pStyle w:val="36"/>
              <w:pageBreakBefore w:val="0"/>
              <w:numPr>
                <w:ilvl w:val="0"/>
                <w:numId w:val="15"/>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    5.</w:t>
            </w:r>
            <w:r>
              <w:rPr>
                <w:rFonts w:hint="eastAsia" w:ascii="仿宋" w:hAnsi="仿宋" w:eastAsia="仿宋" w:cs="仿宋"/>
                <w:color w:val="000000"/>
                <w:sz w:val="21"/>
                <w:szCs w:val="21"/>
              </w:rPr>
              <w:t>表格不应超出页面，且要求使用软件的插入表格或绘制表格等功能生成表格，并使用相应功能加工处理，不要用在文本上描绘直线等绘图方式制作表格。</w:t>
            </w:r>
          </w:p>
          <w:p w14:paraId="3C568F62">
            <w:pPr>
              <w:pStyle w:val="36"/>
              <w:pageBreakBefore w:val="0"/>
              <w:numPr>
                <w:ilvl w:val="0"/>
                <w:numId w:val="15"/>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    6.</w:t>
            </w:r>
            <w:r>
              <w:rPr>
                <w:rFonts w:hint="eastAsia" w:ascii="仿宋" w:hAnsi="仿宋" w:eastAsia="仿宋" w:cs="仿宋"/>
                <w:color w:val="000000"/>
                <w:sz w:val="21"/>
                <w:szCs w:val="21"/>
              </w:rPr>
              <w:t>文本超过 10 页应插入页码；超过 15 页应插入目录。</w:t>
            </w:r>
          </w:p>
          <w:p w14:paraId="6DA2E70F">
            <w:pPr>
              <w:pStyle w:val="36"/>
              <w:pageBreakBefore w:val="0"/>
              <w:numPr>
                <w:ilvl w:val="0"/>
                <w:numId w:val="15"/>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    7.</w:t>
            </w:r>
            <w:r>
              <w:rPr>
                <w:rFonts w:hint="eastAsia" w:ascii="仿宋" w:hAnsi="仿宋" w:eastAsia="仿宋" w:cs="仿宋"/>
                <w:color w:val="000000"/>
                <w:sz w:val="21"/>
                <w:szCs w:val="21"/>
              </w:rPr>
              <w:t>正文中的图像、图形应清晰，图形要符合国家相关绘制标准。</w:t>
            </w:r>
          </w:p>
          <w:p w14:paraId="291EEA04">
            <w:pPr>
              <w:pStyle w:val="36"/>
              <w:pageBreakBefore w:val="0"/>
              <w:numPr>
                <w:ilvl w:val="0"/>
                <w:numId w:val="15"/>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kern w:val="0"/>
                <w:sz w:val="21"/>
                <w:szCs w:val="21"/>
              </w:rPr>
            </w:pPr>
            <w:r>
              <w:rPr>
                <w:rFonts w:hint="eastAsia" w:ascii="仿宋" w:hAnsi="仿宋" w:eastAsia="仿宋" w:cs="仿宋"/>
                <w:color w:val="000000"/>
                <w:sz w:val="21"/>
                <w:szCs w:val="21"/>
                <w:lang w:val="en-US" w:eastAsia="zh-CN"/>
              </w:rPr>
              <w:t xml:space="preserve">    8.</w:t>
            </w:r>
            <w:r>
              <w:rPr>
                <w:rFonts w:hint="eastAsia" w:ascii="仿宋" w:hAnsi="仿宋" w:eastAsia="仿宋" w:cs="仿宋"/>
                <w:color w:val="000000"/>
                <w:sz w:val="21"/>
                <w:szCs w:val="21"/>
              </w:rPr>
              <w:t>文本内容应忠实于原文献，完整有序，符合我国法律法规，尊重各民族风俗习惯，版权不存在争议。</w:t>
            </w:r>
          </w:p>
        </w:tc>
      </w:tr>
      <w:tr w14:paraId="25542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1" w:type="pct"/>
            <w:vMerge w:val="continue"/>
            <w:vAlign w:val="center"/>
          </w:tcPr>
          <w:p w14:paraId="4F945401">
            <w:pPr>
              <w:pageBreakBefore w:val="0"/>
              <w:widowControl/>
              <w:kinsoku/>
              <w:wordWrap/>
              <w:overflowPunct/>
              <w:topLinePunct w:val="0"/>
              <w:autoSpaceDE/>
              <w:autoSpaceDN/>
              <w:bidi w:val="0"/>
              <w:adjustRightInd/>
              <w:snapToGrid/>
              <w:spacing w:line="240" w:lineRule="auto"/>
              <w:ind w:left="0"/>
              <w:jc w:val="center"/>
              <w:rPr>
                <w:rFonts w:hint="eastAsia" w:ascii="仿宋" w:hAnsi="仿宋" w:eastAsia="仿宋" w:cs="仿宋"/>
                <w:kern w:val="0"/>
                <w:sz w:val="21"/>
                <w:szCs w:val="21"/>
              </w:rPr>
            </w:pPr>
          </w:p>
        </w:tc>
        <w:tc>
          <w:tcPr>
            <w:tcW w:w="500" w:type="pct"/>
            <w:vMerge w:val="continue"/>
            <w:vAlign w:val="center"/>
          </w:tcPr>
          <w:p w14:paraId="724442B6">
            <w:pPr>
              <w:keepNext w:val="0"/>
              <w:keepLines w:val="0"/>
              <w:pageBreakBefore w:val="0"/>
              <w:widowControl/>
              <w:suppressLineNumbers w:val="0"/>
              <w:kinsoku/>
              <w:wordWrap/>
              <w:overflowPunct/>
              <w:topLinePunct w:val="0"/>
              <w:autoSpaceDE/>
              <w:autoSpaceDN/>
              <w:bidi w:val="0"/>
              <w:adjustRightInd/>
              <w:snapToGrid/>
              <w:spacing w:line="240" w:lineRule="auto"/>
              <w:ind w:left="0"/>
              <w:jc w:val="center"/>
              <w:textAlignment w:val="center"/>
              <w:rPr>
                <w:rFonts w:hint="eastAsia" w:ascii="仿宋" w:hAnsi="仿宋" w:eastAsia="仿宋" w:cs="仿宋"/>
                <w:i w:val="0"/>
                <w:iCs w:val="0"/>
                <w:color w:val="000000"/>
                <w:kern w:val="0"/>
                <w:sz w:val="21"/>
                <w:szCs w:val="21"/>
                <w:u w:val="none"/>
                <w:lang w:val="en-US" w:eastAsia="zh-CN" w:bidi="ar"/>
              </w:rPr>
            </w:pPr>
          </w:p>
        </w:tc>
        <w:tc>
          <w:tcPr>
            <w:tcW w:w="500" w:type="pct"/>
            <w:vAlign w:val="center"/>
          </w:tcPr>
          <w:p w14:paraId="2C1E75A2">
            <w:pPr>
              <w:keepNext w:val="0"/>
              <w:keepLines w:val="0"/>
              <w:pageBreakBefore w:val="0"/>
              <w:widowControl/>
              <w:suppressLineNumbers w:val="0"/>
              <w:kinsoku/>
              <w:wordWrap/>
              <w:overflowPunct/>
              <w:topLinePunct w:val="0"/>
              <w:autoSpaceDE/>
              <w:autoSpaceDN/>
              <w:bidi w:val="0"/>
              <w:adjustRightInd/>
              <w:snapToGrid/>
              <w:spacing w:line="240" w:lineRule="auto"/>
              <w:ind w:left="0"/>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u w:val="none"/>
                <w:lang w:val="en-US" w:eastAsia="zh-CN" w:bidi="ar"/>
              </w:rPr>
              <w:t>PPT文稿</w:t>
            </w:r>
          </w:p>
        </w:tc>
        <w:tc>
          <w:tcPr>
            <w:tcW w:w="3757" w:type="pct"/>
            <w:vAlign w:val="center"/>
          </w:tcPr>
          <w:p w14:paraId="3B758141">
            <w:pPr>
              <w:pageBreakBefore w:val="0"/>
              <w:numPr>
                <w:ilvl w:val="0"/>
                <w:numId w:val="16"/>
              </w:numPr>
              <w:kinsoku/>
              <w:wordWrap/>
              <w:overflowPunct/>
              <w:topLinePunct w:val="0"/>
              <w:autoSpaceDE/>
              <w:autoSpaceDN/>
              <w:bidi w:val="0"/>
              <w:adjustRightInd/>
              <w:snapToGrid/>
              <w:spacing w:line="240" w:lineRule="auto"/>
              <w:ind w:left="0" w:leftChars="0" w:hanging="425" w:firstLineChars="0"/>
              <w:jc w:val="left"/>
              <w:outlineLvl w:val="9"/>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    1.</w:t>
            </w:r>
            <w:r>
              <w:rPr>
                <w:rFonts w:hint="eastAsia" w:ascii="仿宋" w:hAnsi="仿宋" w:eastAsia="仿宋" w:cs="仿宋"/>
                <w:color w:val="000000"/>
                <w:sz w:val="21"/>
                <w:szCs w:val="21"/>
              </w:rPr>
              <w:t>由教师根据课程大纲明确课件名称，保证与课程大纲相一致，提供教学课件初稿及配套素材</w:t>
            </w:r>
            <w:r>
              <w:rPr>
                <w:rFonts w:hint="eastAsia" w:ascii="仿宋" w:hAnsi="仿宋" w:eastAsia="仿宋" w:cs="仿宋"/>
                <w:color w:val="000000"/>
                <w:sz w:val="21"/>
                <w:szCs w:val="21"/>
                <w:lang w:eastAsia="zh-CN"/>
              </w:rPr>
              <w:t>。</w:t>
            </w:r>
          </w:p>
          <w:p w14:paraId="0C372CE5">
            <w:pPr>
              <w:pageBreakBefore w:val="0"/>
              <w:numPr>
                <w:ilvl w:val="0"/>
                <w:numId w:val="16"/>
              </w:numPr>
              <w:kinsoku/>
              <w:wordWrap/>
              <w:overflowPunct/>
              <w:topLinePunct w:val="0"/>
              <w:autoSpaceDE/>
              <w:autoSpaceDN/>
              <w:bidi w:val="0"/>
              <w:adjustRightInd/>
              <w:snapToGrid/>
              <w:spacing w:line="240" w:lineRule="auto"/>
              <w:ind w:left="0" w:leftChars="0" w:hanging="425" w:firstLineChars="0"/>
              <w:jc w:val="left"/>
              <w:outlineLvl w:val="9"/>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    2.</w:t>
            </w:r>
            <w:r>
              <w:rPr>
                <w:rFonts w:hint="eastAsia" w:ascii="仿宋" w:hAnsi="仿宋" w:eastAsia="仿宋" w:cs="仿宋"/>
                <w:color w:val="000000"/>
                <w:sz w:val="21"/>
                <w:szCs w:val="21"/>
              </w:rPr>
              <w:t>由编辑人员对素材进行审读，保证所使用的素材无版权纠纷、无敏感词汇，不涉及国家领导人肖像、国旗国徽变形、地图无审图号等问题</w:t>
            </w:r>
            <w:r>
              <w:rPr>
                <w:rFonts w:hint="eastAsia" w:ascii="仿宋" w:hAnsi="仿宋" w:eastAsia="仿宋" w:cs="仿宋"/>
                <w:color w:val="000000"/>
                <w:sz w:val="21"/>
                <w:szCs w:val="21"/>
                <w:lang w:eastAsia="zh-CN"/>
              </w:rPr>
              <w:t>。</w:t>
            </w:r>
          </w:p>
          <w:p w14:paraId="5B8948E2">
            <w:pPr>
              <w:pageBreakBefore w:val="0"/>
              <w:numPr>
                <w:ilvl w:val="0"/>
                <w:numId w:val="16"/>
              </w:numPr>
              <w:kinsoku/>
              <w:wordWrap/>
              <w:overflowPunct/>
              <w:topLinePunct w:val="0"/>
              <w:autoSpaceDE/>
              <w:autoSpaceDN/>
              <w:bidi w:val="0"/>
              <w:adjustRightInd/>
              <w:snapToGrid/>
              <w:spacing w:line="240" w:lineRule="auto"/>
              <w:ind w:left="0" w:leftChars="0" w:hanging="425" w:firstLineChars="0"/>
              <w:jc w:val="left"/>
              <w:outlineLvl w:val="9"/>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    3.</w:t>
            </w:r>
            <w:r>
              <w:rPr>
                <w:rFonts w:hint="eastAsia" w:ascii="仿宋" w:hAnsi="仿宋" w:eastAsia="仿宋" w:cs="仿宋"/>
                <w:color w:val="000000"/>
                <w:sz w:val="21"/>
                <w:szCs w:val="21"/>
              </w:rPr>
              <w:t>每讲15屏左右，每页ppt要有学校和资源库的logo图标</w:t>
            </w:r>
            <w:r>
              <w:rPr>
                <w:rFonts w:hint="eastAsia" w:ascii="仿宋" w:hAnsi="仿宋" w:eastAsia="仿宋" w:cs="仿宋"/>
                <w:color w:val="000000"/>
                <w:sz w:val="21"/>
                <w:szCs w:val="21"/>
                <w:lang w:eastAsia="zh-CN"/>
              </w:rPr>
              <w:t>。</w:t>
            </w:r>
          </w:p>
          <w:p w14:paraId="19F038A1">
            <w:pPr>
              <w:pageBreakBefore w:val="0"/>
              <w:numPr>
                <w:ilvl w:val="0"/>
                <w:numId w:val="16"/>
              </w:numPr>
              <w:kinsoku/>
              <w:wordWrap/>
              <w:overflowPunct/>
              <w:topLinePunct w:val="0"/>
              <w:autoSpaceDE/>
              <w:autoSpaceDN/>
              <w:bidi w:val="0"/>
              <w:adjustRightInd/>
              <w:snapToGrid/>
              <w:spacing w:line="240" w:lineRule="auto"/>
              <w:ind w:left="0" w:leftChars="0" w:hanging="425" w:firstLineChars="0"/>
              <w:jc w:val="left"/>
              <w:outlineLvl w:val="9"/>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    4.</w:t>
            </w:r>
            <w:r>
              <w:rPr>
                <w:rFonts w:hint="eastAsia" w:ascii="仿宋" w:hAnsi="仿宋" w:eastAsia="仿宋" w:cs="仿宋"/>
                <w:color w:val="000000"/>
                <w:sz w:val="21"/>
                <w:szCs w:val="21"/>
              </w:rPr>
              <w:t>对课件进行逐页美化，适量动画包装</w:t>
            </w:r>
            <w:r>
              <w:rPr>
                <w:rFonts w:hint="eastAsia" w:ascii="仿宋" w:hAnsi="仿宋" w:eastAsia="仿宋" w:cs="仿宋"/>
                <w:color w:val="000000"/>
                <w:sz w:val="21"/>
                <w:szCs w:val="21"/>
                <w:lang w:eastAsia="zh-CN"/>
              </w:rPr>
              <w:t>，使</w:t>
            </w:r>
            <w:r>
              <w:rPr>
                <w:rFonts w:hint="eastAsia" w:ascii="仿宋" w:hAnsi="仿宋" w:eastAsia="仿宋" w:cs="仿宋"/>
                <w:color w:val="000000"/>
                <w:sz w:val="21"/>
                <w:szCs w:val="21"/>
              </w:rPr>
              <w:t>用通用字库，图像、图形应清晰，色彩搭配合理，布局简洁、工整，文中所用计量符号应符合国家相关标准</w:t>
            </w:r>
            <w:r>
              <w:rPr>
                <w:rFonts w:hint="eastAsia" w:ascii="仿宋" w:hAnsi="仿宋" w:eastAsia="仿宋" w:cs="仿宋"/>
                <w:color w:val="000000"/>
                <w:sz w:val="21"/>
                <w:szCs w:val="21"/>
                <w:lang w:eastAsia="zh-CN"/>
              </w:rPr>
              <w:t>。</w:t>
            </w:r>
          </w:p>
          <w:p w14:paraId="6DC1B84B">
            <w:pPr>
              <w:pageBreakBefore w:val="0"/>
              <w:numPr>
                <w:ilvl w:val="0"/>
                <w:numId w:val="16"/>
              </w:numPr>
              <w:kinsoku/>
              <w:wordWrap/>
              <w:overflowPunct/>
              <w:topLinePunct w:val="0"/>
              <w:autoSpaceDE/>
              <w:autoSpaceDN/>
              <w:bidi w:val="0"/>
              <w:adjustRightInd/>
              <w:snapToGrid/>
              <w:spacing w:line="240" w:lineRule="auto"/>
              <w:ind w:left="0" w:leftChars="0" w:hanging="425" w:firstLineChars="0"/>
              <w:jc w:val="left"/>
              <w:outlineLvl w:val="9"/>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    5.</w:t>
            </w:r>
            <w:r>
              <w:rPr>
                <w:rFonts w:hint="eastAsia" w:ascii="仿宋" w:hAnsi="仿宋" w:eastAsia="仿宋" w:cs="仿宋"/>
                <w:color w:val="000000"/>
                <w:sz w:val="21"/>
                <w:szCs w:val="21"/>
              </w:rPr>
              <w:t>使用Windows系统默认字体，不使用仿宋、细圆等过细字体；文字要醒目，避免使用与背景色相近的字体颜色；如有特殊字体，应转化为图形文件</w:t>
            </w:r>
            <w:r>
              <w:rPr>
                <w:rFonts w:hint="eastAsia" w:ascii="仿宋" w:hAnsi="仿宋" w:eastAsia="仿宋" w:cs="仿宋"/>
                <w:color w:val="000000"/>
                <w:sz w:val="21"/>
                <w:szCs w:val="21"/>
                <w:lang w:eastAsia="zh-CN"/>
              </w:rPr>
              <w:t>。</w:t>
            </w:r>
          </w:p>
          <w:p w14:paraId="09AD4EC9">
            <w:pPr>
              <w:pageBreakBefore w:val="0"/>
              <w:numPr>
                <w:ilvl w:val="0"/>
                <w:numId w:val="16"/>
              </w:numPr>
              <w:kinsoku/>
              <w:wordWrap/>
              <w:overflowPunct/>
              <w:topLinePunct w:val="0"/>
              <w:autoSpaceDE/>
              <w:autoSpaceDN/>
              <w:bidi w:val="0"/>
              <w:adjustRightInd/>
              <w:snapToGrid/>
              <w:spacing w:line="240" w:lineRule="auto"/>
              <w:ind w:left="0" w:leftChars="0" w:hanging="425" w:firstLineChars="0"/>
              <w:jc w:val="left"/>
              <w:outlineLvl w:val="9"/>
              <w:rPr>
                <w:rFonts w:hint="eastAsia" w:ascii="仿宋" w:hAnsi="仿宋" w:eastAsia="仿宋" w:cs="仿宋"/>
                <w:kern w:val="0"/>
                <w:sz w:val="21"/>
                <w:szCs w:val="21"/>
              </w:rPr>
            </w:pPr>
            <w:r>
              <w:rPr>
                <w:rFonts w:hint="eastAsia" w:ascii="仿宋" w:hAnsi="仿宋" w:eastAsia="仿宋" w:cs="仿宋"/>
                <w:color w:val="000000"/>
                <w:sz w:val="21"/>
                <w:szCs w:val="21"/>
                <w:lang w:val="en-US" w:eastAsia="zh-CN"/>
              </w:rPr>
              <w:t xml:space="preserve">    6.</w:t>
            </w:r>
            <w:r>
              <w:rPr>
                <w:rFonts w:hint="eastAsia" w:ascii="仿宋" w:hAnsi="仿宋" w:eastAsia="仿宋" w:cs="仿宋"/>
                <w:color w:val="000000"/>
                <w:sz w:val="21"/>
                <w:szCs w:val="21"/>
              </w:rPr>
              <w:t>恰当使用组合：某些插图中位置相对固定的文本框、数学公式以及图片等应采用组合方式，避免产生相对位移</w:t>
            </w:r>
            <w:r>
              <w:rPr>
                <w:rFonts w:hint="eastAsia" w:ascii="仿宋" w:hAnsi="仿宋" w:eastAsia="仿宋" w:cs="仿宋"/>
                <w:color w:val="000000"/>
                <w:sz w:val="21"/>
                <w:szCs w:val="21"/>
                <w:lang w:eastAsia="zh-CN"/>
              </w:rPr>
              <w:t>。</w:t>
            </w:r>
          </w:p>
        </w:tc>
      </w:tr>
      <w:tr w14:paraId="57040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1" w:type="pct"/>
            <w:vMerge w:val="continue"/>
            <w:vAlign w:val="center"/>
          </w:tcPr>
          <w:p w14:paraId="2C943C3E">
            <w:pPr>
              <w:pageBreakBefore w:val="0"/>
              <w:widowControl/>
              <w:kinsoku/>
              <w:wordWrap/>
              <w:overflowPunct/>
              <w:topLinePunct w:val="0"/>
              <w:autoSpaceDE/>
              <w:autoSpaceDN/>
              <w:bidi w:val="0"/>
              <w:adjustRightInd/>
              <w:snapToGrid/>
              <w:spacing w:line="240" w:lineRule="auto"/>
              <w:ind w:left="0"/>
              <w:jc w:val="center"/>
              <w:rPr>
                <w:rFonts w:hint="eastAsia" w:ascii="仿宋" w:hAnsi="仿宋" w:eastAsia="仿宋" w:cs="仿宋"/>
                <w:kern w:val="0"/>
                <w:sz w:val="21"/>
                <w:szCs w:val="21"/>
              </w:rPr>
            </w:pPr>
          </w:p>
        </w:tc>
        <w:tc>
          <w:tcPr>
            <w:tcW w:w="500" w:type="pct"/>
            <w:vMerge w:val="continue"/>
            <w:vAlign w:val="center"/>
          </w:tcPr>
          <w:p w14:paraId="57E0F6EB">
            <w:pPr>
              <w:keepNext w:val="0"/>
              <w:keepLines w:val="0"/>
              <w:pageBreakBefore w:val="0"/>
              <w:widowControl/>
              <w:suppressLineNumbers w:val="0"/>
              <w:kinsoku/>
              <w:wordWrap/>
              <w:overflowPunct/>
              <w:topLinePunct w:val="0"/>
              <w:autoSpaceDE/>
              <w:autoSpaceDN/>
              <w:bidi w:val="0"/>
              <w:adjustRightInd/>
              <w:snapToGrid/>
              <w:spacing w:line="240" w:lineRule="auto"/>
              <w:ind w:left="0"/>
              <w:jc w:val="center"/>
              <w:textAlignment w:val="center"/>
              <w:rPr>
                <w:rFonts w:hint="eastAsia" w:ascii="仿宋" w:hAnsi="仿宋" w:eastAsia="仿宋" w:cs="仿宋"/>
                <w:i w:val="0"/>
                <w:iCs w:val="0"/>
                <w:color w:val="000000"/>
                <w:kern w:val="0"/>
                <w:sz w:val="21"/>
                <w:szCs w:val="21"/>
                <w:u w:val="none"/>
                <w:lang w:val="en-US" w:eastAsia="zh-CN" w:bidi="ar"/>
              </w:rPr>
            </w:pPr>
          </w:p>
        </w:tc>
        <w:tc>
          <w:tcPr>
            <w:tcW w:w="500" w:type="pct"/>
            <w:vAlign w:val="center"/>
          </w:tcPr>
          <w:p w14:paraId="29054791">
            <w:pPr>
              <w:keepNext w:val="0"/>
              <w:keepLines w:val="0"/>
              <w:pageBreakBefore w:val="0"/>
              <w:widowControl/>
              <w:suppressLineNumbers w:val="0"/>
              <w:kinsoku/>
              <w:wordWrap/>
              <w:overflowPunct/>
              <w:topLinePunct w:val="0"/>
              <w:autoSpaceDE/>
              <w:autoSpaceDN/>
              <w:bidi w:val="0"/>
              <w:adjustRightInd/>
              <w:snapToGrid/>
              <w:spacing w:line="240" w:lineRule="auto"/>
              <w:ind w:left="0"/>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u w:val="none"/>
                <w:lang w:val="en-US" w:eastAsia="zh-CN" w:bidi="ar"/>
              </w:rPr>
              <w:t>图形图像</w:t>
            </w:r>
          </w:p>
        </w:tc>
        <w:tc>
          <w:tcPr>
            <w:tcW w:w="3757" w:type="pct"/>
            <w:vAlign w:val="center"/>
          </w:tcPr>
          <w:p w14:paraId="08FE9A60">
            <w:pPr>
              <w:pageBreakBefore w:val="0"/>
              <w:numPr>
                <w:ilvl w:val="0"/>
                <w:numId w:val="17"/>
              </w:numPr>
              <w:kinsoku/>
              <w:wordWrap/>
              <w:overflowPunct/>
              <w:topLinePunct w:val="0"/>
              <w:autoSpaceDE/>
              <w:autoSpaceDN/>
              <w:bidi w:val="0"/>
              <w:adjustRightInd/>
              <w:snapToGrid/>
              <w:spacing w:line="240" w:lineRule="auto"/>
              <w:ind w:left="0" w:leftChars="0" w:hanging="425" w:firstLineChars="0"/>
              <w:jc w:val="left"/>
              <w:outlineLvl w:val="9"/>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    1.</w:t>
            </w:r>
            <w:r>
              <w:rPr>
                <w:rFonts w:hint="eastAsia" w:ascii="仿宋" w:hAnsi="仿宋" w:eastAsia="仿宋" w:cs="仿宋"/>
                <w:color w:val="000000"/>
                <w:sz w:val="21"/>
                <w:szCs w:val="21"/>
              </w:rPr>
              <w:t>知识点流程图，示意图、物体图像、工具图像等图形图像制作</w:t>
            </w:r>
            <w:r>
              <w:rPr>
                <w:rFonts w:hint="eastAsia" w:ascii="仿宋" w:hAnsi="仿宋" w:eastAsia="仿宋" w:cs="仿宋"/>
                <w:color w:val="000000"/>
                <w:sz w:val="21"/>
                <w:szCs w:val="21"/>
                <w:lang w:eastAsia="zh-CN"/>
              </w:rPr>
              <w:t>。</w:t>
            </w:r>
          </w:p>
          <w:p w14:paraId="150E7640">
            <w:pPr>
              <w:pageBreakBefore w:val="0"/>
              <w:numPr>
                <w:ilvl w:val="0"/>
                <w:numId w:val="17"/>
              </w:numPr>
              <w:kinsoku/>
              <w:wordWrap/>
              <w:overflowPunct/>
              <w:topLinePunct w:val="0"/>
              <w:autoSpaceDE/>
              <w:autoSpaceDN/>
              <w:bidi w:val="0"/>
              <w:adjustRightInd/>
              <w:snapToGrid/>
              <w:spacing w:line="240" w:lineRule="auto"/>
              <w:ind w:left="0" w:leftChars="0" w:hanging="425" w:firstLineChars="0"/>
              <w:jc w:val="left"/>
              <w:outlineLvl w:val="9"/>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    2.</w:t>
            </w:r>
            <w:r>
              <w:rPr>
                <w:rFonts w:hint="eastAsia" w:ascii="仿宋" w:hAnsi="仿宋" w:eastAsia="仿宋" w:cs="仿宋"/>
                <w:color w:val="000000"/>
                <w:sz w:val="21"/>
                <w:szCs w:val="21"/>
              </w:rPr>
              <w:t>文件格式：*.jpg、*.png、*.dwg、*.wmf、*.gif</w:t>
            </w:r>
            <w:r>
              <w:rPr>
                <w:rFonts w:hint="eastAsia" w:ascii="仿宋" w:hAnsi="仿宋" w:eastAsia="仿宋" w:cs="仿宋"/>
                <w:color w:val="000000"/>
                <w:sz w:val="21"/>
                <w:szCs w:val="21"/>
                <w:lang w:eastAsia="zh-CN"/>
              </w:rPr>
              <w:t>。</w:t>
            </w:r>
          </w:p>
          <w:p w14:paraId="36402F96">
            <w:pPr>
              <w:pageBreakBefore w:val="0"/>
              <w:numPr>
                <w:ilvl w:val="0"/>
                <w:numId w:val="17"/>
              </w:numPr>
              <w:kinsoku/>
              <w:wordWrap/>
              <w:overflowPunct/>
              <w:topLinePunct w:val="0"/>
              <w:autoSpaceDE/>
              <w:autoSpaceDN/>
              <w:bidi w:val="0"/>
              <w:adjustRightInd/>
              <w:snapToGrid/>
              <w:spacing w:line="240" w:lineRule="auto"/>
              <w:ind w:left="0" w:leftChars="0" w:hanging="425" w:firstLineChars="0"/>
              <w:jc w:val="left"/>
              <w:outlineLvl w:val="9"/>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    3.</w:t>
            </w:r>
            <w:r>
              <w:rPr>
                <w:rFonts w:hint="eastAsia" w:ascii="仿宋" w:hAnsi="仿宋" w:eastAsia="仿宋" w:cs="仿宋"/>
                <w:color w:val="000000"/>
                <w:sz w:val="21"/>
                <w:szCs w:val="21"/>
              </w:rPr>
              <w:t>分辨率：屏幕分辨率不低于1024×768。</w:t>
            </w:r>
          </w:p>
          <w:p w14:paraId="72287482">
            <w:pPr>
              <w:pageBreakBefore w:val="0"/>
              <w:numPr>
                <w:ilvl w:val="0"/>
                <w:numId w:val="17"/>
              </w:numPr>
              <w:kinsoku/>
              <w:wordWrap/>
              <w:overflowPunct/>
              <w:topLinePunct w:val="0"/>
              <w:autoSpaceDE/>
              <w:autoSpaceDN/>
              <w:bidi w:val="0"/>
              <w:adjustRightInd/>
              <w:snapToGrid/>
              <w:spacing w:line="240" w:lineRule="auto"/>
              <w:ind w:left="0" w:leftChars="0" w:hanging="425" w:firstLineChars="0"/>
              <w:jc w:val="left"/>
              <w:outlineLvl w:val="9"/>
              <w:rPr>
                <w:rFonts w:hint="eastAsia" w:ascii="仿宋" w:hAnsi="仿宋" w:eastAsia="仿宋" w:cs="仿宋"/>
                <w:kern w:val="0"/>
                <w:sz w:val="21"/>
                <w:szCs w:val="21"/>
              </w:rPr>
            </w:pPr>
            <w:r>
              <w:rPr>
                <w:rFonts w:hint="eastAsia" w:ascii="仿宋" w:hAnsi="仿宋" w:eastAsia="仿宋" w:cs="仿宋"/>
                <w:color w:val="000000"/>
                <w:sz w:val="21"/>
                <w:szCs w:val="21"/>
                <w:lang w:val="en-US" w:eastAsia="zh-CN"/>
              </w:rPr>
              <w:t xml:space="preserve">    4.</w:t>
            </w:r>
            <w:r>
              <w:rPr>
                <w:rFonts w:hint="eastAsia" w:ascii="仿宋" w:hAnsi="仿宋" w:eastAsia="仿宋" w:cs="仿宋"/>
                <w:color w:val="000000"/>
                <w:sz w:val="21"/>
                <w:szCs w:val="21"/>
              </w:rPr>
              <w:t>内容要求：图形/图像内容符合我国法律法规，尊重各民族的风俗习惯，版权不存在争议</w:t>
            </w:r>
            <w:r>
              <w:rPr>
                <w:rFonts w:hint="eastAsia" w:ascii="仿宋" w:hAnsi="仿宋" w:eastAsia="仿宋" w:cs="仿宋"/>
                <w:color w:val="000000"/>
                <w:sz w:val="21"/>
                <w:szCs w:val="21"/>
                <w:lang w:eastAsia="zh-CN"/>
              </w:rPr>
              <w:t>。</w:t>
            </w:r>
          </w:p>
        </w:tc>
      </w:tr>
      <w:tr w14:paraId="3A2FF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1" w:type="pct"/>
            <w:vMerge w:val="continue"/>
            <w:vAlign w:val="center"/>
          </w:tcPr>
          <w:p w14:paraId="64F67AC2">
            <w:pPr>
              <w:pageBreakBefore w:val="0"/>
              <w:widowControl/>
              <w:kinsoku/>
              <w:wordWrap/>
              <w:overflowPunct/>
              <w:topLinePunct w:val="0"/>
              <w:autoSpaceDE/>
              <w:autoSpaceDN/>
              <w:bidi w:val="0"/>
              <w:adjustRightInd/>
              <w:snapToGrid/>
              <w:spacing w:line="240" w:lineRule="auto"/>
              <w:ind w:left="0"/>
              <w:jc w:val="center"/>
              <w:rPr>
                <w:rFonts w:hint="eastAsia" w:ascii="仿宋" w:hAnsi="仿宋" w:eastAsia="仿宋" w:cs="仿宋"/>
                <w:kern w:val="0"/>
                <w:sz w:val="21"/>
                <w:szCs w:val="21"/>
              </w:rPr>
            </w:pPr>
          </w:p>
        </w:tc>
        <w:tc>
          <w:tcPr>
            <w:tcW w:w="500" w:type="pct"/>
            <w:vMerge w:val="continue"/>
            <w:vAlign w:val="center"/>
          </w:tcPr>
          <w:p w14:paraId="7401A559">
            <w:pPr>
              <w:keepNext w:val="0"/>
              <w:keepLines w:val="0"/>
              <w:pageBreakBefore w:val="0"/>
              <w:widowControl/>
              <w:suppressLineNumbers w:val="0"/>
              <w:kinsoku/>
              <w:wordWrap/>
              <w:overflowPunct/>
              <w:topLinePunct w:val="0"/>
              <w:autoSpaceDE/>
              <w:autoSpaceDN/>
              <w:bidi w:val="0"/>
              <w:adjustRightInd/>
              <w:snapToGrid/>
              <w:spacing w:line="240" w:lineRule="auto"/>
              <w:ind w:left="0"/>
              <w:jc w:val="center"/>
              <w:textAlignment w:val="center"/>
              <w:rPr>
                <w:rFonts w:hint="eastAsia" w:ascii="仿宋" w:hAnsi="仿宋" w:eastAsia="仿宋" w:cs="仿宋"/>
                <w:i w:val="0"/>
                <w:iCs w:val="0"/>
                <w:color w:val="000000"/>
                <w:kern w:val="0"/>
                <w:sz w:val="21"/>
                <w:szCs w:val="21"/>
                <w:u w:val="none"/>
                <w:lang w:val="en-US" w:eastAsia="zh-CN" w:bidi="ar"/>
              </w:rPr>
            </w:pPr>
          </w:p>
        </w:tc>
        <w:tc>
          <w:tcPr>
            <w:tcW w:w="500" w:type="pct"/>
            <w:vAlign w:val="center"/>
          </w:tcPr>
          <w:p w14:paraId="0FA003CD">
            <w:pPr>
              <w:keepNext w:val="0"/>
              <w:keepLines w:val="0"/>
              <w:pageBreakBefore w:val="0"/>
              <w:widowControl/>
              <w:suppressLineNumbers w:val="0"/>
              <w:kinsoku/>
              <w:wordWrap/>
              <w:overflowPunct/>
              <w:topLinePunct w:val="0"/>
              <w:autoSpaceDE/>
              <w:autoSpaceDN/>
              <w:bidi w:val="0"/>
              <w:adjustRightInd/>
              <w:snapToGrid/>
              <w:spacing w:line="240" w:lineRule="auto"/>
              <w:ind w:left="0"/>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u w:val="none"/>
                <w:lang w:val="en-US" w:eastAsia="zh-CN" w:bidi="ar"/>
              </w:rPr>
              <w:t>音频</w:t>
            </w:r>
          </w:p>
        </w:tc>
        <w:tc>
          <w:tcPr>
            <w:tcW w:w="3757" w:type="pct"/>
            <w:vAlign w:val="center"/>
          </w:tcPr>
          <w:p w14:paraId="0CD5DF64">
            <w:pPr>
              <w:pageBreakBefore w:val="0"/>
              <w:numPr>
                <w:ilvl w:val="0"/>
                <w:numId w:val="0"/>
              </w:numPr>
              <w:kinsoku/>
              <w:wordWrap/>
              <w:overflowPunct/>
              <w:topLinePunct w:val="0"/>
              <w:autoSpaceDE/>
              <w:autoSpaceDN/>
              <w:bidi w:val="0"/>
              <w:adjustRightInd/>
              <w:snapToGrid/>
              <w:spacing w:line="240" w:lineRule="auto"/>
              <w:ind w:firstLine="420" w:firstLineChars="200"/>
              <w:jc w:val="left"/>
              <w:rPr>
                <w:rFonts w:hint="eastAsia" w:ascii="仿宋" w:hAnsi="仿宋" w:eastAsia="仿宋" w:cs="仿宋"/>
                <w:sz w:val="21"/>
                <w:szCs w:val="21"/>
                <w:lang w:val="en-US" w:eastAsia="zh-CN"/>
              </w:rPr>
            </w:pPr>
            <w:r>
              <w:rPr>
                <w:rFonts w:hint="eastAsia" w:ascii="仿宋" w:hAnsi="仿宋" w:eastAsia="仿宋" w:cs="仿宋"/>
                <w:kern w:val="2"/>
                <w:sz w:val="21"/>
                <w:szCs w:val="21"/>
                <w:lang w:val="en-US" w:eastAsia="zh-CN" w:bidi="ar-SA"/>
              </w:rPr>
              <w:t>1.</w:t>
            </w:r>
            <w:r>
              <w:rPr>
                <w:rFonts w:hint="eastAsia" w:ascii="仿宋" w:hAnsi="仿宋" w:eastAsia="仿宋" w:cs="仿宋"/>
                <w:sz w:val="21"/>
                <w:szCs w:val="21"/>
                <w:lang w:val="en-US" w:eastAsia="zh-CN"/>
              </w:rPr>
              <w:t>使用专业级话筒及音频处理设备，保证录音质量。</w:t>
            </w:r>
          </w:p>
          <w:p w14:paraId="18374248">
            <w:pPr>
              <w:pageBreakBefore w:val="0"/>
              <w:numPr>
                <w:ilvl w:val="0"/>
                <w:numId w:val="0"/>
              </w:numPr>
              <w:kinsoku/>
              <w:wordWrap/>
              <w:overflowPunct/>
              <w:topLinePunct w:val="0"/>
              <w:autoSpaceDE/>
              <w:autoSpaceDN/>
              <w:bidi w:val="0"/>
              <w:adjustRightInd/>
              <w:snapToGrid/>
              <w:spacing w:line="240" w:lineRule="auto"/>
              <w:ind w:firstLine="420" w:firstLineChars="200"/>
              <w:jc w:val="left"/>
              <w:rPr>
                <w:rFonts w:hint="eastAsia" w:ascii="仿宋" w:hAnsi="仿宋" w:eastAsia="仿宋" w:cs="仿宋"/>
                <w:kern w:val="0"/>
                <w:sz w:val="21"/>
                <w:szCs w:val="21"/>
              </w:rPr>
            </w:pPr>
            <w:r>
              <w:rPr>
                <w:rFonts w:hint="eastAsia" w:ascii="仿宋" w:hAnsi="仿宋" w:eastAsia="仿宋" w:cs="仿宋"/>
                <w:kern w:val="0"/>
                <w:sz w:val="21"/>
                <w:szCs w:val="21"/>
                <w:lang w:val="en-US" w:eastAsia="zh-CN" w:bidi="ar-SA"/>
              </w:rPr>
              <w:t>2.</w:t>
            </w:r>
            <w:r>
              <w:rPr>
                <w:rFonts w:hint="eastAsia" w:ascii="仿宋" w:hAnsi="仿宋" w:eastAsia="仿宋" w:cs="仿宋"/>
                <w:sz w:val="21"/>
                <w:szCs w:val="21"/>
                <w:lang w:val="en-US" w:eastAsia="zh-CN"/>
              </w:rPr>
              <w:t>无交流声或其他杂音等缺陷。</w:t>
            </w:r>
          </w:p>
          <w:p w14:paraId="76BAC875">
            <w:pPr>
              <w:pageBreakBefore w:val="0"/>
              <w:numPr>
                <w:ilvl w:val="0"/>
                <w:numId w:val="0"/>
              </w:numPr>
              <w:kinsoku/>
              <w:wordWrap/>
              <w:overflowPunct/>
              <w:topLinePunct w:val="0"/>
              <w:autoSpaceDE/>
              <w:autoSpaceDN/>
              <w:bidi w:val="0"/>
              <w:adjustRightInd/>
              <w:snapToGrid/>
              <w:spacing w:line="240" w:lineRule="auto"/>
              <w:ind w:firstLine="420" w:firstLineChars="200"/>
              <w:jc w:val="left"/>
              <w:rPr>
                <w:rFonts w:hint="eastAsia" w:ascii="仿宋" w:hAnsi="仿宋" w:eastAsia="仿宋" w:cs="仿宋"/>
                <w:kern w:val="0"/>
                <w:sz w:val="21"/>
                <w:szCs w:val="21"/>
              </w:rPr>
            </w:pPr>
            <w:r>
              <w:rPr>
                <w:rFonts w:hint="eastAsia" w:ascii="仿宋" w:hAnsi="仿宋" w:eastAsia="仿宋" w:cs="仿宋"/>
                <w:kern w:val="0"/>
                <w:sz w:val="21"/>
                <w:szCs w:val="21"/>
                <w:lang w:val="en-US" w:eastAsia="zh-CN" w:bidi="ar-SA"/>
              </w:rPr>
              <w:t>3.</w:t>
            </w:r>
            <w:r>
              <w:rPr>
                <w:rFonts w:hint="eastAsia" w:ascii="仿宋" w:hAnsi="仿宋" w:eastAsia="仿宋" w:cs="仿宋"/>
                <w:sz w:val="21"/>
                <w:szCs w:val="21"/>
                <w:lang w:val="en-US" w:eastAsia="zh-CN"/>
              </w:rPr>
              <w:t>声音清晰，无杂音，无干扰，无破音和电流音。伴</w:t>
            </w:r>
          </w:p>
          <w:p w14:paraId="1F164777">
            <w:pPr>
              <w:pageBreakBefore w:val="0"/>
              <w:numPr>
                <w:ilvl w:val="0"/>
                <w:numId w:val="0"/>
              </w:numPr>
              <w:kinsoku/>
              <w:wordWrap/>
              <w:overflowPunct/>
              <w:topLinePunct w:val="0"/>
              <w:autoSpaceDE/>
              <w:autoSpaceDN/>
              <w:bidi w:val="0"/>
              <w:adjustRightInd/>
              <w:snapToGrid/>
              <w:spacing w:line="240" w:lineRule="auto"/>
              <w:ind w:firstLine="420" w:firstLineChars="200"/>
              <w:jc w:val="left"/>
              <w:rPr>
                <w:rFonts w:hint="eastAsia" w:ascii="仿宋" w:hAnsi="仿宋" w:eastAsia="仿宋" w:cs="仿宋"/>
                <w:kern w:val="0"/>
                <w:sz w:val="21"/>
                <w:szCs w:val="21"/>
              </w:rPr>
            </w:pPr>
            <w:r>
              <w:rPr>
                <w:rFonts w:hint="eastAsia" w:ascii="仿宋" w:hAnsi="仿宋" w:eastAsia="仿宋" w:cs="仿宋"/>
                <w:kern w:val="0"/>
                <w:sz w:val="21"/>
                <w:szCs w:val="21"/>
                <w:lang w:val="en-US" w:eastAsia="zh-CN" w:bidi="ar-SA"/>
              </w:rPr>
              <w:t>4.</w:t>
            </w:r>
            <w:r>
              <w:rPr>
                <w:rFonts w:hint="eastAsia" w:ascii="仿宋" w:hAnsi="仿宋" w:eastAsia="仿宋" w:cs="仿宋"/>
                <w:sz w:val="21"/>
                <w:szCs w:val="21"/>
                <w:lang w:val="en-US" w:eastAsia="zh-CN"/>
              </w:rPr>
              <w:t>音清晰、饱满、圆润，无失真、无噪声杂音干扰、无音量忽大忽小现象。</w:t>
            </w:r>
          </w:p>
          <w:p w14:paraId="39E264BD">
            <w:pPr>
              <w:pageBreakBefore w:val="0"/>
              <w:numPr>
                <w:ilvl w:val="0"/>
                <w:numId w:val="0"/>
              </w:numPr>
              <w:kinsoku/>
              <w:wordWrap/>
              <w:overflowPunct/>
              <w:topLinePunct w:val="0"/>
              <w:autoSpaceDE/>
              <w:autoSpaceDN/>
              <w:bidi w:val="0"/>
              <w:adjustRightInd/>
              <w:snapToGrid/>
              <w:spacing w:line="240" w:lineRule="auto"/>
              <w:ind w:firstLine="420" w:firstLineChars="200"/>
              <w:jc w:val="left"/>
              <w:rPr>
                <w:rFonts w:hint="eastAsia" w:ascii="仿宋" w:hAnsi="仿宋" w:eastAsia="仿宋" w:cs="仿宋"/>
                <w:kern w:val="0"/>
                <w:sz w:val="21"/>
                <w:szCs w:val="21"/>
              </w:rPr>
            </w:pPr>
            <w:r>
              <w:rPr>
                <w:rFonts w:hint="eastAsia" w:ascii="仿宋" w:hAnsi="仿宋" w:eastAsia="仿宋" w:cs="仿宋"/>
                <w:kern w:val="0"/>
                <w:sz w:val="21"/>
                <w:szCs w:val="21"/>
                <w:lang w:val="en-US" w:eastAsia="zh-CN" w:bidi="ar-SA"/>
              </w:rPr>
              <w:t>5.</w:t>
            </w:r>
            <w:r>
              <w:rPr>
                <w:rFonts w:hint="eastAsia" w:ascii="仿宋" w:hAnsi="仿宋" w:eastAsia="仿宋" w:cs="仿宋"/>
                <w:sz w:val="21"/>
                <w:szCs w:val="21"/>
                <w:lang w:val="en-US" w:eastAsia="zh-CN"/>
              </w:rPr>
              <w:t>解说声与现场声无明显比例失调，解说声与背景音乐无明显比例失调。</w:t>
            </w:r>
          </w:p>
        </w:tc>
      </w:tr>
      <w:tr w14:paraId="2989E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1" w:type="pct"/>
            <w:vMerge w:val="continue"/>
            <w:vAlign w:val="center"/>
          </w:tcPr>
          <w:p w14:paraId="73094817">
            <w:pPr>
              <w:pageBreakBefore w:val="0"/>
              <w:widowControl/>
              <w:kinsoku/>
              <w:wordWrap/>
              <w:overflowPunct/>
              <w:topLinePunct w:val="0"/>
              <w:autoSpaceDE/>
              <w:autoSpaceDN/>
              <w:bidi w:val="0"/>
              <w:adjustRightInd/>
              <w:snapToGrid/>
              <w:spacing w:line="240" w:lineRule="auto"/>
              <w:ind w:left="0"/>
              <w:jc w:val="center"/>
              <w:rPr>
                <w:rFonts w:hint="eastAsia" w:ascii="仿宋" w:hAnsi="仿宋" w:eastAsia="仿宋" w:cs="仿宋"/>
                <w:kern w:val="0"/>
                <w:sz w:val="21"/>
                <w:szCs w:val="21"/>
              </w:rPr>
            </w:pPr>
          </w:p>
        </w:tc>
        <w:tc>
          <w:tcPr>
            <w:tcW w:w="500" w:type="pct"/>
            <w:vMerge w:val="continue"/>
            <w:vAlign w:val="center"/>
          </w:tcPr>
          <w:p w14:paraId="7F11DD48">
            <w:pPr>
              <w:keepNext w:val="0"/>
              <w:keepLines w:val="0"/>
              <w:pageBreakBefore w:val="0"/>
              <w:widowControl/>
              <w:suppressLineNumbers w:val="0"/>
              <w:kinsoku/>
              <w:wordWrap/>
              <w:overflowPunct/>
              <w:topLinePunct w:val="0"/>
              <w:autoSpaceDE/>
              <w:autoSpaceDN/>
              <w:bidi w:val="0"/>
              <w:adjustRightInd/>
              <w:snapToGrid/>
              <w:spacing w:line="240" w:lineRule="auto"/>
              <w:ind w:left="0"/>
              <w:jc w:val="center"/>
              <w:textAlignment w:val="center"/>
              <w:rPr>
                <w:rFonts w:hint="eastAsia" w:ascii="仿宋" w:hAnsi="仿宋" w:eastAsia="仿宋" w:cs="仿宋"/>
                <w:i w:val="0"/>
                <w:iCs w:val="0"/>
                <w:color w:val="000000"/>
                <w:kern w:val="0"/>
                <w:sz w:val="21"/>
                <w:szCs w:val="21"/>
                <w:u w:val="none"/>
                <w:lang w:val="en-US" w:eastAsia="zh-CN" w:bidi="ar"/>
              </w:rPr>
            </w:pPr>
          </w:p>
        </w:tc>
        <w:tc>
          <w:tcPr>
            <w:tcW w:w="500" w:type="pct"/>
            <w:vAlign w:val="center"/>
          </w:tcPr>
          <w:p w14:paraId="151811FF">
            <w:pPr>
              <w:keepNext w:val="0"/>
              <w:keepLines w:val="0"/>
              <w:pageBreakBefore w:val="0"/>
              <w:widowControl/>
              <w:suppressLineNumbers w:val="0"/>
              <w:kinsoku/>
              <w:wordWrap/>
              <w:overflowPunct/>
              <w:topLinePunct w:val="0"/>
              <w:autoSpaceDE/>
              <w:autoSpaceDN/>
              <w:bidi w:val="0"/>
              <w:adjustRightInd/>
              <w:snapToGrid/>
              <w:spacing w:line="240" w:lineRule="auto"/>
              <w:ind w:left="0"/>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u w:val="none"/>
                <w:lang w:val="en-US" w:eastAsia="zh-CN" w:bidi="ar"/>
              </w:rPr>
              <w:t>技能（实操）视频</w:t>
            </w:r>
          </w:p>
        </w:tc>
        <w:tc>
          <w:tcPr>
            <w:tcW w:w="3757" w:type="pct"/>
            <w:vAlign w:val="center"/>
          </w:tcPr>
          <w:p w14:paraId="14ED17B1">
            <w:pPr>
              <w:pageBreakBefore w:val="0"/>
              <w:kinsoku/>
              <w:wordWrap/>
              <w:overflowPunct/>
              <w:topLinePunct w:val="0"/>
              <w:autoSpaceDE/>
              <w:autoSpaceDN/>
              <w:bidi w:val="0"/>
              <w:adjustRightInd/>
              <w:snapToGrid/>
              <w:spacing w:line="240" w:lineRule="auto"/>
              <w:ind w:left="0" w:firstLine="420" w:firstLineChars="200"/>
              <w:jc w:val="left"/>
              <w:rPr>
                <w:rFonts w:hint="eastAsia" w:ascii="仿宋" w:hAnsi="仿宋" w:eastAsia="仿宋" w:cs="仿宋"/>
                <w:kern w:val="0"/>
                <w:sz w:val="21"/>
                <w:szCs w:val="21"/>
                <w:lang w:val="en-US"/>
              </w:rPr>
            </w:pPr>
            <w:r>
              <w:rPr>
                <w:rFonts w:hint="eastAsia" w:ascii="仿宋" w:hAnsi="仿宋" w:eastAsia="仿宋" w:cs="仿宋"/>
                <w:sz w:val="21"/>
                <w:szCs w:val="21"/>
              </w:rPr>
              <w:t>根据教学任务进行技能（实操）视频开发制作，呈现碎片化学习内容，每个时长3</w:t>
            </w:r>
            <w:r>
              <w:rPr>
                <w:rFonts w:hint="eastAsia" w:ascii="仿宋" w:hAnsi="仿宋" w:eastAsia="仿宋" w:cs="仿宋"/>
                <w:sz w:val="21"/>
                <w:szCs w:val="21"/>
                <w:lang w:eastAsia="zh-CN"/>
              </w:rPr>
              <w:t>—</w:t>
            </w:r>
            <w:r>
              <w:rPr>
                <w:rFonts w:hint="eastAsia" w:ascii="仿宋" w:hAnsi="仿宋" w:eastAsia="仿宋" w:cs="仿宋"/>
                <w:sz w:val="21"/>
                <w:szCs w:val="21"/>
              </w:rPr>
              <w:t>5分钟，表现形式为拍摄式课程或动画式课程</w:t>
            </w:r>
            <w:r>
              <w:rPr>
                <w:rFonts w:hint="eastAsia" w:ascii="仿宋" w:hAnsi="仿宋" w:eastAsia="仿宋" w:cs="仿宋"/>
                <w:sz w:val="21"/>
                <w:szCs w:val="21"/>
                <w:lang w:eastAsia="zh-CN"/>
              </w:rPr>
              <w:t>，</w:t>
            </w:r>
            <w:r>
              <w:rPr>
                <w:rFonts w:hint="eastAsia" w:ascii="仿宋" w:hAnsi="仿宋" w:eastAsia="仿宋" w:cs="仿宋"/>
                <w:sz w:val="21"/>
                <w:szCs w:val="21"/>
              </w:rPr>
              <w:t>动画色彩造型应和谐，画面简洁清晰，满足教学内容的要求，拍摄时采用高清拍摄</w:t>
            </w:r>
            <w:r>
              <w:rPr>
                <w:rFonts w:hint="eastAsia" w:ascii="仿宋" w:hAnsi="仿宋" w:eastAsia="仿宋" w:cs="仿宋"/>
                <w:sz w:val="21"/>
                <w:szCs w:val="21"/>
                <w:lang w:eastAsia="zh-CN"/>
              </w:rPr>
              <w:t>，</w:t>
            </w:r>
            <w:r>
              <w:rPr>
                <w:rFonts w:hint="eastAsia" w:ascii="仿宋" w:hAnsi="仿宋" w:eastAsia="仿宋" w:cs="仿宋"/>
                <w:sz w:val="21"/>
                <w:szCs w:val="21"/>
              </w:rPr>
              <w:t>画质清晰、声音无杂质，视频内容符合我国法律法规，尊重各民族的风俗习惯。实操视频由于知识点的不同，时长过短或者过长，可合并累计时长后，建设数量以5分钟一个来进行数量核算。</w:t>
            </w:r>
          </w:p>
        </w:tc>
      </w:tr>
      <w:tr w14:paraId="6ABE9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1" w:type="pct"/>
            <w:vMerge w:val="continue"/>
            <w:vAlign w:val="center"/>
          </w:tcPr>
          <w:p w14:paraId="59C702F0">
            <w:pPr>
              <w:pageBreakBefore w:val="0"/>
              <w:widowControl/>
              <w:kinsoku/>
              <w:wordWrap/>
              <w:overflowPunct/>
              <w:topLinePunct w:val="0"/>
              <w:autoSpaceDE/>
              <w:autoSpaceDN/>
              <w:bidi w:val="0"/>
              <w:adjustRightInd/>
              <w:snapToGrid/>
              <w:spacing w:line="240" w:lineRule="auto"/>
              <w:ind w:left="0"/>
              <w:jc w:val="center"/>
              <w:rPr>
                <w:rFonts w:hint="eastAsia" w:ascii="仿宋" w:hAnsi="仿宋" w:eastAsia="仿宋" w:cs="仿宋"/>
                <w:kern w:val="0"/>
                <w:sz w:val="21"/>
                <w:szCs w:val="21"/>
              </w:rPr>
            </w:pPr>
          </w:p>
        </w:tc>
        <w:tc>
          <w:tcPr>
            <w:tcW w:w="500" w:type="pct"/>
            <w:vMerge w:val="continue"/>
            <w:vAlign w:val="center"/>
          </w:tcPr>
          <w:p w14:paraId="5BB80E9E">
            <w:pPr>
              <w:keepNext w:val="0"/>
              <w:keepLines w:val="0"/>
              <w:pageBreakBefore w:val="0"/>
              <w:widowControl/>
              <w:suppressLineNumbers w:val="0"/>
              <w:kinsoku/>
              <w:wordWrap/>
              <w:overflowPunct/>
              <w:topLinePunct w:val="0"/>
              <w:autoSpaceDE/>
              <w:autoSpaceDN/>
              <w:bidi w:val="0"/>
              <w:adjustRightInd/>
              <w:snapToGrid/>
              <w:spacing w:line="240" w:lineRule="auto"/>
              <w:ind w:left="0"/>
              <w:jc w:val="center"/>
              <w:textAlignment w:val="center"/>
              <w:rPr>
                <w:rFonts w:hint="eastAsia" w:ascii="仿宋" w:hAnsi="仿宋" w:eastAsia="仿宋" w:cs="仿宋"/>
                <w:i w:val="0"/>
                <w:iCs w:val="0"/>
                <w:color w:val="000000"/>
                <w:kern w:val="0"/>
                <w:sz w:val="21"/>
                <w:szCs w:val="21"/>
                <w:u w:val="none"/>
                <w:lang w:val="en-US" w:eastAsia="zh-CN" w:bidi="ar"/>
              </w:rPr>
            </w:pPr>
          </w:p>
        </w:tc>
        <w:tc>
          <w:tcPr>
            <w:tcW w:w="500" w:type="pct"/>
            <w:vAlign w:val="center"/>
          </w:tcPr>
          <w:p w14:paraId="6AD5E873">
            <w:pPr>
              <w:keepNext w:val="0"/>
              <w:keepLines w:val="0"/>
              <w:pageBreakBefore w:val="0"/>
              <w:widowControl/>
              <w:suppressLineNumbers w:val="0"/>
              <w:kinsoku/>
              <w:wordWrap/>
              <w:overflowPunct/>
              <w:topLinePunct w:val="0"/>
              <w:autoSpaceDE/>
              <w:autoSpaceDN/>
              <w:bidi w:val="0"/>
              <w:adjustRightInd/>
              <w:snapToGrid/>
              <w:spacing w:line="240" w:lineRule="auto"/>
              <w:ind w:left="0"/>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u w:val="none"/>
                <w:lang w:val="en-US" w:eastAsia="zh-CN" w:bidi="ar"/>
              </w:rPr>
              <w:t>微课</w:t>
            </w:r>
          </w:p>
        </w:tc>
        <w:tc>
          <w:tcPr>
            <w:tcW w:w="3757" w:type="pct"/>
            <w:vAlign w:val="center"/>
          </w:tcPr>
          <w:p w14:paraId="3ABF47D4">
            <w:pPr>
              <w:pageBreakBefore w:val="0"/>
              <w:kinsoku/>
              <w:wordWrap/>
              <w:overflowPunct/>
              <w:topLinePunct w:val="0"/>
              <w:autoSpaceDE/>
              <w:autoSpaceDN/>
              <w:bidi w:val="0"/>
              <w:adjustRightInd/>
              <w:snapToGrid/>
              <w:spacing w:line="240" w:lineRule="auto"/>
              <w:ind w:left="0" w:firstLine="420" w:firstLineChars="200"/>
              <w:jc w:val="left"/>
              <w:rPr>
                <w:rFonts w:hint="eastAsia" w:ascii="仿宋" w:hAnsi="仿宋" w:eastAsia="仿宋" w:cs="仿宋"/>
                <w:kern w:val="0"/>
                <w:sz w:val="21"/>
                <w:szCs w:val="21"/>
              </w:rPr>
            </w:pPr>
            <w:r>
              <w:rPr>
                <w:rFonts w:hint="eastAsia" w:ascii="仿宋" w:hAnsi="仿宋" w:eastAsia="仿宋" w:cs="仿宋"/>
                <w:sz w:val="21"/>
                <w:szCs w:val="21"/>
              </w:rPr>
              <w:t>根据教学知识点需要定制开发制作，达到1080P高清画质，均采用优化实景拍摄</w:t>
            </w:r>
            <w:r>
              <w:rPr>
                <w:rFonts w:hint="eastAsia" w:ascii="仿宋" w:hAnsi="仿宋" w:eastAsia="仿宋" w:cs="仿宋"/>
                <w:sz w:val="21"/>
                <w:szCs w:val="21"/>
                <w:lang w:eastAsia="zh-CN"/>
              </w:rPr>
              <w:t>，或者</w:t>
            </w:r>
            <w:r>
              <w:rPr>
                <w:rFonts w:hint="eastAsia" w:ascii="仿宋" w:hAnsi="仿宋" w:eastAsia="仿宋" w:cs="仿宋"/>
                <w:sz w:val="21"/>
                <w:szCs w:val="21"/>
              </w:rPr>
              <w:t>虚拟抠像等拍摄手段。重难点部分配浮动字幕特效。单个视频以知识点为单位，数量核算依据时长，每个约5</w:t>
            </w:r>
            <w:r>
              <w:rPr>
                <w:rFonts w:hint="eastAsia" w:ascii="仿宋" w:hAnsi="仿宋" w:eastAsia="仿宋" w:cs="仿宋"/>
                <w:sz w:val="21"/>
                <w:szCs w:val="21"/>
                <w:lang w:eastAsia="zh-CN"/>
              </w:rPr>
              <w:t>—</w:t>
            </w:r>
            <w:r>
              <w:rPr>
                <w:rFonts w:hint="eastAsia" w:ascii="仿宋" w:hAnsi="仿宋" w:eastAsia="仿宋" w:cs="仿宋"/>
                <w:sz w:val="21"/>
                <w:szCs w:val="21"/>
              </w:rPr>
              <w:t>10分钟左右，时长过短或者过长，可合并累计时长后，按照每10分钟左右一个进行数量核算；微课内容符合我国法律法规，尊重各民族的风俗习惯。</w:t>
            </w:r>
          </w:p>
        </w:tc>
      </w:tr>
      <w:tr w14:paraId="43D8F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1" w:type="pct"/>
            <w:vMerge w:val="continue"/>
            <w:vAlign w:val="center"/>
          </w:tcPr>
          <w:p w14:paraId="31B69162">
            <w:pPr>
              <w:pageBreakBefore w:val="0"/>
              <w:widowControl/>
              <w:kinsoku/>
              <w:wordWrap/>
              <w:overflowPunct/>
              <w:topLinePunct w:val="0"/>
              <w:autoSpaceDE/>
              <w:autoSpaceDN/>
              <w:bidi w:val="0"/>
              <w:adjustRightInd/>
              <w:snapToGrid/>
              <w:spacing w:line="240" w:lineRule="auto"/>
              <w:ind w:left="0"/>
              <w:jc w:val="center"/>
              <w:rPr>
                <w:rFonts w:hint="eastAsia" w:ascii="仿宋" w:hAnsi="仿宋" w:eastAsia="仿宋" w:cs="仿宋"/>
                <w:kern w:val="0"/>
                <w:sz w:val="21"/>
                <w:szCs w:val="21"/>
              </w:rPr>
            </w:pPr>
          </w:p>
        </w:tc>
        <w:tc>
          <w:tcPr>
            <w:tcW w:w="500" w:type="pct"/>
            <w:vMerge w:val="continue"/>
            <w:vAlign w:val="center"/>
          </w:tcPr>
          <w:p w14:paraId="5069A6C1">
            <w:pPr>
              <w:keepNext w:val="0"/>
              <w:keepLines w:val="0"/>
              <w:pageBreakBefore w:val="0"/>
              <w:widowControl/>
              <w:suppressLineNumbers w:val="0"/>
              <w:kinsoku/>
              <w:wordWrap/>
              <w:overflowPunct/>
              <w:topLinePunct w:val="0"/>
              <w:autoSpaceDE/>
              <w:autoSpaceDN/>
              <w:bidi w:val="0"/>
              <w:adjustRightInd/>
              <w:snapToGrid/>
              <w:spacing w:line="240" w:lineRule="auto"/>
              <w:ind w:left="0"/>
              <w:jc w:val="center"/>
              <w:textAlignment w:val="center"/>
              <w:rPr>
                <w:rFonts w:hint="eastAsia" w:ascii="仿宋" w:hAnsi="仿宋" w:eastAsia="仿宋" w:cs="仿宋"/>
                <w:i w:val="0"/>
                <w:iCs w:val="0"/>
                <w:color w:val="000000"/>
                <w:kern w:val="0"/>
                <w:sz w:val="21"/>
                <w:szCs w:val="21"/>
                <w:u w:val="none"/>
                <w:lang w:val="en-US" w:eastAsia="zh-CN" w:bidi="ar"/>
              </w:rPr>
            </w:pPr>
          </w:p>
        </w:tc>
        <w:tc>
          <w:tcPr>
            <w:tcW w:w="500" w:type="pct"/>
            <w:vAlign w:val="center"/>
          </w:tcPr>
          <w:p w14:paraId="40989554">
            <w:pPr>
              <w:keepNext w:val="0"/>
              <w:keepLines w:val="0"/>
              <w:pageBreakBefore w:val="0"/>
              <w:widowControl/>
              <w:suppressLineNumbers w:val="0"/>
              <w:kinsoku/>
              <w:wordWrap/>
              <w:overflowPunct/>
              <w:topLinePunct w:val="0"/>
              <w:autoSpaceDE/>
              <w:autoSpaceDN/>
              <w:bidi w:val="0"/>
              <w:adjustRightInd/>
              <w:snapToGrid/>
              <w:spacing w:line="240" w:lineRule="auto"/>
              <w:ind w:left="0"/>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u w:val="none"/>
                <w:lang w:val="en-US" w:eastAsia="zh-CN" w:bidi="ar"/>
              </w:rPr>
              <w:t>二维动画</w:t>
            </w:r>
          </w:p>
        </w:tc>
        <w:tc>
          <w:tcPr>
            <w:tcW w:w="3757" w:type="pct"/>
            <w:vAlign w:val="center"/>
          </w:tcPr>
          <w:p w14:paraId="38C4E66F">
            <w:pPr>
              <w:pageBreakBefore w:val="0"/>
              <w:numPr>
                <w:ilvl w:val="0"/>
                <w:numId w:val="18"/>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sz w:val="21"/>
                <w:szCs w:val="21"/>
              </w:rPr>
            </w:pPr>
            <w:r>
              <w:rPr>
                <w:rFonts w:hint="eastAsia" w:ascii="仿宋" w:hAnsi="仿宋" w:eastAsia="仿宋" w:cs="仿宋"/>
                <w:sz w:val="21"/>
                <w:szCs w:val="21"/>
                <w:lang w:val="en-US" w:eastAsia="zh-CN"/>
              </w:rPr>
              <w:t xml:space="preserve">    1.</w:t>
            </w:r>
            <w:r>
              <w:rPr>
                <w:rFonts w:hint="eastAsia" w:ascii="仿宋" w:hAnsi="仿宋" w:eastAsia="仿宋" w:cs="仿宋"/>
                <w:sz w:val="21"/>
                <w:szCs w:val="21"/>
              </w:rPr>
              <w:t>知识点加必要的二维动画，单个动画时长≤60秒，具体以课程需要为准，建设数量以个来核算。</w:t>
            </w:r>
          </w:p>
          <w:p w14:paraId="1032EE43">
            <w:pPr>
              <w:pageBreakBefore w:val="0"/>
              <w:numPr>
                <w:ilvl w:val="0"/>
                <w:numId w:val="18"/>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sz w:val="21"/>
                <w:szCs w:val="21"/>
              </w:rPr>
            </w:pPr>
            <w:r>
              <w:rPr>
                <w:rFonts w:hint="eastAsia" w:ascii="仿宋" w:hAnsi="仿宋" w:eastAsia="仿宋" w:cs="仿宋"/>
                <w:sz w:val="21"/>
                <w:szCs w:val="21"/>
                <w:lang w:val="en-US" w:eastAsia="zh-CN"/>
              </w:rPr>
              <w:t xml:space="preserve">    2.</w:t>
            </w:r>
            <w:r>
              <w:rPr>
                <w:rFonts w:hint="eastAsia" w:ascii="仿宋" w:hAnsi="仿宋" w:eastAsia="仿宋" w:cs="仿宋"/>
                <w:sz w:val="21"/>
                <w:szCs w:val="21"/>
              </w:rPr>
              <w:t>动画中的文字、图形等大小合适，颜色对比适当。</w:t>
            </w:r>
          </w:p>
          <w:p w14:paraId="33E4E88F">
            <w:pPr>
              <w:pageBreakBefore w:val="0"/>
              <w:numPr>
                <w:ilvl w:val="0"/>
                <w:numId w:val="18"/>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sz w:val="21"/>
                <w:szCs w:val="21"/>
              </w:rPr>
            </w:pPr>
            <w:r>
              <w:rPr>
                <w:rFonts w:hint="eastAsia" w:ascii="仿宋" w:hAnsi="仿宋" w:eastAsia="仿宋" w:cs="仿宋"/>
                <w:sz w:val="21"/>
                <w:szCs w:val="21"/>
                <w:lang w:val="en-US" w:eastAsia="zh-CN"/>
              </w:rPr>
              <w:t xml:space="preserve">    3.</w:t>
            </w:r>
            <w:r>
              <w:rPr>
                <w:rFonts w:hint="eastAsia" w:ascii="仿宋" w:hAnsi="仿宋" w:eastAsia="仿宋" w:cs="仿宋"/>
                <w:sz w:val="21"/>
                <w:szCs w:val="21"/>
              </w:rPr>
              <w:t>图像采用JPG、PNG 等常见格式，能够清晰显示图像细节，色彩深度不小于16位。</w:t>
            </w:r>
          </w:p>
          <w:p w14:paraId="03C58D36">
            <w:pPr>
              <w:pageBreakBefore w:val="0"/>
              <w:numPr>
                <w:ilvl w:val="0"/>
                <w:numId w:val="18"/>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sz w:val="21"/>
                <w:szCs w:val="21"/>
              </w:rPr>
            </w:pPr>
            <w:r>
              <w:rPr>
                <w:rFonts w:hint="eastAsia" w:ascii="仿宋" w:hAnsi="仿宋" w:eastAsia="仿宋" w:cs="仿宋"/>
                <w:sz w:val="21"/>
                <w:szCs w:val="21"/>
                <w:lang w:val="en-US" w:eastAsia="zh-CN"/>
              </w:rPr>
              <w:t xml:space="preserve">    4.</w:t>
            </w:r>
            <w:r>
              <w:rPr>
                <w:rFonts w:hint="eastAsia" w:ascii="仿宋" w:hAnsi="仿宋" w:eastAsia="仿宋" w:cs="仿宋"/>
                <w:sz w:val="21"/>
                <w:szCs w:val="21"/>
              </w:rPr>
              <w:t>音频采用标准的普通话配音，音频格式采用 WAV、MP3 等常见格式，采样频率不低于22.05kHz、16bits。</w:t>
            </w:r>
          </w:p>
          <w:p w14:paraId="327FC636">
            <w:pPr>
              <w:pageBreakBefore w:val="0"/>
              <w:numPr>
                <w:ilvl w:val="0"/>
                <w:numId w:val="18"/>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sz w:val="21"/>
                <w:szCs w:val="21"/>
              </w:rPr>
            </w:pPr>
            <w:r>
              <w:rPr>
                <w:rFonts w:hint="eastAsia" w:ascii="仿宋" w:hAnsi="仿宋" w:eastAsia="仿宋" w:cs="仿宋"/>
                <w:sz w:val="21"/>
                <w:szCs w:val="21"/>
                <w:lang w:val="en-US" w:eastAsia="zh-CN"/>
              </w:rPr>
              <w:t xml:space="preserve">    5.</w:t>
            </w:r>
            <w:r>
              <w:rPr>
                <w:rFonts w:hint="eastAsia" w:ascii="仿宋" w:hAnsi="仿宋" w:eastAsia="仿宋" w:cs="仿宋"/>
                <w:sz w:val="21"/>
                <w:szCs w:val="21"/>
              </w:rPr>
              <w:t>视频采用 AVI、MPG、WMV、MP4、MOV、FLV 等常见主流格式，视频画面清晰，分辨率不低于1920×1080。</w:t>
            </w:r>
          </w:p>
          <w:p w14:paraId="5D209D6E">
            <w:pPr>
              <w:pageBreakBefore w:val="0"/>
              <w:numPr>
                <w:ilvl w:val="0"/>
                <w:numId w:val="18"/>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sz w:val="21"/>
                <w:szCs w:val="21"/>
              </w:rPr>
            </w:pPr>
            <w:r>
              <w:rPr>
                <w:rFonts w:hint="eastAsia" w:ascii="仿宋" w:hAnsi="仿宋" w:eastAsia="仿宋" w:cs="仿宋"/>
                <w:sz w:val="21"/>
                <w:szCs w:val="21"/>
                <w:lang w:val="en-US" w:eastAsia="zh-CN"/>
              </w:rPr>
              <w:t xml:space="preserve">    6.</w:t>
            </w:r>
            <w:r>
              <w:rPr>
                <w:rFonts w:hint="eastAsia" w:ascii="仿宋" w:hAnsi="仿宋" w:eastAsia="仿宋" w:cs="仿宋"/>
                <w:sz w:val="21"/>
                <w:szCs w:val="21"/>
              </w:rPr>
              <w:t>动画采用mp4、flv 等常见格式，画面清晰，播放流畅。</w:t>
            </w:r>
          </w:p>
          <w:p w14:paraId="117A941B">
            <w:pPr>
              <w:pageBreakBefore w:val="0"/>
              <w:numPr>
                <w:ilvl w:val="0"/>
                <w:numId w:val="18"/>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kern w:val="0"/>
                <w:sz w:val="21"/>
                <w:szCs w:val="21"/>
              </w:rPr>
            </w:pPr>
            <w:r>
              <w:rPr>
                <w:rFonts w:hint="eastAsia" w:ascii="仿宋" w:hAnsi="仿宋" w:eastAsia="仿宋" w:cs="仿宋"/>
                <w:sz w:val="21"/>
                <w:szCs w:val="21"/>
                <w:lang w:val="en-US" w:eastAsia="zh-CN"/>
              </w:rPr>
              <w:t xml:space="preserve">    7.</w:t>
            </w:r>
            <w:r>
              <w:rPr>
                <w:rFonts w:hint="eastAsia" w:ascii="仿宋" w:hAnsi="仿宋" w:eastAsia="仿宋" w:cs="仿宋"/>
                <w:sz w:val="21"/>
                <w:szCs w:val="21"/>
              </w:rPr>
              <w:t>动画交付为mp4，分辨率为1920×1080</w:t>
            </w:r>
          </w:p>
        </w:tc>
      </w:tr>
      <w:tr w14:paraId="3448F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1" w:type="pct"/>
            <w:vMerge w:val="continue"/>
            <w:vAlign w:val="center"/>
          </w:tcPr>
          <w:p w14:paraId="469D42E4">
            <w:pPr>
              <w:pageBreakBefore w:val="0"/>
              <w:widowControl/>
              <w:kinsoku/>
              <w:wordWrap/>
              <w:overflowPunct/>
              <w:topLinePunct w:val="0"/>
              <w:autoSpaceDE/>
              <w:autoSpaceDN/>
              <w:bidi w:val="0"/>
              <w:adjustRightInd/>
              <w:snapToGrid/>
              <w:spacing w:line="240" w:lineRule="auto"/>
              <w:ind w:left="0"/>
              <w:jc w:val="center"/>
              <w:rPr>
                <w:rFonts w:hint="eastAsia" w:ascii="仿宋" w:hAnsi="仿宋" w:eastAsia="仿宋" w:cs="仿宋"/>
                <w:kern w:val="0"/>
                <w:sz w:val="21"/>
                <w:szCs w:val="21"/>
              </w:rPr>
            </w:pPr>
          </w:p>
        </w:tc>
        <w:tc>
          <w:tcPr>
            <w:tcW w:w="500" w:type="pct"/>
            <w:vMerge w:val="continue"/>
            <w:vAlign w:val="center"/>
          </w:tcPr>
          <w:p w14:paraId="42B3850B">
            <w:pPr>
              <w:keepNext w:val="0"/>
              <w:keepLines w:val="0"/>
              <w:pageBreakBefore w:val="0"/>
              <w:widowControl/>
              <w:suppressLineNumbers w:val="0"/>
              <w:kinsoku/>
              <w:wordWrap/>
              <w:overflowPunct/>
              <w:topLinePunct w:val="0"/>
              <w:autoSpaceDE/>
              <w:autoSpaceDN/>
              <w:bidi w:val="0"/>
              <w:adjustRightInd/>
              <w:snapToGrid/>
              <w:spacing w:line="240" w:lineRule="auto"/>
              <w:ind w:left="0"/>
              <w:jc w:val="center"/>
              <w:textAlignment w:val="center"/>
              <w:rPr>
                <w:rFonts w:hint="eastAsia" w:ascii="仿宋" w:hAnsi="仿宋" w:eastAsia="仿宋" w:cs="仿宋"/>
                <w:i w:val="0"/>
                <w:iCs w:val="0"/>
                <w:color w:val="000000"/>
                <w:kern w:val="0"/>
                <w:sz w:val="21"/>
                <w:szCs w:val="21"/>
                <w:u w:val="none"/>
                <w:lang w:val="en-US" w:eastAsia="zh-CN" w:bidi="ar"/>
              </w:rPr>
            </w:pPr>
          </w:p>
        </w:tc>
        <w:tc>
          <w:tcPr>
            <w:tcW w:w="500" w:type="pct"/>
            <w:vAlign w:val="center"/>
          </w:tcPr>
          <w:p w14:paraId="0BB5FF8F">
            <w:pPr>
              <w:keepNext w:val="0"/>
              <w:keepLines w:val="0"/>
              <w:pageBreakBefore w:val="0"/>
              <w:widowControl/>
              <w:suppressLineNumbers w:val="0"/>
              <w:kinsoku/>
              <w:wordWrap/>
              <w:overflowPunct/>
              <w:topLinePunct w:val="0"/>
              <w:autoSpaceDE/>
              <w:autoSpaceDN/>
              <w:bidi w:val="0"/>
              <w:adjustRightInd/>
              <w:snapToGrid/>
              <w:spacing w:line="240" w:lineRule="auto"/>
              <w:ind w:left="0"/>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u w:val="none"/>
                <w:lang w:val="en-US" w:eastAsia="zh-CN" w:bidi="ar"/>
              </w:rPr>
              <w:t>三维动画</w:t>
            </w:r>
          </w:p>
        </w:tc>
        <w:tc>
          <w:tcPr>
            <w:tcW w:w="3757" w:type="pct"/>
            <w:vAlign w:val="center"/>
          </w:tcPr>
          <w:p w14:paraId="55E16AFE">
            <w:pPr>
              <w:pageBreakBefore w:val="0"/>
              <w:numPr>
                <w:ilvl w:val="0"/>
                <w:numId w:val="19"/>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sz w:val="21"/>
                <w:szCs w:val="21"/>
              </w:rPr>
            </w:pPr>
            <w:r>
              <w:rPr>
                <w:rFonts w:hint="eastAsia" w:ascii="仿宋" w:hAnsi="仿宋" w:eastAsia="仿宋" w:cs="仿宋"/>
                <w:sz w:val="21"/>
                <w:szCs w:val="21"/>
                <w:lang w:val="en-US" w:eastAsia="zh-CN"/>
              </w:rPr>
              <w:t xml:space="preserve">    1.</w:t>
            </w:r>
            <w:r>
              <w:rPr>
                <w:rFonts w:hint="eastAsia" w:ascii="仿宋" w:hAnsi="仿宋" w:eastAsia="仿宋" w:cs="仿宋"/>
                <w:sz w:val="21"/>
                <w:szCs w:val="21"/>
              </w:rPr>
              <w:t>知识点加必要的三维动画，单个动画时长≤30秒，具体以课程需要为准，建设数量以个来核算。</w:t>
            </w:r>
          </w:p>
          <w:p w14:paraId="097FFEA4">
            <w:pPr>
              <w:pageBreakBefore w:val="0"/>
              <w:numPr>
                <w:ilvl w:val="0"/>
                <w:numId w:val="19"/>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sz w:val="21"/>
                <w:szCs w:val="21"/>
              </w:rPr>
            </w:pPr>
            <w:r>
              <w:rPr>
                <w:rFonts w:hint="eastAsia" w:ascii="仿宋" w:hAnsi="仿宋" w:eastAsia="仿宋" w:cs="仿宋"/>
                <w:sz w:val="21"/>
                <w:szCs w:val="21"/>
                <w:lang w:val="en-US" w:eastAsia="zh-CN"/>
              </w:rPr>
              <w:t xml:space="preserve">    2.</w:t>
            </w:r>
            <w:r>
              <w:rPr>
                <w:rFonts w:hint="eastAsia" w:ascii="仿宋" w:hAnsi="仿宋" w:eastAsia="仿宋" w:cs="仿宋"/>
                <w:sz w:val="21"/>
                <w:szCs w:val="21"/>
              </w:rPr>
              <w:t>动画色彩协调、文字规范。动作（运动）轨迹标准， 运动层次感强。画面简洁清晰，界面友好</w:t>
            </w:r>
            <w:r>
              <w:rPr>
                <w:rFonts w:hint="eastAsia" w:ascii="仿宋" w:hAnsi="仿宋" w:eastAsia="仿宋" w:cs="仿宋"/>
                <w:sz w:val="21"/>
                <w:szCs w:val="21"/>
                <w:lang w:eastAsia="zh-CN"/>
              </w:rPr>
              <w:t>，</w:t>
            </w:r>
            <w:r>
              <w:rPr>
                <w:rFonts w:hint="eastAsia" w:ascii="仿宋" w:hAnsi="仿宋" w:eastAsia="仿宋" w:cs="仿宋"/>
                <w:sz w:val="21"/>
                <w:szCs w:val="21"/>
              </w:rPr>
              <w:t>动画连续，节奏合适。图像清晰、色彩和谐、演播流畅，静止画面时间不超过 5 秒钟。</w:t>
            </w:r>
          </w:p>
          <w:p w14:paraId="48099EEB">
            <w:pPr>
              <w:pageBreakBefore w:val="0"/>
              <w:numPr>
                <w:ilvl w:val="0"/>
                <w:numId w:val="19"/>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sz w:val="21"/>
                <w:szCs w:val="21"/>
              </w:rPr>
            </w:pPr>
            <w:r>
              <w:rPr>
                <w:rFonts w:hint="eastAsia" w:ascii="仿宋" w:hAnsi="仿宋" w:eastAsia="仿宋" w:cs="仿宋"/>
                <w:sz w:val="21"/>
                <w:szCs w:val="21"/>
                <w:lang w:val="en-US" w:eastAsia="zh-CN"/>
              </w:rPr>
              <w:t xml:space="preserve">    3.</w:t>
            </w:r>
            <w:r>
              <w:rPr>
                <w:rFonts w:hint="eastAsia" w:ascii="仿宋" w:hAnsi="仿宋" w:eastAsia="仿宋" w:cs="仿宋"/>
                <w:sz w:val="21"/>
                <w:szCs w:val="21"/>
              </w:rPr>
              <w:t>动画配音应标准，</w:t>
            </w:r>
            <w:r>
              <w:rPr>
                <w:rFonts w:hint="eastAsia" w:ascii="仿宋" w:hAnsi="仿宋" w:eastAsia="仿宋" w:cs="仿宋"/>
                <w:sz w:val="21"/>
                <w:szCs w:val="21"/>
                <w:lang w:eastAsia="zh-CN"/>
              </w:rPr>
              <w:t>无噪声</w:t>
            </w:r>
            <w:r>
              <w:rPr>
                <w:rFonts w:hint="eastAsia" w:ascii="仿宋" w:hAnsi="仿宋" w:eastAsia="仿宋" w:cs="仿宋"/>
                <w:sz w:val="21"/>
                <w:szCs w:val="21"/>
              </w:rPr>
              <w:t>，声音悦耳，音量适当，快慢适度。</w:t>
            </w:r>
          </w:p>
          <w:p w14:paraId="10653B50">
            <w:pPr>
              <w:pageBreakBefore w:val="0"/>
              <w:numPr>
                <w:ilvl w:val="0"/>
                <w:numId w:val="19"/>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sz w:val="21"/>
                <w:szCs w:val="21"/>
              </w:rPr>
            </w:pPr>
            <w:r>
              <w:rPr>
                <w:rFonts w:hint="eastAsia" w:ascii="仿宋" w:hAnsi="仿宋" w:eastAsia="仿宋" w:cs="仿宋"/>
                <w:sz w:val="21"/>
                <w:szCs w:val="21"/>
                <w:lang w:val="en-US" w:eastAsia="zh-CN"/>
              </w:rPr>
              <w:t xml:space="preserve">    4.</w:t>
            </w:r>
            <w:r>
              <w:rPr>
                <w:rFonts w:hint="eastAsia" w:ascii="仿宋" w:hAnsi="仿宋" w:eastAsia="仿宋" w:cs="仿宋"/>
                <w:sz w:val="21"/>
                <w:szCs w:val="21"/>
              </w:rPr>
              <w:t>动画格式为 flv、MP4 或 SWF 格式。</w:t>
            </w:r>
          </w:p>
          <w:p w14:paraId="4B6DC528">
            <w:pPr>
              <w:pageBreakBefore w:val="0"/>
              <w:numPr>
                <w:ilvl w:val="0"/>
                <w:numId w:val="19"/>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kern w:val="0"/>
                <w:sz w:val="21"/>
                <w:szCs w:val="21"/>
              </w:rPr>
            </w:pPr>
            <w:r>
              <w:rPr>
                <w:rFonts w:hint="eastAsia" w:ascii="仿宋" w:hAnsi="仿宋" w:eastAsia="仿宋" w:cs="仿宋"/>
                <w:sz w:val="21"/>
                <w:szCs w:val="21"/>
                <w:lang w:val="en-US" w:eastAsia="zh-CN"/>
              </w:rPr>
              <w:t xml:space="preserve">    5.</w:t>
            </w:r>
            <w:r>
              <w:rPr>
                <w:rFonts w:hint="eastAsia" w:ascii="仿宋" w:hAnsi="仿宋" w:eastAsia="仿宋" w:cs="仿宋"/>
                <w:sz w:val="21"/>
                <w:szCs w:val="21"/>
              </w:rPr>
              <w:t>动画中如果有文字，文字要醒目，文字的字体、字号与内容协调，字体颜色避免与背景色相近。</w:t>
            </w:r>
          </w:p>
        </w:tc>
      </w:tr>
      <w:tr w14:paraId="5B366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1" w:type="pct"/>
            <w:vMerge w:val="continue"/>
            <w:vAlign w:val="center"/>
          </w:tcPr>
          <w:p w14:paraId="7AC16587">
            <w:pPr>
              <w:pageBreakBefore w:val="0"/>
              <w:widowControl/>
              <w:kinsoku/>
              <w:wordWrap/>
              <w:overflowPunct/>
              <w:topLinePunct w:val="0"/>
              <w:autoSpaceDE/>
              <w:autoSpaceDN/>
              <w:bidi w:val="0"/>
              <w:adjustRightInd/>
              <w:snapToGrid/>
              <w:spacing w:line="240" w:lineRule="auto"/>
              <w:ind w:left="0"/>
              <w:jc w:val="center"/>
              <w:rPr>
                <w:rFonts w:hint="eastAsia" w:ascii="仿宋" w:hAnsi="仿宋" w:eastAsia="仿宋" w:cs="仿宋"/>
                <w:kern w:val="0"/>
                <w:sz w:val="21"/>
                <w:szCs w:val="21"/>
              </w:rPr>
            </w:pPr>
          </w:p>
        </w:tc>
        <w:tc>
          <w:tcPr>
            <w:tcW w:w="500" w:type="pct"/>
            <w:vMerge w:val="continue"/>
            <w:vAlign w:val="center"/>
          </w:tcPr>
          <w:p w14:paraId="68890276">
            <w:pPr>
              <w:keepNext w:val="0"/>
              <w:keepLines w:val="0"/>
              <w:pageBreakBefore w:val="0"/>
              <w:widowControl/>
              <w:suppressLineNumbers w:val="0"/>
              <w:kinsoku/>
              <w:wordWrap/>
              <w:overflowPunct/>
              <w:topLinePunct w:val="0"/>
              <w:autoSpaceDE/>
              <w:autoSpaceDN/>
              <w:bidi w:val="0"/>
              <w:adjustRightInd/>
              <w:snapToGrid/>
              <w:spacing w:line="240" w:lineRule="auto"/>
              <w:ind w:left="0"/>
              <w:jc w:val="center"/>
              <w:textAlignment w:val="center"/>
              <w:rPr>
                <w:rFonts w:hint="eastAsia" w:ascii="仿宋" w:hAnsi="仿宋" w:eastAsia="仿宋" w:cs="仿宋"/>
                <w:i w:val="0"/>
                <w:iCs w:val="0"/>
                <w:color w:val="000000"/>
                <w:kern w:val="0"/>
                <w:sz w:val="21"/>
                <w:szCs w:val="21"/>
                <w:u w:val="none"/>
                <w:lang w:val="en-US" w:eastAsia="zh-CN" w:bidi="ar"/>
              </w:rPr>
            </w:pPr>
          </w:p>
        </w:tc>
        <w:tc>
          <w:tcPr>
            <w:tcW w:w="500" w:type="pct"/>
            <w:vAlign w:val="center"/>
          </w:tcPr>
          <w:p w14:paraId="0BB27008">
            <w:pPr>
              <w:keepNext w:val="0"/>
              <w:keepLines w:val="0"/>
              <w:pageBreakBefore w:val="0"/>
              <w:widowControl/>
              <w:suppressLineNumbers w:val="0"/>
              <w:kinsoku/>
              <w:wordWrap/>
              <w:overflowPunct/>
              <w:topLinePunct w:val="0"/>
              <w:autoSpaceDE/>
              <w:autoSpaceDN/>
              <w:bidi w:val="0"/>
              <w:adjustRightInd/>
              <w:snapToGrid/>
              <w:spacing w:line="240" w:lineRule="auto"/>
              <w:ind w:left="0"/>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u w:val="none"/>
                <w:lang w:val="en-US" w:eastAsia="zh-CN" w:bidi="ar"/>
              </w:rPr>
              <w:t>交互动画</w:t>
            </w:r>
          </w:p>
        </w:tc>
        <w:tc>
          <w:tcPr>
            <w:tcW w:w="3757" w:type="pct"/>
            <w:vAlign w:val="center"/>
          </w:tcPr>
          <w:p w14:paraId="3888EC07">
            <w:pPr>
              <w:pStyle w:val="11"/>
              <w:pageBreakBefore w:val="0"/>
              <w:kinsoku/>
              <w:wordWrap/>
              <w:overflowPunct/>
              <w:topLinePunct w:val="0"/>
              <w:autoSpaceDE/>
              <w:autoSpaceDN/>
              <w:bidi w:val="0"/>
              <w:adjustRightInd/>
              <w:snapToGrid/>
              <w:spacing w:line="240" w:lineRule="auto"/>
              <w:ind w:left="0" w:leftChars="0" w:firstLine="420" w:firstLineChars="20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1.根据学校教学需求制作知识点必要加入的交互动画等，具体以课程需要为准，单个交互动画不少于5步。建设数量以个来核算。</w:t>
            </w:r>
          </w:p>
          <w:p w14:paraId="4F31124E">
            <w:pPr>
              <w:pStyle w:val="11"/>
              <w:pageBreakBefore w:val="0"/>
              <w:kinsoku/>
              <w:wordWrap/>
              <w:overflowPunct/>
              <w:topLinePunct w:val="0"/>
              <w:autoSpaceDE/>
              <w:autoSpaceDN/>
              <w:bidi w:val="0"/>
              <w:adjustRightInd/>
              <w:snapToGrid/>
              <w:spacing w:line="240" w:lineRule="auto"/>
              <w:ind w:left="0" w:leftChars="0" w:firstLine="420" w:firstLineChars="20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2.单个交互动画内容表现为知识点原理、结构、检测、操作标准、规范流程等内容的一项或者两项组合；</w:t>
            </w:r>
          </w:p>
          <w:p w14:paraId="17A3275F">
            <w:pPr>
              <w:pStyle w:val="11"/>
              <w:pageBreakBefore w:val="0"/>
              <w:kinsoku/>
              <w:wordWrap/>
              <w:overflowPunct/>
              <w:topLinePunct w:val="0"/>
              <w:autoSpaceDE/>
              <w:autoSpaceDN/>
              <w:bidi w:val="0"/>
              <w:adjustRightInd/>
              <w:snapToGrid/>
              <w:spacing w:line="240" w:lineRule="auto"/>
              <w:ind w:left="0" w:leftChars="0" w:firstLine="420" w:firstLineChars="20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3.根据情况解说配音应标准，无噪声，快慢适度；</w:t>
            </w:r>
          </w:p>
          <w:p w14:paraId="7F683E5C">
            <w:pPr>
              <w:pStyle w:val="11"/>
              <w:pageBreakBefore w:val="0"/>
              <w:kinsoku/>
              <w:wordWrap/>
              <w:overflowPunct/>
              <w:topLinePunct w:val="0"/>
              <w:autoSpaceDE/>
              <w:autoSpaceDN/>
              <w:bidi w:val="0"/>
              <w:adjustRightInd/>
              <w:snapToGrid/>
              <w:spacing w:line="240" w:lineRule="auto"/>
              <w:ind w:left="0" w:leftChars="0" w:firstLine="420" w:firstLineChars="20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4.输出参数：</w:t>
            </w:r>
          </w:p>
          <w:p w14:paraId="618738A2">
            <w:pPr>
              <w:pStyle w:val="11"/>
              <w:pageBreakBefore w:val="0"/>
              <w:kinsoku/>
              <w:wordWrap/>
              <w:overflowPunct/>
              <w:topLinePunct w:val="0"/>
              <w:autoSpaceDE/>
              <w:autoSpaceDN/>
              <w:bidi w:val="0"/>
              <w:adjustRightInd/>
              <w:snapToGrid/>
              <w:spacing w:line="240" w:lineRule="auto"/>
              <w:ind w:left="0" w:firstLine="630" w:firstLineChars="30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分辨率：1920×1080 </w:t>
            </w:r>
          </w:p>
          <w:p w14:paraId="0BF67D34">
            <w:pPr>
              <w:pStyle w:val="11"/>
              <w:pageBreakBefore w:val="0"/>
              <w:kinsoku/>
              <w:wordWrap/>
              <w:overflowPunct/>
              <w:topLinePunct w:val="0"/>
              <w:autoSpaceDE/>
              <w:autoSpaceDN/>
              <w:bidi w:val="0"/>
              <w:adjustRightInd/>
              <w:snapToGrid/>
              <w:spacing w:line="240" w:lineRule="auto"/>
              <w:ind w:left="0" w:firstLine="630" w:firstLineChars="30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格式：html</w:t>
            </w:r>
          </w:p>
          <w:p w14:paraId="505C0BB5">
            <w:pPr>
              <w:pStyle w:val="11"/>
              <w:pageBreakBefore w:val="0"/>
              <w:kinsoku/>
              <w:wordWrap/>
              <w:overflowPunct/>
              <w:topLinePunct w:val="0"/>
              <w:autoSpaceDE/>
              <w:autoSpaceDN/>
              <w:bidi w:val="0"/>
              <w:adjustRightInd/>
              <w:snapToGrid/>
              <w:spacing w:line="240" w:lineRule="auto"/>
              <w:ind w:left="0" w:firstLine="630" w:firstLineChars="30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有防盗图、盗资源等加密措施；</w:t>
            </w:r>
          </w:p>
          <w:p w14:paraId="17889F92">
            <w:pPr>
              <w:pStyle w:val="11"/>
              <w:pageBreakBefore w:val="0"/>
              <w:kinsoku/>
              <w:wordWrap/>
              <w:overflowPunct/>
              <w:topLinePunct w:val="0"/>
              <w:autoSpaceDE/>
              <w:autoSpaceDN/>
              <w:bidi w:val="0"/>
              <w:adjustRightInd/>
              <w:snapToGrid/>
              <w:spacing w:line="240" w:lineRule="auto"/>
              <w:ind w:left="0" w:firstLine="630" w:firstLineChars="30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资源支持无插件式的移动端应用；</w:t>
            </w:r>
          </w:p>
          <w:p w14:paraId="747E6C51">
            <w:pPr>
              <w:pStyle w:val="11"/>
              <w:pageBreakBefore w:val="0"/>
              <w:kinsoku/>
              <w:wordWrap/>
              <w:overflowPunct/>
              <w:topLinePunct w:val="0"/>
              <w:autoSpaceDE/>
              <w:autoSpaceDN/>
              <w:bidi w:val="0"/>
              <w:adjustRightInd/>
              <w:snapToGrid/>
              <w:spacing w:line="240" w:lineRule="auto"/>
              <w:ind w:left="0" w:firstLine="630" w:firstLineChars="300"/>
              <w:jc w:val="left"/>
              <w:rPr>
                <w:rFonts w:hint="eastAsia" w:ascii="仿宋" w:hAnsi="仿宋" w:eastAsia="仿宋" w:cs="仿宋"/>
                <w:kern w:val="0"/>
                <w:sz w:val="21"/>
                <w:szCs w:val="21"/>
              </w:rPr>
            </w:pPr>
            <w:r>
              <w:rPr>
                <w:rFonts w:hint="eastAsia" w:ascii="仿宋" w:hAnsi="仿宋" w:eastAsia="仿宋" w:cs="仿宋"/>
                <w:sz w:val="21"/>
                <w:szCs w:val="21"/>
                <w:lang w:val="en-US" w:eastAsia="zh-CN"/>
              </w:rPr>
              <w:t>画面自适应播放窗口尺寸。</w:t>
            </w:r>
          </w:p>
        </w:tc>
      </w:tr>
      <w:tr w14:paraId="1D305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1" w:type="pct"/>
            <w:vMerge w:val="continue"/>
            <w:vAlign w:val="center"/>
          </w:tcPr>
          <w:p w14:paraId="609A545C">
            <w:pPr>
              <w:pageBreakBefore w:val="0"/>
              <w:widowControl/>
              <w:kinsoku/>
              <w:wordWrap/>
              <w:overflowPunct/>
              <w:topLinePunct w:val="0"/>
              <w:autoSpaceDE/>
              <w:autoSpaceDN/>
              <w:bidi w:val="0"/>
              <w:adjustRightInd/>
              <w:snapToGrid/>
              <w:spacing w:line="240" w:lineRule="auto"/>
              <w:ind w:left="0"/>
              <w:jc w:val="center"/>
              <w:rPr>
                <w:rFonts w:hint="eastAsia" w:ascii="仿宋" w:hAnsi="仿宋" w:eastAsia="仿宋" w:cs="仿宋"/>
                <w:kern w:val="0"/>
                <w:sz w:val="21"/>
                <w:szCs w:val="21"/>
              </w:rPr>
            </w:pPr>
          </w:p>
        </w:tc>
        <w:tc>
          <w:tcPr>
            <w:tcW w:w="500" w:type="pct"/>
            <w:vMerge w:val="continue"/>
            <w:vAlign w:val="center"/>
          </w:tcPr>
          <w:p w14:paraId="71E93428">
            <w:pPr>
              <w:keepNext w:val="0"/>
              <w:keepLines w:val="0"/>
              <w:pageBreakBefore w:val="0"/>
              <w:widowControl/>
              <w:suppressLineNumbers w:val="0"/>
              <w:kinsoku/>
              <w:wordWrap/>
              <w:overflowPunct/>
              <w:topLinePunct w:val="0"/>
              <w:autoSpaceDE/>
              <w:autoSpaceDN/>
              <w:bidi w:val="0"/>
              <w:adjustRightInd/>
              <w:snapToGrid/>
              <w:spacing w:line="240" w:lineRule="auto"/>
              <w:ind w:left="0"/>
              <w:jc w:val="center"/>
              <w:textAlignment w:val="center"/>
              <w:rPr>
                <w:rFonts w:hint="eastAsia" w:ascii="仿宋" w:hAnsi="仿宋" w:eastAsia="仿宋" w:cs="仿宋"/>
                <w:i w:val="0"/>
                <w:iCs w:val="0"/>
                <w:color w:val="000000"/>
                <w:kern w:val="0"/>
                <w:sz w:val="21"/>
                <w:szCs w:val="21"/>
                <w:u w:val="none"/>
                <w:lang w:val="en-US" w:eastAsia="zh-CN" w:bidi="ar"/>
              </w:rPr>
            </w:pPr>
          </w:p>
        </w:tc>
        <w:tc>
          <w:tcPr>
            <w:tcW w:w="500" w:type="pct"/>
            <w:vAlign w:val="center"/>
          </w:tcPr>
          <w:p w14:paraId="7916F738">
            <w:pPr>
              <w:keepNext w:val="0"/>
              <w:keepLines w:val="0"/>
              <w:pageBreakBefore w:val="0"/>
              <w:widowControl/>
              <w:suppressLineNumbers w:val="0"/>
              <w:kinsoku/>
              <w:wordWrap/>
              <w:overflowPunct/>
              <w:topLinePunct w:val="0"/>
              <w:autoSpaceDE/>
              <w:autoSpaceDN/>
              <w:bidi w:val="0"/>
              <w:adjustRightInd/>
              <w:snapToGrid/>
              <w:spacing w:line="240" w:lineRule="auto"/>
              <w:ind w:left="0"/>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u w:val="none"/>
                <w:lang w:val="en-US" w:eastAsia="zh-CN" w:bidi="ar"/>
              </w:rPr>
              <w:t>虚拟仿真</w:t>
            </w:r>
          </w:p>
        </w:tc>
        <w:tc>
          <w:tcPr>
            <w:tcW w:w="3757" w:type="pct"/>
            <w:vAlign w:val="center"/>
          </w:tcPr>
          <w:p w14:paraId="2DEFB22C">
            <w:pPr>
              <w:pageBreakBefore w:val="0"/>
              <w:numPr>
                <w:ilvl w:val="0"/>
                <w:numId w:val="20"/>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    1.根据学校需求定制化开发虚拟仿真资源，具有漫游（职业场景、设施设备）、演示（操作规程、安全禁忌）、互动（设备拆装、仪器操作）、考核（过程操作、故障排除）中的一种或多种功能。单个虚拟资源按照一个典型的工作任务中一个微任务为项目展开。</w:t>
            </w:r>
          </w:p>
          <w:p w14:paraId="09E83385">
            <w:pPr>
              <w:pageBreakBefore w:val="0"/>
              <w:numPr>
                <w:ilvl w:val="0"/>
                <w:numId w:val="20"/>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    2.内容符合职业标准、技术规范、业务规程和行业属性，无科学性错误。</w:t>
            </w:r>
          </w:p>
          <w:p w14:paraId="651438CF">
            <w:pPr>
              <w:pageBreakBefore w:val="0"/>
              <w:numPr>
                <w:ilvl w:val="0"/>
                <w:numId w:val="20"/>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    3.内容符合我国法律法规，尊重各民族风俗习惯，版权不存在争议。</w:t>
            </w:r>
          </w:p>
          <w:p w14:paraId="1512A674">
            <w:pPr>
              <w:pageBreakBefore w:val="0"/>
              <w:numPr>
                <w:ilvl w:val="0"/>
                <w:numId w:val="20"/>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    4.有明确的版权标识信息。</w:t>
            </w:r>
          </w:p>
          <w:p w14:paraId="1DF8DB82">
            <w:pPr>
              <w:pageBreakBefore w:val="0"/>
              <w:numPr>
                <w:ilvl w:val="0"/>
                <w:numId w:val="20"/>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    5.画面逼真，色彩、形状、声音、位置等高度符合实物的特征。</w:t>
            </w:r>
          </w:p>
          <w:p w14:paraId="7E5398E3">
            <w:pPr>
              <w:pageBreakBefore w:val="0"/>
              <w:numPr>
                <w:ilvl w:val="0"/>
                <w:numId w:val="20"/>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    6.界面友好，交互设计合理，操作简单。</w:t>
            </w:r>
          </w:p>
          <w:p w14:paraId="7F9283DA">
            <w:pPr>
              <w:pageBreakBefore w:val="0"/>
              <w:numPr>
                <w:ilvl w:val="0"/>
                <w:numId w:val="20"/>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    7.如果有背景音乐，背景音乐音量不宜过大，音乐与内容相符，并提供控制开关。</w:t>
            </w:r>
          </w:p>
          <w:p w14:paraId="7D4C2C73">
            <w:pPr>
              <w:pageBreakBefore w:val="0"/>
              <w:numPr>
                <w:ilvl w:val="0"/>
                <w:numId w:val="20"/>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    8.如果有解说，配音应标准，无噪声，声音悦耳，音量适当，快慢适度并提供控制解说的开关。</w:t>
            </w:r>
          </w:p>
          <w:p w14:paraId="763452B1">
            <w:pPr>
              <w:pageBreakBefore w:val="0"/>
              <w:numPr>
                <w:ilvl w:val="0"/>
                <w:numId w:val="20"/>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    9.除提交源文件外，还需提交能以单个文件呈现的预览文件。</w:t>
            </w:r>
          </w:p>
          <w:p w14:paraId="51291752">
            <w:pPr>
              <w:pageBreakBefore w:val="0"/>
              <w:numPr>
                <w:ilvl w:val="0"/>
                <w:numId w:val="20"/>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    10.要求包含一些与外设交互的能力，虚拟场景中的 3D 物体或场景 NPC 能够通过外接设备进行点击或进行一些其他相关交互。</w:t>
            </w:r>
          </w:p>
          <w:p w14:paraId="0D676C92">
            <w:pPr>
              <w:pageBreakBefore w:val="0"/>
              <w:numPr>
                <w:ilvl w:val="0"/>
                <w:numId w:val="20"/>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    11.支持对模型的结构展示，分解，透视等效果的查看。</w:t>
            </w:r>
          </w:p>
          <w:p w14:paraId="2A7EDCDB">
            <w:pPr>
              <w:pageBreakBefore w:val="0"/>
              <w:numPr>
                <w:ilvl w:val="0"/>
                <w:numId w:val="20"/>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    12.要求支持 2D 资源展示功能，可以在软件中加载文字、图片、 序列帧、视频等资源的展示。</w:t>
            </w:r>
          </w:p>
          <w:p w14:paraId="4845CBA2">
            <w:pPr>
              <w:pageBreakBefore w:val="0"/>
              <w:numPr>
                <w:ilvl w:val="0"/>
                <w:numId w:val="20"/>
              </w:numPr>
              <w:kinsoku/>
              <w:wordWrap/>
              <w:overflowPunct/>
              <w:topLinePunct w:val="0"/>
              <w:autoSpaceDE/>
              <w:autoSpaceDN/>
              <w:bidi w:val="0"/>
              <w:adjustRightInd/>
              <w:snapToGrid/>
              <w:spacing w:line="240" w:lineRule="auto"/>
              <w:ind w:left="0" w:leftChars="0" w:hanging="425" w:firstLineChars="0"/>
              <w:jc w:val="left"/>
              <w:rPr>
                <w:rFonts w:hint="eastAsia" w:ascii="仿宋" w:hAnsi="仿宋" w:eastAsia="仿宋" w:cs="仿宋"/>
                <w:kern w:val="0"/>
                <w:sz w:val="21"/>
                <w:szCs w:val="21"/>
              </w:rPr>
            </w:pPr>
            <w:r>
              <w:rPr>
                <w:rFonts w:hint="eastAsia" w:ascii="仿宋" w:hAnsi="仿宋" w:eastAsia="仿宋" w:cs="仿宋"/>
                <w:sz w:val="21"/>
                <w:szCs w:val="21"/>
                <w:lang w:val="en-US" w:eastAsia="zh-CN"/>
              </w:rPr>
              <w:t xml:space="preserve">    13.对模型结构与贴图坐标起不到作用的点、线、面要删除以节省数据量，模型的点与点之间相互对齐，不出现点之间有缝隙或错位导致面出现交叉的情况，避免场景漫游时发现闪面或破面、错位的情况影响效果。</w:t>
            </w:r>
          </w:p>
        </w:tc>
      </w:tr>
      <w:tr w14:paraId="73F1B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1" w:type="pct"/>
            <w:vMerge w:val="continue"/>
            <w:vAlign w:val="center"/>
          </w:tcPr>
          <w:p w14:paraId="2DA161DA">
            <w:pPr>
              <w:pageBreakBefore w:val="0"/>
              <w:widowControl/>
              <w:kinsoku/>
              <w:wordWrap/>
              <w:overflowPunct/>
              <w:topLinePunct w:val="0"/>
              <w:autoSpaceDE/>
              <w:autoSpaceDN/>
              <w:bidi w:val="0"/>
              <w:adjustRightInd/>
              <w:snapToGrid/>
              <w:spacing w:line="240" w:lineRule="auto"/>
              <w:ind w:left="0"/>
              <w:jc w:val="center"/>
              <w:rPr>
                <w:rFonts w:hint="eastAsia" w:ascii="仿宋" w:hAnsi="仿宋" w:eastAsia="仿宋" w:cs="仿宋"/>
                <w:kern w:val="0"/>
                <w:sz w:val="21"/>
                <w:szCs w:val="21"/>
              </w:rPr>
            </w:pPr>
          </w:p>
        </w:tc>
        <w:tc>
          <w:tcPr>
            <w:tcW w:w="500" w:type="pct"/>
            <w:vMerge w:val="continue"/>
            <w:vAlign w:val="center"/>
          </w:tcPr>
          <w:p w14:paraId="5C00B5C1">
            <w:pPr>
              <w:keepNext w:val="0"/>
              <w:keepLines w:val="0"/>
              <w:pageBreakBefore w:val="0"/>
              <w:widowControl/>
              <w:suppressLineNumbers w:val="0"/>
              <w:kinsoku/>
              <w:wordWrap/>
              <w:overflowPunct/>
              <w:topLinePunct w:val="0"/>
              <w:autoSpaceDE/>
              <w:autoSpaceDN/>
              <w:bidi w:val="0"/>
              <w:adjustRightInd/>
              <w:snapToGrid/>
              <w:spacing w:line="240" w:lineRule="auto"/>
              <w:ind w:left="0"/>
              <w:jc w:val="center"/>
              <w:textAlignment w:val="center"/>
              <w:rPr>
                <w:rFonts w:hint="eastAsia" w:ascii="仿宋" w:hAnsi="仿宋" w:eastAsia="仿宋" w:cs="仿宋"/>
                <w:i w:val="0"/>
                <w:iCs w:val="0"/>
                <w:color w:val="000000"/>
                <w:kern w:val="0"/>
                <w:sz w:val="21"/>
                <w:szCs w:val="21"/>
                <w:u w:val="none"/>
                <w:lang w:val="en-US" w:eastAsia="zh-CN" w:bidi="ar"/>
              </w:rPr>
            </w:pPr>
          </w:p>
        </w:tc>
        <w:tc>
          <w:tcPr>
            <w:tcW w:w="500" w:type="pct"/>
            <w:vAlign w:val="center"/>
          </w:tcPr>
          <w:p w14:paraId="7DE55DBA">
            <w:pPr>
              <w:keepNext w:val="0"/>
              <w:keepLines w:val="0"/>
              <w:pageBreakBefore w:val="0"/>
              <w:widowControl/>
              <w:suppressLineNumbers w:val="0"/>
              <w:kinsoku/>
              <w:wordWrap/>
              <w:overflowPunct/>
              <w:topLinePunct w:val="0"/>
              <w:autoSpaceDE/>
              <w:autoSpaceDN/>
              <w:bidi w:val="0"/>
              <w:adjustRightInd/>
              <w:snapToGrid/>
              <w:spacing w:line="240" w:lineRule="auto"/>
              <w:ind w:left="0"/>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u w:val="none"/>
                <w:lang w:val="en-US" w:eastAsia="zh-CN" w:bidi="ar"/>
              </w:rPr>
              <w:t>题库</w:t>
            </w:r>
          </w:p>
        </w:tc>
        <w:tc>
          <w:tcPr>
            <w:tcW w:w="3757" w:type="pct"/>
            <w:vAlign w:val="center"/>
          </w:tcPr>
          <w:p w14:paraId="02669C01">
            <w:pPr>
              <w:pageBreakBefore w:val="0"/>
              <w:kinsoku/>
              <w:wordWrap/>
              <w:overflowPunct/>
              <w:topLinePunct w:val="0"/>
              <w:autoSpaceDE/>
              <w:autoSpaceDN/>
              <w:bidi w:val="0"/>
              <w:adjustRightInd/>
              <w:snapToGrid/>
              <w:spacing w:line="240" w:lineRule="auto"/>
              <w:ind w:left="0" w:firstLine="420" w:firstLineChars="200"/>
              <w:jc w:val="left"/>
              <w:rPr>
                <w:rFonts w:hint="eastAsia" w:ascii="仿宋" w:hAnsi="仿宋" w:eastAsia="仿宋" w:cs="仿宋"/>
                <w:kern w:val="0"/>
                <w:sz w:val="21"/>
                <w:szCs w:val="21"/>
              </w:rPr>
            </w:pPr>
            <w:r>
              <w:rPr>
                <w:rFonts w:hint="eastAsia" w:ascii="仿宋" w:hAnsi="仿宋" w:eastAsia="仿宋" w:cs="仿宋"/>
                <w:sz w:val="21"/>
                <w:szCs w:val="21"/>
              </w:rPr>
              <w:t>结合课程知识点的特点选择多种题型进行题库的开发，题型不限于单选题、多选题、判断题、填空题、画图题、综合（解答）题等类型；协助老师进行题库上线平台。</w:t>
            </w:r>
          </w:p>
        </w:tc>
      </w:tr>
      <w:tr w14:paraId="6851D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1" w:type="pct"/>
            <w:vMerge w:val="continue"/>
            <w:vAlign w:val="center"/>
          </w:tcPr>
          <w:p w14:paraId="1BD1526B">
            <w:pPr>
              <w:pageBreakBefore w:val="0"/>
              <w:widowControl/>
              <w:kinsoku/>
              <w:wordWrap/>
              <w:overflowPunct/>
              <w:topLinePunct w:val="0"/>
              <w:autoSpaceDE/>
              <w:autoSpaceDN/>
              <w:bidi w:val="0"/>
              <w:adjustRightInd/>
              <w:snapToGrid/>
              <w:spacing w:line="240" w:lineRule="auto"/>
              <w:ind w:left="0"/>
              <w:jc w:val="center"/>
              <w:rPr>
                <w:rFonts w:hint="eastAsia" w:ascii="仿宋" w:hAnsi="仿宋" w:eastAsia="仿宋" w:cs="仿宋"/>
                <w:kern w:val="0"/>
                <w:sz w:val="21"/>
                <w:szCs w:val="21"/>
              </w:rPr>
            </w:pPr>
          </w:p>
        </w:tc>
        <w:tc>
          <w:tcPr>
            <w:tcW w:w="500" w:type="pct"/>
            <w:vMerge w:val="continue"/>
            <w:vAlign w:val="center"/>
          </w:tcPr>
          <w:p w14:paraId="28F2841F">
            <w:pPr>
              <w:keepNext w:val="0"/>
              <w:keepLines w:val="0"/>
              <w:pageBreakBefore w:val="0"/>
              <w:widowControl/>
              <w:suppressLineNumbers w:val="0"/>
              <w:kinsoku/>
              <w:wordWrap/>
              <w:overflowPunct/>
              <w:topLinePunct w:val="0"/>
              <w:autoSpaceDE/>
              <w:autoSpaceDN/>
              <w:bidi w:val="0"/>
              <w:adjustRightInd/>
              <w:snapToGrid/>
              <w:spacing w:line="240" w:lineRule="auto"/>
              <w:ind w:left="0"/>
              <w:jc w:val="center"/>
              <w:textAlignment w:val="center"/>
              <w:rPr>
                <w:rFonts w:hint="eastAsia" w:ascii="仿宋" w:hAnsi="仿宋" w:eastAsia="仿宋" w:cs="仿宋"/>
                <w:i w:val="0"/>
                <w:iCs w:val="0"/>
                <w:color w:val="000000"/>
                <w:kern w:val="0"/>
                <w:sz w:val="21"/>
                <w:szCs w:val="21"/>
                <w:u w:val="none"/>
                <w:lang w:val="en-US" w:eastAsia="zh-CN" w:bidi="ar"/>
              </w:rPr>
            </w:pPr>
          </w:p>
        </w:tc>
        <w:tc>
          <w:tcPr>
            <w:tcW w:w="500" w:type="pct"/>
            <w:vAlign w:val="center"/>
          </w:tcPr>
          <w:p w14:paraId="66D4FCCD">
            <w:pPr>
              <w:keepNext w:val="0"/>
              <w:keepLines w:val="0"/>
              <w:pageBreakBefore w:val="0"/>
              <w:widowControl/>
              <w:suppressLineNumbers w:val="0"/>
              <w:kinsoku/>
              <w:wordWrap/>
              <w:overflowPunct/>
              <w:topLinePunct w:val="0"/>
              <w:autoSpaceDE/>
              <w:autoSpaceDN/>
              <w:bidi w:val="0"/>
              <w:adjustRightInd/>
              <w:snapToGrid/>
              <w:spacing w:line="240" w:lineRule="auto"/>
              <w:ind w:left="0"/>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u w:val="none"/>
                <w:lang w:val="en-US" w:eastAsia="zh-CN" w:bidi="ar"/>
              </w:rPr>
              <w:t>宣传片</w:t>
            </w:r>
          </w:p>
        </w:tc>
        <w:tc>
          <w:tcPr>
            <w:tcW w:w="3757" w:type="pct"/>
            <w:vAlign w:val="center"/>
          </w:tcPr>
          <w:p w14:paraId="7DEDD12A">
            <w:pPr>
              <w:pageBreakBefore w:val="0"/>
              <w:kinsoku/>
              <w:wordWrap/>
              <w:overflowPunct/>
              <w:topLinePunct w:val="0"/>
              <w:autoSpaceDE/>
              <w:autoSpaceDN/>
              <w:bidi w:val="0"/>
              <w:adjustRightInd/>
              <w:snapToGrid/>
              <w:spacing w:line="240" w:lineRule="auto"/>
              <w:ind w:left="0" w:firstLine="420" w:firstLineChars="200"/>
              <w:jc w:val="left"/>
              <w:rPr>
                <w:rFonts w:hint="eastAsia" w:ascii="仿宋" w:hAnsi="仿宋" w:eastAsia="仿宋" w:cs="仿宋"/>
                <w:kern w:val="0"/>
                <w:sz w:val="21"/>
                <w:szCs w:val="21"/>
              </w:rPr>
            </w:pPr>
            <w:r>
              <w:rPr>
                <w:rFonts w:hint="eastAsia" w:ascii="仿宋" w:hAnsi="仿宋" w:eastAsia="仿宋" w:cs="仿宋"/>
                <w:sz w:val="21"/>
                <w:szCs w:val="21"/>
              </w:rPr>
              <w:t>制作2～5分钟的宣传片，要求能够较充分</w:t>
            </w:r>
            <w:r>
              <w:rPr>
                <w:rFonts w:hint="eastAsia" w:ascii="仿宋" w:hAnsi="仿宋" w:eastAsia="仿宋" w:cs="仿宋"/>
                <w:sz w:val="21"/>
                <w:szCs w:val="21"/>
                <w:lang w:eastAsia="zh-CN"/>
              </w:rPr>
              <w:t>地</w:t>
            </w:r>
            <w:r>
              <w:rPr>
                <w:rFonts w:hint="eastAsia" w:ascii="仿宋" w:hAnsi="仿宋" w:eastAsia="仿宋" w:cs="仿宋"/>
                <w:sz w:val="21"/>
                <w:szCs w:val="21"/>
              </w:rPr>
              <w:t>反映课程的主要内</w:t>
            </w:r>
            <w:r>
              <w:rPr>
                <w:rFonts w:hint="eastAsia" w:ascii="仿宋" w:hAnsi="仿宋" w:eastAsia="仿宋" w:cs="仿宋"/>
                <w:sz w:val="21"/>
                <w:szCs w:val="21"/>
                <w:lang w:eastAsia="zh-CN"/>
              </w:rPr>
              <w:t>容和</w:t>
            </w:r>
            <w:r>
              <w:rPr>
                <w:rFonts w:hint="eastAsia" w:ascii="仿宋" w:hAnsi="仿宋" w:eastAsia="仿宋" w:cs="仿宋"/>
                <w:sz w:val="21"/>
                <w:szCs w:val="21"/>
              </w:rPr>
              <w:t>概况，集形、声、色、动态于一体，生动直观、易于接受、感染力强、形式新颖、生动有趣、富有新意。课程统一片头片尾，形式新颖。建设数量以个来核算。</w:t>
            </w:r>
          </w:p>
        </w:tc>
      </w:tr>
    </w:tbl>
    <w:p w14:paraId="0413799B"/>
    <w:p w14:paraId="2B329DBD">
      <w:pPr>
        <w:pStyle w:val="9"/>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default" w:ascii="Times New Roman" w:hAnsi="Times New Roman" w:eastAsia="宋体" w:cs="Times New Roman"/>
          <w:color w:val="auto"/>
          <w:sz w:val="24"/>
          <w:szCs w:val="24"/>
          <w:lang w:val="en-US" w:eastAsia="zh-CN"/>
        </w:rPr>
      </w:pPr>
    </w:p>
    <w:p w14:paraId="6695E14B">
      <w:pPr>
        <w:pStyle w:val="9"/>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kern w:val="2"/>
          <w:sz w:val="24"/>
          <w:szCs w:val="24"/>
          <w:lang w:val="en-US" w:eastAsia="zh-CN" w:bidi="ar-SA"/>
        </w:rPr>
      </w:pPr>
    </w:p>
    <w:p w14:paraId="2889A54D">
      <w:pPr>
        <w:pStyle w:val="18"/>
        <w:rPr>
          <w:rFonts w:hint="eastAsia" w:ascii="宋体" w:hAnsi="宋体" w:eastAsia="宋体" w:cs="宋体"/>
          <w:sz w:val="20"/>
          <w:szCs w:val="20"/>
        </w:rPr>
      </w:pPr>
    </w:p>
    <w:p w14:paraId="4FE97BF2">
      <w:pPr>
        <w:pStyle w:val="18"/>
        <w:rPr>
          <w:rFonts w:hint="eastAsia" w:ascii="宋体" w:hAnsi="宋体" w:eastAsia="宋体" w:cs="宋体"/>
          <w:sz w:val="20"/>
          <w:szCs w:val="20"/>
        </w:rPr>
      </w:pPr>
    </w:p>
    <w:p w14:paraId="42DE1ABD">
      <w:pPr>
        <w:rPr>
          <w:rFonts w:hint="eastAsia" w:ascii="宋体" w:hAnsi="宋体" w:eastAsia="宋体" w:cs="宋体"/>
          <w:sz w:val="20"/>
          <w:szCs w:val="20"/>
        </w:rPr>
      </w:pPr>
    </w:p>
    <w:p w14:paraId="3FA68264">
      <w:pPr>
        <w:rPr>
          <w:rFonts w:hint="eastAsia" w:ascii="宋体" w:hAnsi="宋体" w:eastAsia="宋体" w:cs="宋体"/>
          <w:color w:val="auto"/>
          <w:lang w:val="en-US" w:eastAsia="zh-CN"/>
        </w:rPr>
      </w:pPr>
      <w:r>
        <w:rPr>
          <w:rFonts w:hint="eastAsia" w:ascii="宋体" w:hAnsi="宋体" w:eastAsia="宋体" w:cs="宋体"/>
          <w:color w:val="auto"/>
          <w:lang w:val="en-US" w:eastAsia="zh-CN"/>
        </w:rPr>
        <w:br w:type="page"/>
      </w:r>
    </w:p>
    <w:p w14:paraId="19D5D88F">
      <w:pPr>
        <w:pStyle w:val="2"/>
        <w:pageBreakBefore w:val="0"/>
        <w:numPr>
          <w:ilvl w:val="0"/>
          <w:numId w:val="21"/>
        </w:numPr>
        <w:kinsoku/>
        <w:wordWrap w:val="0"/>
        <w:overflowPunct/>
        <w:topLinePunct w:val="0"/>
        <w:autoSpaceDE/>
        <w:autoSpaceDN/>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 合同主要条款</w:t>
      </w:r>
      <w:bookmarkStart w:id="163" w:name="_Toc31022"/>
    </w:p>
    <w:p w14:paraId="24C83D9F">
      <w:pPr>
        <w:rPr>
          <w:rFonts w:hint="default" w:ascii="Times New Roman" w:hAnsi="Times New Roman" w:eastAsia="宋体" w:cs="Times New Roman"/>
          <w:b/>
          <w:bCs/>
          <w:kern w:val="44"/>
          <w:sz w:val="32"/>
          <w:szCs w:val="44"/>
          <w:lang w:val="en-US" w:eastAsia="zh-CN" w:bidi="ar-SA"/>
        </w:rPr>
      </w:pPr>
      <w:r>
        <w:rPr>
          <w:rFonts w:hint="default" w:ascii="Times New Roman" w:hAnsi="Times New Roman" w:eastAsia="宋体" w:cs="Times New Roman"/>
          <w:b/>
          <w:bCs/>
          <w:kern w:val="44"/>
          <w:sz w:val="32"/>
          <w:szCs w:val="44"/>
          <w:lang w:val="en-US" w:eastAsia="zh-CN" w:bidi="ar-SA"/>
        </w:rPr>
        <mc:AlternateContent>
          <mc:Choice Requires="wps">
            <w:drawing>
              <wp:anchor distT="0" distB="0" distL="114300" distR="114300" simplePos="0" relativeHeight="251659264" behindDoc="0" locked="0" layoutInCell="0" allowOverlap="1">
                <wp:simplePos x="0" y="0"/>
                <wp:positionH relativeFrom="column">
                  <wp:posOffset>1714500</wp:posOffset>
                </wp:positionH>
                <wp:positionV relativeFrom="paragraph">
                  <wp:posOffset>594360</wp:posOffset>
                </wp:positionV>
                <wp:extent cx="635" cy="0"/>
                <wp:effectExtent l="0" t="4445" r="0" b="5080"/>
                <wp:wrapNone/>
                <wp:docPr id="6" name="直接连接符 6"/>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35pt;margin-top:46.8pt;height:0pt;width:0.05pt;z-index:251659264;mso-width-relative:page;mso-height-relative:page;" filled="f" stroked="t" coordsize="21600,21600" o:allowincell="f" o:gfxdata="UEsDBAoAAAAAAIdO4kAAAAAAAAAAAAAAAAAEAAAAZHJzL1BLAwQUAAAACACHTuJANJPu+dUAAAAJ&#10;AQAADwAAAGRycy9kb3ducmV2LnhtbE2PzU7DMBCE70i8g7VIXCpqJ5UKhDg9ALlxoQVx3cZLEhGv&#10;09j9gadnEQc47uxo5ptydfKDOtAU+8AWsrkBRdwE13Nr4WVTX92AignZ4RCYLHxShFV1flZi4cKR&#10;n+mwTq2SEI4FWuhSGgutY9ORxzgPI7H83sPkMck5tdpNeJRwP+jcmKX22LM0dDjSfUfNx3rvLcT6&#10;lXb116yZmbdFGyjfPTw9orWXF5m5A5XolP7M8IMv6FAJ0zbs2UU1WMivjWxJFm4XS1BiECEDtf0V&#10;dFXq/wuqb1BLAwQUAAAACACHTuJArtm9Gu0BAADiAwAADgAAAGRycy9lMm9Eb2MueG1srVPNbhMx&#10;EL4j8Q6W72TToEawyqaHhnJBEAl4gIntzVrynzxuNnkJXgCJG5w4cudtaB+DsXcbSnvJoXvwztgz&#10;38z3eby42FvDdiqi9q7hZ5MpZ8oJL7XbNvzzp6sXrzjDBE6C8U41/KCQXyyfP1v0oVYz33kjVWQE&#10;4rDuQ8O7lEJdVSg6ZQEnPihHh62PFhK5cVvJCD2hW1PNptN51fsoQ/RCIdLuajjkI2I8BdC3rRZq&#10;5cW1VS4NqFEZSEQJOx2QL0u3batE+tC2qBIzDSemqaxUhOxNXqvlAupthNBpMbYAp7TwgJMF7ajo&#10;EWoFCdh11I+grBbRo2/TRHhbDUSKIsTibPpAm48dBFW4kNQYjqLj08GK97t1ZFo2fM6ZA0sXfvP1&#10;158v329/f6P15ucPNs8i9QFrir106zh6GNYxM9630eY/cWH7IuzhKKzaJyZoc/7ynDNxt1/9SwoR&#10;01vlLctGw412mS/UsHuHiQpR6F1I3jaO9Q1/fT7LcEDD19Klk2kDEUC3LbnojZZX2picgXG7uTSR&#10;7SAPQPkyHcL9LywXWQF2Q1w5GkajUyDfOMnSIZA0jl4Ezy1YJTkzih5QtggQ6gTanBJJpY3LCaqM&#10;58gz6zsomq2Nl4cidJU9uvrS8Timebbu+2Tff5rLv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DST&#10;7vnVAAAACQEAAA8AAAAAAAAAAQAgAAAAIgAAAGRycy9kb3ducmV2LnhtbFBLAQIUABQAAAAIAIdO&#10;4kCu2b0a7QEAAOIDAAAOAAAAAAAAAAEAIAAAACQBAABkcnMvZTJvRG9jLnhtbFBLBQYAAAAABgAG&#10;AFkBAACDBQAAAAA=&#10;">
                <v:fill on="f" focussize="0,0"/>
                <v:stroke color="#000000" joinstyle="round"/>
                <v:imagedata o:title=""/>
                <o:lock v:ext="edit" aspectratio="f"/>
              </v:line>
            </w:pict>
          </mc:Fallback>
        </mc:AlternateContent>
      </w:r>
      <w:bookmarkEnd w:id="163"/>
      <w:bookmarkStart w:id="164" w:name="_Toc23907"/>
      <w:bookmarkStart w:id="165" w:name="_Toc328739380"/>
      <w:r>
        <w:rPr>
          <w:rFonts w:hint="default" w:ascii="Times New Roman" w:hAnsi="Times New Roman" w:eastAsia="宋体" w:cs="Times New Roman"/>
          <w:b/>
          <w:bCs/>
          <w:kern w:val="44"/>
          <w:sz w:val="32"/>
          <w:szCs w:val="44"/>
          <w:lang w:val="en-US" w:eastAsia="zh-CN" w:bidi="ar-SA"/>
        </w:rPr>
        <w:t>商务要求</w:t>
      </w:r>
    </w:p>
    <w:p w14:paraId="41D0B481">
      <w:pPr>
        <w:rPr>
          <w:rFonts w:hAnsi="宋体"/>
          <w:szCs w:val="24"/>
        </w:rPr>
      </w:pPr>
      <w:r>
        <w:rPr>
          <w:rFonts w:hint="eastAsia"/>
          <w:szCs w:val="24"/>
        </w:rPr>
        <w:t>本</w:t>
      </w:r>
      <w:r>
        <w:rPr>
          <w:rFonts w:hint="eastAsia" w:hAnsi="宋体"/>
          <w:szCs w:val="24"/>
        </w:rPr>
        <w:t>表是对合同条款的具体补充和修改，如有矛盾，应以本资料表为准。</w:t>
      </w:r>
    </w:p>
    <w:tbl>
      <w:tblPr>
        <w:tblStyle w:val="24"/>
        <w:tblW w:w="917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751"/>
        <w:gridCol w:w="8423"/>
      </w:tblGrid>
      <w:tr w14:paraId="60AB5C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1" w:hRule="atLeast"/>
          <w:jc w:val="center"/>
        </w:trPr>
        <w:tc>
          <w:tcPr>
            <w:tcW w:w="751" w:type="dxa"/>
            <w:noWrap w:val="0"/>
            <w:vAlign w:val="center"/>
          </w:tcPr>
          <w:p w14:paraId="034B7997">
            <w:pPr>
              <w:spacing w:line="360" w:lineRule="auto"/>
              <w:jc w:val="center"/>
              <w:rPr>
                <w:rFonts w:hint="eastAsia" w:hAnsi="宋体" w:cs="宋体"/>
                <w:szCs w:val="24"/>
              </w:rPr>
            </w:pPr>
            <w:r>
              <w:rPr>
                <w:rFonts w:hint="eastAsia" w:hAnsi="宋体" w:cs="宋体"/>
                <w:szCs w:val="24"/>
              </w:rPr>
              <w:t>条款号</w:t>
            </w:r>
          </w:p>
        </w:tc>
        <w:tc>
          <w:tcPr>
            <w:tcW w:w="8423" w:type="dxa"/>
            <w:noWrap w:val="0"/>
            <w:vAlign w:val="center"/>
          </w:tcPr>
          <w:p w14:paraId="6ABF9AEF">
            <w:pPr>
              <w:spacing w:line="360" w:lineRule="auto"/>
              <w:jc w:val="center"/>
              <w:rPr>
                <w:rFonts w:hint="eastAsia" w:hAnsi="宋体" w:cs="宋体"/>
                <w:b/>
                <w:szCs w:val="24"/>
              </w:rPr>
            </w:pPr>
            <w:r>
              <w:rPr>
                <w:rFonts w:hint="eastAsia" w:hAnsi="宋体" w:cs="宋体"/>
                <w:b/>
                <w:szCs w:val="24"/>
              </w:rPr>
              <w:t>内      容</w:t>
            </w:r>
          </w:p>
        </w:tc>
      </w:tr>
      <w:tr w14:paraId="4F9525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751" w:type="dxa"/>
            <w:noWrap w:val="0"/>
            <w:vAlign w:val="center"/>
          </w:tcPr>
          <w:p w14:paraId="2371AEC7">
            <w:pPr>
              <w:jc w:val="center"/>
              <w:rPr>
                <w:rFonts w:hint="eastAsia" w:hAnsi="宋体" w:cs="宋体"/>
                <w:szCs w:val="24"/>
                <w:highlight w:val="none"/>
              </w:rPr>
            </w:pPr>
            <w:r>
              <w:rPr>
                <w:rFonts w:hint="eastAsia" w:hAnsi="宋体" w:cs="宋体"/>
                <w:szCs w:val="24"/>
                <w:highlight w:val="none"/>
              </w:rPr>
              <w:t>1</w:t>
            </w:r>
          </w:p>
        </w:tc>
        <w:tc>
          <w:tcPr>
            <w:tcW w:w="8423" w:type="dxa"/>
            <w:noWrap w:val="0"/>
            <w:vAlign w:val="center"/>
          </w:tcPr>
          <w:p w14:paraId="576015A0">
            <w:pPr>
              <w:keepNext w:val="0"/>
              <w:keepLines w:val="0"/>
              <w:pageBreakBefore w:val="0"/>
              <w:widowControl w:val="0"/>
              <w:kinsoku/>
              <w:wordWrap/>
              <w:overflowPunct/>
              <w:topLinePunct w:val="0"/>
              <w:autoSpaceDE/>
              <w:autoSpaceDN/>
              <w:bidi w:val="0"/>
              <w:adjustRightInd/>
              <w:snapToGrid w:val="0"/>
              <w:spacing w:line="360" w:lineRule="auto"/>
              <w:ind w:left="0" w:hanging="480" w:hanging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采购人名称：</w:t>
            </w:r>
            <w:r>
              <w:rPr>
                <w:rFonts w:hint="eastAsia" w:ascii="宋体" w:hAnsi="宋体" w:eastAsia="宋体" w:cs="宋体"/>
                <w:color w:val="auto"/>
                <w:sz w:val="24"/>
                <w:highlight w:val="none"/>
                <w:lang w:val="en-US" w:eastAsia="zh-CN"/>
              </w:rPr>
              <w:t>榆林</w:t>
            </w:r>
            <w:r>
              <w:rPr>
                <w:rFonts w:hint="eastAsia" w:ascii="宋体" w:hAnsi="宋体" w:eastAsia="宋体" w:cs="宋体"/>
                <w:color w:val="auto"/>
                <w:sz w:val="24"/>
                <w:highlight w:val="none"/>
              </w:rPr>
              <w:t>职业技术学院</w:t>
            </w:r>
          </w:p>
          <w:p w14:paraId="66A94B87">
            <w:pPr>
              <w:keepNext w:val="0"/>
              <w:keepLines w:val="0"/>
              <w:pageBreakBefore w:val="0"/>
              <w:widowControl w:val="0"/>
              <w:kinsoku/>
              <w:wordWrap/>
              <w:overflowPunct/>
              <w:topLinePunct w:val="0"/>
              <w:autoSpaceDE/>
              <w:autoSpaceDN/>
              <w:bidi w:val="0"/>
              <w:adjustRightInd/>
              <w:snapToGrid w:val="0"/>
              <w:spacing w:line="360" w:lineRule="auto"/>
              <w:ind w:left="0" w:hanging="480" w:hangingChars="2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lang w:eastAsia="zh-CN"/>
              </w:rPr>
              <w:t>陕西省榆林市高新技术产业园西环路1号</w:t>
            </w:r>
          </w:p>
          <w:p w14:paraId="5C9C73A4">
            <w:pPr>
              <w:keepNext w:val="0"/>
              <w:keepLines w:val="0"/>
              <w:pageBreakBefore w:val="0"/>
              <w:widowControl w:val="0"/>
              <w:kinsoku/>
              <w:wordWrap/>
              <w:overflowPunct/>
              <w:topLinePunct w:val="0"/>
              <w:autoSpaceDE/>
              <w:autoSpaceDN/>
              <w:bidi w:val="0"/>
              <w:adjustRightInd/>
              <w:snapToGrid w:val="0"/>
              <w:spacing w:line="360" w:lineRule="auto"/>
              <w:ind w:left="0" w:hanging="480" w:hanging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榆林职业技术学院煤化工技术专业（群）教学资源库建设采购项目（二次）</w:t>
            </w:r>
            <w:r>
              <w:rPr>
                <w:rFonts w:hint="eastAsia" w:ascii="宋体" w:hAnsi="宋体" w:eastAsia="宋体" w:cs="宋体"/>
                <w:color w:val="auto"/>
                <w:sz w:val="24"/>
                <w:highlight w:val="none"/>
              </w:rPr>
              <w:t>资金来源：</w:t>
            </w:r>
            <w:r>
              <w:rPr>
                <w:rFonts w:hint="eastAsia" w:ascii="宋体" w:hAnsi="宋体" w:eastAsia="宋体" w:cs="宋体"/>
                <w:color w:val="auto"/>
                <w:sz w:val="24"/>
                <w:highlight w:val="none"/>
                <w:lang w:val="en-US" w:eastAsia="zh-CN"/>
              </w:rPr>
              <w:t>学院专项</w:t>
            </w:r>
            <w:r>
              <w:rPr>
                <w:rFonts w:hint="eastAsia" w:ascii="宋体" w:hAnsi="宋体" w:eastAsia="宋体" w:cs="宋体"/>
                <w:color w:val="auto"/>
                <w:sz w:val="24"/>
                <w:highlight w:val="none"/>
              </w:rPr>
              <w:t>资金</w:t>
            </w:r>
          </w:p>
        </w:tc>
      </w:tr>
      <w:tr w14:paraId="2DE927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3" w:hRule="atLeast"/>
          <w:jc w:val="center"/>
        </w:trPr>
        <w:tc>
          <w:tcPr>
            <w:tcW w:w="751" w:type="dxa"/>
            <w:noWrap w:val="0"/>
            <w:vAlign w:val="center"/>
          </w:tcPr>
          <w:p w14:paraId="756DCA1D">
            <w:pPr>
              <w:spacing w:line="360" w:lineRule="auto"/>
              <w:jc w:val="center"/>
              <w:rPr>
                <w:rFonts w:hint="eastAsia" w:hAnsi="宋体" w:cs="宋体"/>
                <w:szCs w:val="24"/>
              </w:rPr>
            </w:pPr>
            <w:r>
              <w:rPr>
                <w:rFonts w:hint="eastAsia" w:hAnsi="宋体" w:cs="宋体"/>
                <w:szCs w:val="24"/>
              </w:rPr>
              <w:t>2</w:t>
            </w:r>
          </w:p>
        </w:tc>
        <w:tc>
          <w:tcPr>
            <w:tcW w:w="8423" w:type="dxa"/>
            <w:noWrap w:val="0"/>
            <w:vAlign w:val="center"/>
          </w:tcPr>
          <w:p w14:paraId="16CFDBDA">
            <w:pPr>
              <w:keepNext w:val="0"/>
              <w:keepLines w:val="0"/>
              <w:pageBreakBefore w:val="0"/>
              <w:widowControl w:val="0"/>
              <w:kinsoku/>
              <w:wordWrap/>
              <w:overflowPunct/>
              <w:topLinePunct w:val="0"/>
              <w:autoSpaceDE/>
              <w:autoSpaceDN/>
              <w:bidi w:val="0"/>
              <w:adjustRightInd/>
              <w:snapToGrid w:val="0"/>
              <w:spacing w:line="360" w:lineRule="auto"/>
              <w:ind w:left="0" w:hanging="480" w:hangingChars="200"/>
              <w:jc w:val="left"/>
              <w:textAlignment w:val="auto"/>
              <w:rPr>
                <w:rFonts w:hint="eastAsia" w:ascii="宋体" w:hAnsi="宋体" w:eastAsia="宋体" w:cs="宋体"/>
                <w:color w:val="auto"/>
                <w:sz w:val="24"/>
              </w:rPr>
            </w:pPr>
            <w:r>
              <w:rPr>
                <w:rFonts w:hint="eastAsia" w:ascii="宋体" w:hAnsi="宋体" w:eastAsia="宋体" w:cs="宋体"/>
                <w:color w:val="auto"/>
                <w:sz w:val="24"/>
              </w:rPr>
              <w:t>服务地点：采购人指定地点。</w:t>
            </w:r>
          </w:p>
        </w:tc>
      </w:tr>
      <w:tr w14:paraId="2131AD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751" w:type="dxa"/>
            <w:noWrap w:val="0"/>
            <w:vAlign w:val="center"/>
          </w:tcPr>
          <w:p w14:paraId="71861B29">
            <w:pPr>
              <w:spacing w:line="360" w:lineRule="auto"/>
              <w:jc w:val="center"/>
              <w:rPr>
                <w:rFonts w:hint="eastAsia" w:hAnsi="宋体" w:cs="宋体"/>
                <w:color w:val="FF0000"/>
                <w:szCs w:val="24"/>
                <w:highlight w:val="none"/>
              </w:rPr>
            </w:pPr>
            <w:r>
              <w:rPr>
                <w:rFonts w:hint="eastAsia" w:hAnsi="宋体" w:cs="宋体"/>
                <w:color w:val="auto"/>
                <w:szCs w:val="24"/>
                <w:highlight w:val="none"/>
              </w:rPr>
              <w:t>3</w:t>
            </w:r>
          </w:p>
        </w:tc>
        <w:tc>
          <w:tcPr>
            <w:tcW w:w="8423" w:type="dxa"/>
            <w:noWrap w:val="0"/>
            <w:vAlign w:val="center"/>
          </w:tcPr>
          <w:p w14:paraId="714BC6AC">
            <w:pPr>
              <w:keepNext w:val="0"/>
              <w:keepLines w:val="0"/>
              <w:pageBreakBefore w:val="0"/>
              <w:widowControl w:val="0"/>
              <w:kinsoku/>
              <w:wordWrap/>
              <w:overflowPunct/>
              <w:topLinePunct w:val="0"/>
              <w:autoSpaceDE/>
              <w:autoSpaceDN/>
              <w:bidi w:val="0"/>
              <w:adjustRightInd/>
              <w:snapToGrid w:val="0"/>
              <w:spacing w:line="360" w:lineRule="auto"/>
              <w:ind w:left="0" w:hanging="480" w:hangingChars="200"/>
              <w:jc w:val="left"/>
              <w:textAlignment w:val="auto"/>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服务期:</w:t>
            </w:r>
            <w:r>
              <w:rPr>
                <w:rFonts w:hint="eastAsia" w:ascii="宋体" w:hAnsi="宋体" w:eastAsia="宋体" w:cs="宋体"/>
                <w:color w:val="auto"/>
                <w:sz w:val="24"/>
                <w:highlight w:val="none"/>
                <w:lang w:eastAsia="zh-CN"/>
              </w:rPr>
              <w:t>合同签订之日起</w:t>
            </w:r>
            <w:r>
              <w:rPr>
                <w:rFonts w:hint="eastAsia" w:ascii="宋体" w:hAnsi="宋体" w:cs="宋体"/>
                <w:color w:val="auto"/>
                <w:sz w:val="24"/>
                <w:highlight w:val="none"/>
                <w:lang w:val="en-US" w:eastAsia="zh-CN"/>
              </w:rPr>
              <w:t>180天</w:t>
            </w:r>
          </w:p>
        </w:tc>
      </w:tr>
      <w:tr w14:paraId="74A07F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751" w:type="dxa"/>
            <w:noWrap w:val="0"/>
            <w:vAlign w:val="center"/>
          </w:tcPr>
          <w:p w14:paraId="23AF50A2">
            <w:pPr>
              <w:spacing w:line="360" w:lineRule="auto"/>
              <w:jc w:val="center"/>
              <w:rPr>
                <w:rFonts w:hint="eastAsia" w:hAnsi="宋体" w:cs="宋体"/>
                <w:szCs w:val="24"/>
              </w:rPr>
            </w:pPr>
            <w:r>
              <w:rPr>
                <w:rFonts w:hint="eastAsia" w:hAnsi="宋体" w:cs="宋体"/>
                <w:szCs w:val="24"/>
              </w:rPr>
              <w:t>4</w:t>
            </w:r>
          </w:p>
        </w:tc>
        <w:tc>
          <w:tcPr>
            <w:tcW w:w="8423" w:type="dxa"/>
            <w:noWrap w:val="0"/>
            <w:vAlign w:val="center"/>
          </w:tcPr>
          <w:p w14:paraId="082D4738">
            <w:pPr>
              <w:keepNext w:val="0"/>
              <w:keepLines w:val="0"/>
              <w:pageBreakBefore w:val="0"/>
              <w:widowControl w:val="0"/>
              <w:kinsoku/>
              <w:wordWrap/>
              <w:overflowPunct/>
              <w:topLinePunct w:val="0"/>
              <w:autoSpaceDE/>
              <w:autoSpaceDN/>
              <w:bidi w:val="0"/>
              <w:adjustRightInd/>
              <w:snapToGrid w:val="0"/>
              <w:spacing w:line="360" w:lineRule="auto"/>
              <w:ind w:left="0" w:hanging="480" w:hangingChars="200"/>
              <w:jc w:val="left"/>
              <w:textAlignment w:val="auto"/>
              <w:rPr>
                <w:rFonts w:hint="eastAsia" w:ascii="宋体" w:hAnsi="宋体" w:eastAsia="宋体" w:cs="宋体"/>
                <w:sz w:val="24"/>
              </w:rPr>
            </w:pPr>
            <w:r>
              <w:rPr>
                <w:rFonts w:hint="eastAsia" w:ascii="宋体" w:hAnsi="宋体" w:eastAsia="宋体" w:cs="宋体"/>
                <w:sz w:val="24"/>
              </w:rPr>
              <w:t>付款方式：具体以合同约定为准。</w:t>
            </w:r>
          </w:p>
        </w:tc>
      </w:tr>
      <w:tr w14:paraId="15759E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768" w:hRule="atLeast"/>
          <w:jc w:val="center"/>
        </w:trPr>
        <w:tc>
          <w:tcPr>
            <w:tcW w:w="751" w:type="dxa"/>
            <w:noWrap w:val="0"/>
            <w:vAlign w:val="center"/>
          </w:tcPr>
          <w:p w14:paraId="15ED5733">
            <w:pPr>
              <w:spacing w:line="360" w:lineRule="auto"/>
              <w:jc w:val="center"/>
              <w:rPr>
                <w:rFonts w:hint="eastAsia" w:hAnsi="宋体"/>
                <w:szCs w:val="24"/>
                <w:highlight w:val="none"/>
              </w:rPr>
            </w:pPr>
            <w:r>
              <w:rPr>
                <w:rFonts w:hint="eastAsia" w:hAnsi="宋体"/>
                <w:szCs w:val="24"/>
                <w:highlight w:val="none"/>
              </w:rPr>
              <w:t>5</w:t>
            </w:r>
          </w:p>
        </w:tc>
        <w:tc>
          <w:tcPr>
            <w:tcW w:w="8423" w:type="dxa"/>
            <w:noWrap w:val="0"/>
            <w:vAlign w:val="center"/>
          </w:tcPr>
          <w:p w14:paraId="145C6139">
            <w:pPr>
              <w:snapToGrid w:val="0"/>
              <w:spacing w:line="360" w:lineRule="auto"/>
              <w:ind w:left="480" w:hanging="480" w:hangingChars="200"/>
              <w:rPr>
                <w:rFonts w:hint="eastAsia" w:ascii="宋体" w:hAnsi="宋体" w:eastAsia="宋体" w:cs="宋体"/>
                <w:sz w:val="24"/>
                <w:highlight w:val="none"/>
              </w:rPr>
            </w:pPr>
            <w:r>
              <w:rPr>
                <w:rFonts w:hint="eastAsia" w:ascii="宋体" w:hAnsi="宋体" w:eastAsia="宋体" w:cs="宋体"/>
                <w:sz w:val="24"/>
                <w:highlight w:val="none"/>
              </w:rPr>
              <w:t>质量保证：</w:t>
            </w:r>
          </w:p>
          <w:p w14:paraId="74023E76">
            <w:pPr>
              <w:snapToGrid w:val="0"/>
              <w:spacing w:line="360" w:lineRule="auto"/>
              <w:ind w:left="480" w:hanging="480" w:hangingChars="200"/>
              <w:rPr>
                <w:rFonts w:hint="eastAsia" w:ascii="宋体" w:hAnsi="宋体" w:eastAsia="宋体" w:cs="宋体"/>
                <w:sz w:val="24"/>
                <w:highlight w:val="none"/>
              </w:rPr>
            </w:pPr>
            <w:r>
              <w:rPr>
                <w:rFonts w:hint="eastAsia" w:ascii="宋体" w:hAnsi="宋体" w:eastAsia="宋体" w:cs="宋体"/>
                <w:sz w:val="24"/>
                <w:highlight w:val="none"/>
              </w:rPr>
              <w:t>1、所有</w:t>
            </w:r>
            <w:r>
              <w:rPr>
                <w:rFonts w:hint="eastAsia" w:ascii="宋体" w:hAnsi="宋体" w:eastAsia="宋体" w:cs="宋体"/>
                <w:sz w:val="24"/>
                <w:highlight w:val="none"/>
                <w:lang w:eastAsia="zh-CN"/>
              </w:rPr>
              <w:t>服务</w:t>
            </w:r>
            <w:r>
              <w:rPr>
                <w:rFonts w:hint="eastAsia" w:ascii="宋体" w:hAnsi="宋体" w:eastAsia="宋体" w:cs="宋体"/>
                <w:sz w:val="24"/>
                <w:highlight w:val="none"/>
              </w:rPr>
              <w:t>须符合行业标准及相关规定；</w:t>
            </w:r>
          </w:p>
          <w:p w14:paraId="21B5526D">
            <w:pPr>
              <w:snapToGrid w:val="0"/>
              <w:spacing w:line="360" w:lineRule="auto"/>
              <w:ind w:left="480" w:hanging="480" w:hangingChars="200"/>
              <w:rPr>
                <w:rFonts w:hint="eastAsia" w:ascii="宋体" w:hAnsi="宋体" w:eastAsia="宋体" w:cs="宋体"/>
                <w:sz w:val="24"/>
                <w:highlight w:val="none"/>
              </w:rPr>
            </w:pPr>
            <w:r>
              <w:rPr>
                <w:rFonts w:hint="eastAsia" w:ascii="宋体" w:hAnsi="宋体" w:eastAsia="宋体" w:cs="宋体"/>
                <w:sz w:val="24"/>
                <w:highlight w:val="none"/>
              </w:rPr>
              <w:t>2、所有</w:t>
            </w:r>
            <w:r>
              <w:rPr>
                <w:rFonts w:hint="eastAsia" w:ascii="宋体" w:hAnsi="宋体" w:eastAsia="宋体" w:cs="宋体"/>
                <w:sz w:val="24"/>
                <w:highlight w:val="none"/>
                <w:lang w:eastAsia="zh-CN"/>
              </w:rPr>
              <w:t>服务</w:t>
            </w:r>
            <w:r>
              <w:rPr>
                <w:rFonts w:hint="eastAsia" w:ascii="宋体" w:hAnsi="宋体" w:eastAsia="宋体" w:cs="宋体"/>
                <w:sz w:val="24"/>
                <w:highlight w:val="none"/>
              </w:rPr>
              <w:t>须符合国家相关政策规范执行标准；</w:t>
            </w:r>
          </w:p>
          <w:p w14:paraId="71740835">
            <w:pPr>
              <w:snapToGrid w:val="0"/>
              <w:spacing w:line="360" w:lineRule="auto"/>
              <w:ind w:left="480" w:hanging="480" w:hangingChars="200"/>
              <w:rPr>
                <w:rFonts w:hint="eastAsia" w:ascii="宋体" w:hAnsi="宋体" w:eastAsia="宋体" w:cs="宋体"/>
                <w:sz w:val="24"/>
                <w:highlight w:val="none"/>
              </w:rPr>
            </w:pPr>
            <w:r>
              <w:rPr>
                <w:rFonts w:hint="eastAsia" w:ascii="宋体" w:hAnsi="宋体" w:eastAsia="宋体" w:cs="宋体"/>
                <w:sz w:val="24"/>
                <w:highlight w:val="none"/>
              </w:rPr>
              <w:t>3、成交供应商必须严格按国家及</w:t>
            </w:r>
            <w:r>
              <w:rPr>
                <w:rFonts w:hint="eastAsia" w:ascii="宋体" w:hAnsi="宋体" w:eastAsia="宋体" w:cs="宋体"/>
                <w:sz w:val="24"/>
                <w:highlight w:val="none"/>
                <w:lang w:val="en-US" w:eastAsia="zh-CN"/>
              </w:rPr>
              <w:t>中国（</w:t>
            </w:r>
            <w:r>
              <w:rPr>
                <w:rFonts w:hint="eastAsia" w:ascii="宋体" w:hAnsi="宋体" w:eastAsia="宋体" w:cs="宋体"/>
                <w:sz w:val="24"/>
                <w:highlight w:val="none"/>
              </w:rPr>
              <w:t>陕西省</w:t>
            </w:r>
            <w:r>
              <w:rPr>
                <w:rFonts w:hint="eastAsia" w:ascii="宋体" w:hAnsi="宋体" w:eastAsia="宋体" w:cs="宋体"/>
                <w:sz w:val="24"/>
                <w:highlight w:val="none"/>
                <w:lang w:eastAsia="zh-CN"/>
              </w:rPr>
              <w:t>）</w:t>
            </w:r>
            <w:r>
              <w:rPr>
                <w:rFonts w:hint="eastAsia" w:ascii="宋体" w:hAnsi="宋体" w:eastAsia="宋体" w:cs="宋体"/>
                <w:sz w:val="24"/>
                <w:highlight w:val="none"/>
              </w:rPr>
              <w:t>现行技术标准和规范进行</w:t>
            </w:r>
            <w:r>
              <w:rPr>
                <w:rFonts w:hint="eastAsia" w:ascii="宋体" w:hAnsi="宋体" w:eastAsia="宋体" w:cs="宋体"/>
                <w:sz w:val="24"/>
                <w:highlight w:val="none"/>
                <w:lang w:eastAsia="zh-CN"/>
              </w:rPr>
              <w:t>服务</w:t>
            </w:r>
            <w:r>
              <w:rPr>
                <w:rFonts w:hint="eastAsia" w:ascii="宋体" w:hAnsi="宋体" w:eastAsia="宋体" w:cs="宋体"/>
                <w:sz w:val="24"/>
                <w:highlight w:val="none"/>
              </w:rPr>
              <w:t>；</w:t>
            </w:r>
          </w:p>
          <w:p w14:paraId="209C56F6">
            <w:pPr>
              <w:snapToGrid w:val="0"/>
              <w:spacing w:line="360" w:lineRule="auto"/>
              <w:ind w:left="480" w:hanging="480" w:hangingChars="200"/>
              <w:rPr>
                <w:rFonts w:hint="eastAsia" w:ascii="宋体" w:hAnsi="宋体" w:eastAsia="宋体" w:cs="宋体"/>
                <w:sz w:val="24"/>
                <w:highlight w:val="none"/>
              </w:rPr>
            </w:pPr>
            <w:r>
              <w:rPr>
                <w:rFonts w:hint="eastAsia" w:ascii="宋体" w:hAnsi="宋体" w:eastAsia="宋体" w:cs="宋体"/>
                <w:sz w:val="24"/>
                <w:highlight w:val="none"/>
              </w:rPr>
              <w:t>4、出现的</w:t>
            </w:r>
            <w:r>
              <w:rPr>
                <w:rFonts w:hint="eastAsia" w:ascii="宋体" w:hAnsi="宋体" w:eastAsia="宋体" w:cs="宋体"/>
                <w:sz w:val="24"/>
                <w:highlight w:val="none"/>
                <w:lang w:eastAsia="zh-CN"/>
              </w:rPr>
              <w:t>服务质量</w:t>
            </w:r>
            <w:r>
              <w:rPr>
                <w:rFonts w:hint="eastAsia" w:ascii="宋体" w:hAnsi="宋体" w:eastAsia="宋体" w:cs="宋体"/>
                <w:sz w:val="24"/>
                <w:highlight w:val="none"/>
              </w:rPr>
              <w:t>问题由成交供应商负责解决并承担所有费用。</w:t>
            </w:r>
          </w:p>
          <w:p w14:paraId="6B7FA0BD">
            <w:pPr>
              <w:snapToGrid w:val="0"/>
              <w:spacing w:line="360" w:lineRule="auto"/>
              <w:ind w:left="480" w:hanging="480" w:hangingChars="200"/>
              <w:rPr>
                <w:rFonts w:hint="eastAsia" w:ascii="宋体" w:hAnsi="宋体" w:eastAsia="宋体" w:cs="宋体"/>
                <w:sz w:val="24"/>
                <w:highlight w:val="none"/>
              </w:rPr>
            </w:pPr>
            <w:r>
              <w:rPr>
                <w:rFonts w:hint="eastAsia" w:ascii="宋体" w:hAnsi="宋体" w:eastAsia="宋体" w:cs="宋体"/>
                <w:sz w:val="24"/>
                <w:highlight w:val="none"/>
              </w:rPr>
              <w:t>5、成交供应商承担按国家及地方的有关法律和规定应承担本工程的所有安全的责任和义务。</w:t>
            </w:r>
          </w:p>
        </w:tc>
      </w:tr>
      <w:tr w14:paraId="765D80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9" w:hRule="atLeast"/>
          <w:jc w:val="center"/>
        </w:trPr>
        <w:tc>
          <w:tcPr>
            <w:tcW w:w="751" w:type="dxa"/>
            <w:noWrap w:val="0"/>
            <w:vAlign w:val="center"/>
          </w:tcPr>
          <w:p w14:paraId="5AAD10E0">
            <w:pPr>
              <w:spacing w:line="360" w:lineRule="auto"/>
              <w:jc w:val="center"/>
              <w:rPr>
                <w:rFonts w:hint="eastAsia" w:hAnsi="宋体"/>
                <w:szCs w:val="24"/>
              </w:rPr>
            </w:pPr>
            <w:r>
              <w:rPr>
                <w:rFonts w:hint="eastAsia" w:hAnsi="宋体"/>
                <w:szCs w:val="24"/>
              </w:rPr>
              <w:t>6</w:t>
            </w:r>
          </w:p>
        </w:tc>
        <w:tc>
          <w:tcPr>
            <w:tcW w:w="8423" w:type="dxa"/>
            <w:noWrap w:val="0"/>
            <w:vAlign w:val="center"/>
          </w:tcPr>
          <w:p w14:paraId="0F22337D">
            <w:pPr>
              <w:snapToGrid w:val="0"/>
              <w:spacing w:line="360" w:lineRule="auto"/>
              <w:ind w:left="480" w:hanging="480" w:hangingChars="200"/>
              <w:rPr>
                <w:rFonts w:hint="eastAsia" w:ascii="宋体" w:hAnsi="宋体" w:eastAsia="宋体" w:cs="宋体"/>
                <w:sz w:val="24"/>
                <w:highlight w:val="red"/>
                <w:lang w:val="en-US" w:eastAsia="zh-CN"/>
              </w:rPr>
            </w:pPr>
            <w:r>
              <w:rPr>
                <w:rFonts w:hint="eastAsia" w:ascii="宋体" w:hAnsi="宋体" w:eastAsia="宋体" w:cs="宋体"/>
                <w:sz w:val="24"/>
              </w:rPr>
              <w:t>验收：本项目验收将严格按照本项目竞争性磋商文件、成交供应商的响应文件、相关承诺以及本合同约定的各项内容、技术标准和要求执行。</w:t>
            </w:r>
          </w:p>
        </w:tc>
      </w:tr>
      <w:tr w14:paraId="1129CD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751" w:type="dxa"/>
            <w:noWrap w:val="0"/>
            <w:vAlign w:val="top"/>
          </w:tcPr>
          <w:p w14:paraId="46CDE4DA">
            <w:pPr>
              <w:spacing w:line="360" w:lineRule="auto"/>
              <w:ind w:firstLine="210" w:firstLineChars="100"/>
              <w:jc w:val="both"/>
              <w:rPr>
                <w:rFonts w:hint="eastAsia" w:hAnsi="宋体"/>
                <w:szCs w:val="24"/>
              </w:rPr>
            </w:pPr>
          </w:p>
          <w:p w14:paraId="391E4945">
            <w:pPr>
              <w:spacing w:line="360" w:lineRule="auto"/>
              <w:ind w:firstLine="210" w:firstLineChars="100"/>
              <w:jc w:val="both"/>
              <w:rPr>
                <w:rFonts w:hint="eastAsia" w:hAnsi="宋体"/>
                <w:szCs w:val="24"/>
              </w:rPr>
            </w:pPr>
          </w:p>
          <w:p w14:paraId="4E8600E2">
            <w:pPr>
              <w:spacing w:line="360" w:lineRule="auto"/>
              <w:ind w:firstLine="210" w:firstLineChars="100"/>
              <w:jc w:val="both"/>
              <w:rPr>
                <w:rFonts w:hAnsi="宋体"/>
                <w:szCs w:val="24"/>
              </w:rPr>
            </w:pPr>
            <w:r>
              <w:rPr>
                <w:rFonts w:hint="eastAsia" w:hAnsi="宋体"/>
                <w:szCs w:val="24"/>
              </w:rPr>
              <w:t>7</w:t>
            </w:r>
          </w:p>
        </w:tc>
        <w:tc>
          <w:tcPr>
            <w:tcW w:w="8423" w:type="dxa"/>
            <w:noWrap w:val="0"/>
            <w:vAlign w:val="top"/>
          </w:tcPr>
          <w:p w14:paraId="6BF3FA7D">
            <w:pPr>
              <w:snapToGrid w:val="0"/>
              <w:spacing w:line="360" w:lineRule="auto"/>
              <w:ind w:left="480" w:hanging="480" w:hangingChars="200"/>
              <w:jc w:val="both"/>
              <w:rPr>
                <w:rFonts w:hint="eastAsia" w:ascii="宋体" w:hAnsi="宋体" w:eastAsia="宋体" w:cs="宋体"/>
                <w:sz w:val="24"/>
              </w:rPr>
            </w:pPr>
            <w:r>
              <w:rPr>
                <w:rFonts w:hint="eastAsia" w:ascii="宋体" w:hAnsi="宋体" w:eastAsia="宋体" w:cs="宋体"/>
                <w:sz w:val="24"/>
              </w:rPr>
              <w:t>违约责任：</w:t>
            </w:r>
          </w:p>
          <w:p w14:paraId="2B34DEB6">
            <w:pPr>
              <w:snapToGrid w:val="0"/>
              <w:spacing w:line="360" w:lineRule="auto"/>
              <w:ind w:left="480" w:hanging="480" w:hangingChars="200"/>
              <w:jc w:val="both"/>
              <w:rPr>
                <w:rFonts w:hint="eastAsia" w:ascii="宋体" w:hAnsi="宋体" w:eastAsia="宋体" w:cs="宋体"/>
                <w:sz w:val="24"/>
                <w:highlight w:val="none"/>
              </w:rPr>
            </w:pPr>
            <w:r>
              <w:rPr>
                <w:rFonts w:hint="eastAsia" w:ascii="宋体" w:hAnsi="宋体" w:eastAsia="宋体" w:cs="宋体"/>
                <w:sz w:val="24"/>
              </w:rPr>
              <w:t>按《</w:t>
            </w:r>
            <w:r>
              <w:rPr>
                <w:rFonts w:hint="eastAsia" w:ascii="宋体" w:hAnsi="宋体" w:eastAsia="宋体" w:cs="宋体"/>
                <w:sz w:val="24"/>
                <w:lang w:eastAsia="zh-CN"/>
              </w:rPr>
              <w:t>民</w:t>
            </w:r>
            <w:r>
              <w:rPr>
                <w:rFonts w:hint="eastAsia" w:ascii="宋体" w:hAnsi="宋体" w:eastAsia="宋体" w:cs="宋体"/>
                <w:sz w:val="24"/>
                <w:highlight w:val="none"/>
                <w:lang w:eastAsia="zh-CN"/>
              </w:rPr>
              <w:t>法典</w:t>
            </w:r>
            <w:r>
              <w:rPr>
                <w:rFonts w:hint="eastAsia" w:ascii="宋体" w:hAnsi="宋体" w:eastAsia="宋体" w:cs="宋体"/>
                <w:sz w:val="24"/>
                <w:highlight w:val="none"/>
              </w:rPr>
              <w:t>》中的相关条款执行。</w:t>
            </w:r>
          </w:p>
          <w:p w14:paraId="723C0DE8">
            <w:pPr>
              <w:snapToGrid w:val="0"/>
              <w:spacing w:line="360" w:lineRule="auto"/>
              <w:jc w:val="both"/>
              <w:rPr>
                <w:rFonts w:hint="eastAsia" w:ascii="宋体" w:hAnsi="宋体" w:eastAsia="宋体" w:cs="宋体"/>
                <w:sz w:val="24"/>
              </w:rPr>
            </w:pPr>
            <w:r>
              <w:rPr>
                <w:rFonts w:hint="eastAsia" w:ascii="宋体" w:hAnsi="宋体" w:eastAsia="宋体" w:cs="宋体"/>
                <w:sz w:val="24"/>
                <w:highlight w:val="none"/>
                <w:lang w:val="en-US" w:eastAsia="zh-CN"/>
              </w:rPr>
              <w:t>未按合同要求提供服务不能满足采购要求，采购单位（榆林职业技术学院）会同招标代理机构有权终止合同和对供</w:t>
            </w:r>
            <w:r>
              <w:rPr>
                <w:rFonts w:hint="eastAsia" w:ascii="宋体" w:hAnsi="宋体" w:eastAsia="宋体" w:cs="宋体"/>
                <w:sz w:val="24"/>
                <w:lang w:val="en-US" w:eastAsia="zh-CN"/>
              </w:rPr>
              <w:t>方违约行为进行追究，同时按政府采购法的有关规定进行相应的处罚。</w:t>
            </w:r>
          </w:p>
        </w:tc>
      </w:tr>
    </w:tbl>
    <w:p w14:paraId="36A624B1">
      <w:pPr>
        <w:rPr>
          <w:rFonts w:hint="eastAsia"/>
        </w:rPr>
      </w:pPr>
    </w:p>
    <w:p w14:paraId="5828CBEA">
      <w:pPr>
        <w:keepNext w:val="0"/>
        <w:keepLines w:val="0"/>
        <w:pageBreakBefore w:val="0"/>
        <w:widowControl w:val="0"/>
        <w:overflowPunct/>
        <w:topLinePunct w:val="0"/>
        <w:autoSpaceDE/>
        <w:autoSpaceDN/>
        <w:bidi w:val="0"/>
        <w:spacing w:line="360" w:lineRule="auto"/>
        <w:jc w:val="center"/>
        <w:textAlignment w:val="auto"/>
        <w:rPr>
          <w:rFonts w:hint="eastAsia"/>
          <w:b/>
        </w:rPr>
      </w:pPr>
      <w:r>
        <w:rPr>
          <w:rFonts w:hint="eastAsia"/>
          <w:b/>
        </w:rPr>
        <w:t>（此合同只作为参考，最终签订的合同以采购人确定的合同内容为准。）</w:t>
      </w:r>
    </w:p>
    <w:p w14:paraId="48F0863C">
      <w:pPr>
        <w:keepNext w:val="0"/>
        <w:keepLines w:val="0"/>
        <w:pageBreakBefore w:val="0"/>
        <w:widowControl w:val="0"/>
        <w:overflowPunct/>
        <w:topLinePunct w:val="0"/>
        <w:autoSpaceDE/>
        <w:autoSpaceDN/>
        <w:bidi w:val="0"/>
        <w:spacing w:line="360" w:lineRule="auto"/>
        <w:jc w:val="center"/>
        <w:textAlignment w:val="auto"/>
        <w:rPr>
          <w:rFonts w:hint="eastAsia"/>
          <w:b/>
        </w:rPr>
      </w:pPr>
    </w:p>
    <w:p w14:paraId="121E4A7F">
      <w:pPr>
        <w:rPr>
          <w:rFonts w:hint="eastAsia" w:ascii="宋体" w:hAnsi="宋体" w:eastAsia="宋体" w:cs="宋体"/>
          <w:sz w:val="24"/>
          <w:szCs w:val="24"/>
        </w:rPr>
      </w:pPr>
    </w:p>
    <w:p w14:paraId="7D376D9A">
      <w:pPr>
        <w:jc w:val="center"/>
        <w:rPr>
          <w:b/>
          <w:bCs/>
          <w:sz w:val="32"/>
          <w:szCs w:val="32"/>
        </w:rPr>
      </w:pPr>
      <w:r>
        <w:rPr>
          <w:rFonts w:hint="eastAsia"/>
          <w:b/>
          <w:bCs/>
          <w:sz w:val="32"/>
          <w:szCs w:val="32"/>
        </w:rPr>
        <w:t>榆林</w:t>
      </w:r>
      <w:r>
        <w:rPr>
          <w:b/>
          <w:bCs/>
          <w:sz w:val="32"/>
          <w:szCs w:val="32"/>
        </w:rPr>
        <w:t>职业技术学院</w:t>
      </w:r>
    </w:p>
    <w:p w14:paraId="5378F579">
      <w:pPr>
        <w:jc w:val="center"/>
        <w:rPr>
          <w:rFonts w:hint="eastAsia"/>
          <w:b/>
          <w:bCs/>
          <w:sz w:val="32"/>
          <w:szCs w:val="32"/>
        </w:rPr>
      </w:pPr>
      <w:r>
        <w:rPr>
          <w:rFonts w:hint="eastAsia"/>
          <w:b/>
          <w:bCs/>
          <w:sz w:val="32"/>
          <w:szCs w:val="32"/>
          <w:lang w:eastAsia="zh-CN"/>
        </w:rPr>
        <w:t>煤化工技术专业（群）教学资源库建设采购项目</w:t>
      </w:r>
    </w:p>
    <w:p w14:paraId="04AA6AE4">
      <w:pPr>
        <w:jc w:val="center"/>
        <w:rPr>
          <w:rFonts w:hint="eastAsia" w:ascii="宋体" w:hAnsi="宋体"/>
          <w:b/>
          <w:bCs w:val="0"/>
          <w:sz w:val="44"/>
          <w:szCs w:val="44"/>
        </w:rPr>
      </w:pPr>
      <w:r>
        <w:rPr>
          <w:rFonts w:hint="eastAsia" w:ascii="宋体" w:hAnsi="宋体"/>
          <w:b/>
          <w:bCs w:val="0"/>
          <w:sz w:val="44"/>
          <w:szCs w:val="44"/>
          <w:lang w:val="en-US" w:eastAsia="zh-CN"/>
        </w:rPr>
        <w:t>服务</w:t>
      </w:r>
      <w:r>
        <w:rPr>
          <w:rFonts w:hint="eastAsia" w:ascii="宋体" w:hAnsi="宋体"/>
          <w:b/>
          <w:bCs w:val="0"/>
          <w:sz w:val="44"/>
          <w:szCs w:val="44"/>
        </w:rPr>
        <w:t>合同</w:t>
      </w:r>
    </w:p>
    <w:p w14:paraId="240112C8">
      <w:pPr>
        <w:jc w:val="center"/>
        <w:rPr>
          <w:rFonts w:hint="eastAsia" w:ascii="宋体" w:hAnsi="宋体"/>
          <w:b/>
          <w:sz w:val="24"/>
        </w:rPr>
      </w:pPr>
    </w:p>
    <w:p w14:paraId="3156D330">
      <w:pPr>
        <w:spacing w:line="360" w:lineRule="auto"/>
        <w:ind w:firstLine="482" w:firstLineChars="200"/>
        <w:rPr>
          <w:rFonts w:hint="eastAsia" w:ascii="宋体" w:hAnsi="宋体"/>
          <w:b/>
          <w:sz w:val="24"/>
        </w:rPr>
      </w:pPr>
      <w:r>
        <w:rPr>
          <w:rFonts w:hint="eastAsia" w:ascii="宋体" w:hAnsi="宋体"/>
          <w:b/>
          <w:color w:val="FF0000"/>
          <w:sz w:val="24"/>
        </w:rPr>
        <w:t xml:space="preserve"> </w:t>
      </w:r>
      <w:r>
        <w:rPr>
          <w:rFonts w:hint="eastAsia" w:ascii="宋体" w:hAnsi="宋体"/>
          <w:sz w:val="24"/>
          <w:u w:val="single"/>
        </w:rPr>
        <w:t xml:space="preserve"> </w:t>
      </w:r>
      <w:r>
        <w:rPr>
          <w:rFonts w:hint="eastAsia" w:ascii="宋体" w:hAnsi="宋体"/>
          <w:sz w:val="24"/>
          <w:u w:val="single"/>
          <w:lang w:val="en-US" w:eastAsia="zh-CN"/>
        </w:rPr>
        <w:t>榆林</w:t>
      </w:r>
      <w:r>
        <w:rPr>
          <w:rFonts w:hint="eastAsia" w:ascii="宋体" w:hAnsi="宋体"/>
          <w:sz w:val="24"/>
          <w:u w:val="single"/>
        </w:rPr>
        <w:t xml:space="preserve">职业技术学院  </w:t>
      </w:r>
      <w:r>
        <w:rPr>
          <w:rFonts w:hint="eastAsia" w:ascii="宋体" w:hAnsi="宋体"/>
          <w:sz w:val="24"/>
        </w:rPr>
        <w:t>（以下简称甲方）</w:t>
      </w:r>
      <w:r>
        <w:rPr>
          <w:rFonts w:hint="eastAsia" w:ascii="宋体" w:hAnsi="宋体"/>
          <w:sz w:val="24"/>
          <w:u w:val="single"/>
        </w:rPr>
        <w:t xml:space="preserve"> </w:t>
      </w:r>
      <w:r>
        <w:rPr>
          <w:rFonts w:hint="eastAsia" w:ascii="宋体" w:hAnsi="宋体"/>
          <w:sz w:val="24"/>
          <w:u w:val="single"/>
          <w:lang w:val="en-US" w:eastAsia="zh-CN"/>
        </w:rPr>
        <w:t>榆林</w:t>
      </w:r>
      <w:r>
        <w:rPr>
          <w:rFonts w:hint="eastAsia" w:ascii="宋体" w:hAnsi="宋体"/>
          <w:sz w:val="24"/>
          <w:u w:val="single"/>
        </w:rPr>
        <w:t>职业技术学院</w:t>
      </w:r>
      <w:r>
        <w:rPr>
          <w:rFonts w:hint="eastAsia" w:ascii="宋体" w:hAnsi="宋体"/>
          <w:sz w:val="24"/>
          <w:u w:val="single"/>
          <w:lang w:val="en-US" w:eastAsia="zh-CN"/>
        </w:rPr>
        <w:t>煤化工技术</w:t>
      </w:r>
      <w:r>
        <w:rPr>
          <w:rFonts w:hint="eastAsia" w:ascii="宋体" w:hAnsi="宋体"/>
          <w:sz w:val="24"/>
          <w:u w:val="single"/>
        </w:rPr>
        <w:t>专业</w:t>
      </w:r>
      <w:r>
        <w:rPr>
          <w:rFonts w:hint="eastAsia" w:ascii="宋体" w:hAnsi="宋体"/>
          <w:sz w:val="24"/>
          <w:u w:val="single"/>
          <w:lang w:eastAsia="zh-CN"/>
        </w:rPr>
        <w:t>（</w:t>
      </w:r>
      <w:r>
        <w:rPr>
          <w:rFonts w:hint="eastAsia" w:ascii="宋体" w:hAnsi="宋体"/>
          <w:sz w:val="24"/>
          <w:u w:val="single"/>
        </w:rPr>
        <w:t>群</w:t>
      </w:r>
      <w:r>
        <w:rPr>
          <w:rFonts w:hint="eastAsia" w:ascii="宋体" w:hAnsi="宋体"/>
          <w:sz w:val="24"/>
          <w:u w:val="single"/>
          <w:lang w:eastAsia="zh-CN"/>
        </w:rPr>
        <w:t>）</w:t>
      </w:r>
      <w:r>
        <w:rPr>
          <w:rFonts w:hint="eastAsia" w:ascii="宋体" w:hAnsi="宋体"/>
          <w:sz w:val="24"/>
          <w:u w:val="single"/>
          <w:lang w:val="en-US" w:eastAsia="zh-CN"/>
        </w:rPr>
        <w:t>教学</w:t>
      </w:r>
      <w:r>
        <w:rPr>
          <w:rFonts w:hint="eastAsia" w:ascii="宋体" w:hAnsi="宋体"/>
          <w:sz w:val="24"/>
          <w:u w:val="single"/>
        </w:rPr>
        <w:t>资源库建设项目</w:t>
      </w:r>
      <w:r>
        <w:rPr>
          <w:rFonts w:hint="eastAsia" w:ascii="宋体" w:hAnsi="宋体"/>
          <w:sz w:val="24"/>
        </w:rPr>
        <w:t>，在</w:t>
      </w:r>
      <w:r>
        <w:rPr>
          <w:rFonts w:hint="eastAsia" w:ascii="宋体" w:hAnsi="宋体"/>
          <w:sz w:val="24"/>
          <w:lang w:val="en-US" w:eastAsia="zh-CN"/>
        </w:rPr>
        <w:t>榆林</w:t>
      </w:r>
      <w:r>
        <w:rPr>
          <w:rFonts w:hint="eastAsia" w:ascii="宋体" w:hAnsi="宋体"/>
          <w:sz w:val="24"/>
        </w:rPr>
        <w:t>职业技术学院的监督管理下，由</w:t>
      </w:r>
      <w:r>
        <w:rPr>
          <w:rFonts w:hint="eastAsia" w:ascii="宋体" w:hAnsi="宋体"/>
          <w:sz w:val="24"/>
          <w:u w:val="single"/>
          <w:lang w:val="en-US" w:eastAsia="zh-CN"/>
        </w:rPr>
        <w:t>XX</w:t>
      </w:r>
      <w:r>
        <w:rPr>
          <w:rFonts w:hint="eastAsia" w:ascii="宋体" w:hAnsi="宋体"/>
          <w:sz w:val="24"/>
          <w:u w:val="single"/>
        </w:rPr>
        <w:t>招标有限公司</w:t>
      </w:r>
      <w:r>
        <w:rPr>
          <w:rFonts w:hint="eastAsia" w:ascii="宋体" w:hAnsi="宋体"/>
          <w:sz w:val="24"/>
        </w:rPr>
        <w:t>组织采购，选定</w:t>
      </w:r>
      <w:r>
        <w:rPr>
          <w:rFonts w:hint="eastAsia" w:ascii="宋体" w:hAnsi="宋体"/>
          <w:sz w:val="24"/>
          <w:u w:val="single"/>
        </w:rPr>
        <w:t xml:space="preserve"> </w:t>
      </w:r>
      <w:r>
        <w:rPr>
          <w:rFonts w:hint="eastAsia" w:ascii="宋体" w:hAnsi="宋体"/>
          <w:sz w:val="24"/>
          <w:u w:val="single"/>
          <w:lang w:val="en-US" w:eastAsia="zh-CN"/>
        </w:rPr>
        <w:t>XX</w:t>
      </w:r>
      <w:r>
        <w:rPr>
          <w:rFonts w:hint="eastAsia" w:ascii="宋体" w:hAnsi="宋体"/>
          <w:sz w:val="24"/>
          <w:u w:val="single"/>
        </w:rPr>
        <w:t xml:space="preserve">  </w:t>
      </w:r>
      <w:r>
        <w:rPr>
          <w:rFonts w:hint="eastAsia" w:ascii="宋体" w:hAnsi="宋体"/>
          <w:sz w:val="24"/>
          <w:u w:val="single"/>
          <w:lang w:eastAsia="zh-CN"/>
        </w:rPr>
        <w:t>（</w:t>
      </w:r>
      <w:r>
        <w:rPr>
          <w:rFonts w:hint="eastAsia" w:ascii="宋体" w:hAnsi="宋体"/>
          <w:sz w:val="24"/>
        </w:rPr>
        <w:t>以下简称乙方）为该项目成交供应商。依据《中华人民共和国民法典》和《中华人民共和国政府采购法》，经甲、乙双方共同协商，按下述条款和条件签署本合同。</w:t>
      </w:r>
    </w:p>
    <w:p w14:paraId="47D5D1B5">
      <w:pPr>
        <w:pStyle w:val="4"/>
        <w:bidi w:val="0"/>
        <w:ind w:left="0" w:leftChars="0" w:firstLine="0" w:firstLineChars="0"/>
        <w:jc w:val="left"/>
        <w:rPr>
          <w:rFonts w:hint="eastAsia"/>
          <w:sz w:val="32"/>
          <w:szCs w:val="32"/>
        </w:rPr>
      </w:pPr>
      <w:r>
        <w:rPr>
          <w:rFonts w:hint="eastAsia"/>
          <w:sz w:val="32"/>
          <w:szCs w:val="32"/>
        </w:rPr>
        <w:t>一、</w:t>
      </w:r>
      <w:r>
        <w:rPr>
          <w:rFonts w:hint="eastAsia"/>
          <w:sz w:val="32"/>
          <w:szCs w:val="32"/>
          <w:lang w:val="en-US" w:eastAsia="zh-CN"/>
        </w:rPr>
        <w:t>建设</w:t>
      </w:r>
      <w:r>
        <w:rPr>
          <w:rFonts w:hint="eastAsia"/>
          <w:sz w:val="32"/>
          <w:szCs w:val="32"/>
        </w:rPr>
        <w:t>内容</w:t>
      </w:r>
    </w:p>
    <w:p w14:paraId="6692F0A1">
      <w:pPr>
        <w:pStyle w:val="5"/>
        <w:keepNext/>
        <w:keepLines/>
        <w:pageBreakBefore w:val="0"/>
        <w:widowControl w:val="0"/>
        <w:kinsoku/>
        <w:wordWrap/>
        <w:overflowPunct/>
        <w:topLinePunct w:val="0"/>
        <w:autoSpaceDE/>
        <w:autoSpaceDN/>
        <w:bidi w:val="0"/>
        <w:adjustRightInd/>
        <w:snapToGrid/>
        <w:spacing w:before="0" w:beforeLines="0" w:after="0" w:afterLines="0" w:line="360" w:lineRule="auto"/>
        <w:ind w:firstLine="482"/>
        <w:textAlignment w:val="auto"/>
        <w:rPr>
          <w:rFonts w:hint="eastAsia" w:ascii="宋体" w:hAnsi="宋体" w:eastAsia="宋体" w:cs="Times New Roman"/>
          <w:b w:val="0"/>
          <w:bCs w:val="0"/>
          <w:kern w:val="2"/>
          <w:sz w:val="24"/>
          <w:szCs w:val="24"/>
          <w:lang w:val="en-US" w:eastAsia="zh-CN" w:bidi="ar-SA"/>
        </w:rPr>
      </w:pPr>
      <w:r>
        <w:rPr>
          <w:rFonts w:hint="eastAsia" w:ascii="宋体" w:hAnsi="宋体" w:eastAsia="宋体" w:cs="Times New Roman"/>
          <w:b w:val="0"/>
          <w:bCs w:val="0"/>
          <w:kern w:val="2"/>
          <w:sz w:val="24"/>
          <w:szCs w:val="24"/>
          <w:lang w:val="en-US" w:eastAsia="zh-CN" w:bidi="ar-SA"/>
        </w:rPr>
        <w:t>1</w:t>
      </w:r>
      <w:r>
        <w:rPr>
          <w:rFonts w:hint="eastAsia" w:ascii="宋体" w:hAnsi="宋体" w:cs="Times New Roman"/>
          <w:b w:val="0"/>
          <w:bCs w:val="0"/>
          <w:kern w:val="2"/>
          <w:sz w:val="24"/>
          <w:szCs w:val="24"/>
          <w:lang w:val="en-US" w:eastAsia="zh-CN" w:bidi="ar-SA"/>
        </w:rPr>
        <w:t>.</w:t>
      </w:r>
      <w:r>
        <w:rPr>
          <w:rFonts w:hint="eastAsia" w:ascii="宋体" w:hAnsi="宋体" w:eastAsia="宋体" w:cs="Times New Roman"/>
          <w:b w:val="0"/>
          <w:bCs w:val="0"/>
          <w:kern w:val="2"/>
          <w:sz w:val="24"/>
          <w:szCs w:val="24"/>
          <w:lang w:val="en-US" w:eastAsia="zh-CN" w:bidi="ar-SA"/>
        </w:rPr>
        <w:t>搭建煤化工技术专业（群）教学资源库运行平台；</w:t>
      </w:r>
    </w:p>
    <w:p w14:paraId="3C670B38">
      <w:pPr>
        <w:pStyle w:val="5"/>
        <w:keepNext/>
        <w:keepLines/>
        <w:pageBreakBefore w:val="0"/>
        <w:widowControl w:val="0"/>
        <w:kinsoku/>
        <w:wordWrap/>
        <w:overflowPunct/>
        <w:topLinePunct w:val="0"/>
        <w:autoSpaceDE/>
        <w:autoSpaceDN/>
        <w:bidi w:val="0"/>
        <w:adjustRightInd/>
        <w:snapToGrid/>
        <w:spacing w:before="0" w:beforeLines="0" w:after="0" w:afterLines="0" w:line="360" w:lineRule="auto"/>
        <w:ind w:firstLine="482"/>
        <w:textAlignment w:val="auto"/>
        <w:rPr>
          <w:rFonts w:hint="eastAsia" w:ascii="宋体" w:hAnsi="宋体" w:eastAsia="宋体" w:cs="Times New Roman"/>
          <w:b w:val="0"/>
          <w:bCs w:val="0"/>
          <w:kern w:val="2"/>
          <w:sz w:val="24"/>
          <w:szCs w:val="24"/>
          <w:lang w:val="en-US" w:eastAsia="zh-CN" w:bidi="ar-SA"/>
        </w:rPr>
      </w:pPr>
      <w:r>
        <w:rPr>
          <w:rFonts w:hint="eastAsia" w:ascii="宋体" w:hAnsi="宋体" w:eastAsia="宋体" w:cs="Times New Roman"/>
          <w:b w:val="0"/>
          <w:bCs w:val="0"/>
          <w:kern w:val="2"/>
          <w:sz w:val="24"/>
          <w:szCs w:val="24"/>
          <w:lang w:val="en-US" w:eastAsia="zh-CN" w:bidi="ar-SA"/>
        </w:rPr>
        <w:t>2</w:t>
      </w:r>
      <w:r>
        <w:rPr>
          <w:rFonts w:hint="eastAsia" w:ascii="宋体" w:hAnsi="宋体" w:cs="Times New Roman"/>
          <w:b w:val="0"/>
          <w:bCs w:val="0"/>
          <w:kern w:val="2"/>
          <w:sz w:val="24"/>
          <w:szCs w:val="24"/>
          <w:lang w:val="en-US" w:eastAsia="zh-CN" w:bidi="ar-SA"/>
        </w:rPr>
        <w:t>.</w:t>
      </w:r>
      <w:r>
        <w:rPr>
          <w:rFonts w:hint="eastAsia" w:ascii="宋体" w:hAnsi="宋体" w:eastAsia="宋体" w:cs="Times New Roman"/>
          <w:b w:val="0"/>
          <w:bCs w:val="0"/>
          <w:kern w:val="2"/>
          <w:sz w:val="24"/>
          <w:szCs w:val="24"/>
          <w:lang w:val="en-US" w:eastAsia="zh-CN" w:bidi="ar-SA"/>
        </w:rPr>
        <w:t>依托国家认可的资源库搭载平台改造开发煤化工技术专业（群）教学资源库门户页面；</w:t>
      </w:r>
    </w:p>
    <w:p w14:paraId="19E94D7C">
      <w:pPr>
        <w:pStyle w:val="5"/>
        <w:keepNext/>
        <w:keepLines/>
        <w:pageBreakBefore w:val="0"/>
        <w:widowControl w:val="0"/>
        <w:kinsoku/>
        <w:wordWrap/>
        <w:overflowPunct/>
        <w:topLinePunct w:val="0"/>
        <w:autoSpaceDE/>
        <w:autoSpaceDN/>
        <w:bidi w:val="0"/>
        <w:adjustRightInd/>
        <w:snapToGrid/>
        <w:spacing w:before="0" w:beforeLines="0" w:after="0" w:afterLines="0" w:line="360" w:lineRule="auto"/>
        <w:ind w:firstLine="482"/>
        <w:textAlignment w:val="auto"/>
        <w:rPr>
          <w:rFonts w:hint="eastAsia" w:ascii="宋体" w:hAnsi="宋体" w:eastAsia="宋体" w:cs="Times New Roman"/>
          <w:b w:val="0"/>
          <w:bCs w:val="0"/>
          <w:kern w:val="2"/>
          <w:sz w:val="24"/>
          <w:szCs w:val="24"/>
          <w:lang w:val="en-US" w:eastAsia="zh-CN" w:bidi="ar-SA"/>
        </w:rPr>
      </w:pPr>
      <w:r>
        <w:rPr>
          <w:rFonts w:hint="eastAsia" w:ascii="宋体" w:hAnsi="宋体" w:eastAsia="宋体" w:cs="Times New Roman"/>
          <w:b w:val="0"/>
          <w:bCs w:val="0"/>
          <w:kern w:val="2"/>
          <w:sz w:val="24"/>
          <w:szCs w:val="24"/>
          <w:lang w:val="en-US" w:eastAsia="zh-CN" w:bidi="ar-SA"/>
        </w:rPr>
        <w:t>3</w:t>
      </w:r>
      <w:r>
        <w:rPr>
          <w:rFonts w:hint="eastAsia" w:ascii="宋体" w:hAnsi="宋体" w:cs="Times New Roman"/>
          <w:b w:val="0"/>
          <w:bCs w:val="0"/>
          <w:kern w:val="2"/>
          <w:sz w:val="24"/>
          <w:szCs w:val="24"/>
          <w:lang w:val="en-US" w:eastAsia="zh-CN" w:bidi="ar-SA"/>
        </w:rPr>
        <w:t>.</w:t>
      </w:r>
      <w:r>
        <w:rPr>
          <w:rFonts w:hint="eastAsia" w:ascii="宋体" w:hAnsi="宋体" w:eastAsia="宋体" w:cs="Times New Roman"/>
          <w:b w:val="0"/>
          <w:bCs w:val="0"/>
          <w:kern w:val="2"/>
          <w:sz w:val="24"/>
          <w:szCs w:val="24"/>
          <w:lang w:val="en-US" w:eastAsia="zh-CN" w:bidi="ar-SA"/>
        </w:rPr>
        <w:t>对标省级国家级专业教学资源库建设标准，探索适合本专业发展需要的特色建设模块；</w:t>
      </w:r>
    </w:p>
    <w:p w14:paraId="58744A51">
      <w:pPr>
        <w:pStyle w:val="5"/>
        <w:keepNext/>
        <w:keepLines/>
        <w:pageBreakBefore w:val="0"/>
        <w:widowControl w:val="0"/>
        <w:kinsoku/>
        <w:wordWrap/>
        <w:overflowPunct/>
        <w:topLinePunct w:val="0"/>
        <w:autoSpaceDE/>
        <w:autoSpaceDN/>
        <w:bidi w:val="0"/>
        <w:adjustRightInd/>
        <w:snapToGrid/>
        <w:spacing w:before="0" w:beforeLines="0" w:after="0" w:afterLines="0" w:line="360" w:lineRule="auto"/>
        <w:ind w:firstLine="482"/>
        <w:textAlignment w:val="auto"/>
        <w:rPr>
          <w:rFonts w:hint="eastAsia" w:ascii="宋体" w:hAnsi="宋体" w:eastAsia="宋体" w:cs="Times New Roman"/>
          <w:b w:val="0"/>
          <w:bCs w:val="0"/>
          <w:kern w:val="2"/>
          <w:sz w:val="24"/>
          <w:szCs w:val="24"/>
          <w:lang w:val="en-US" w:eastAsia="zh-CN" w:bidi="ar-SA"/>
        </w:rPr>
      </w:pPr>
      <w:r>
        <w:rPr>
          <w:rFonts w:hint="eastAsia" w:ascii="宋体" w:hAnsi="宋体" w:eastAsia="宋体" w:cs="Times New Roman"/>
          <w:b w:val="0"/>
          <w:bCs w:val="0"/>
          <w:kern w:val="2"/>
          <w:sz w:val="24"/>
          <w:szCs w:val="24"/>
          <w:lang w:val="en-US" w:eastAsia="zh-CN" w:bidi="ar-SA"/>
        </w:rPr>
        <w:t>4</w:t>
      </w:r>
      <w:r>
        <w:rPr>
          <w:rFonts w:hint="eastAsia" w:ascii="宋体" w:hAnsi="宋体" w:cs="Times New Roman"/>
          <w:b w:val="0"/>
          <w:bCs w:val="0"/>
          <w:kern w:val="2"/>
          <w:sz w:val="24"/>
          <w:szCs w:val="24"/>
          <w:lang w:val="en-US" w:eastAsia="zh-CN" w:bidi="ar-SA"/>
        </w:rPr>
        <w:t>.</w:t>
      </w:r>
      <w:r>
        <w:rPr>
          <w:rFonts w:hint="eastAsia" w:ascii="宋体" w:hAnsi="宋体" w:eastAsia="宋体" w:cs="Times New Roman"/>
          <w:b w:val="0"/>
          <w:bCs w:val="0"/>
          <w:kern w:val="2"/>
          <w:sz w:val="24"/>
          <w:szCs w:val="24"/>
          <w:lang w:val="en-US" w:eastAsia="zh-CN" w:bidi="ar-SA"/>
        </w:rPr>
        <w:t>建设煤化工技术专业（群）人才培养方案中所包含的6门专业核心课程教学资源。</w:t>
      </w:r>
    </w:p>
    <w:p w14:paraId="24BFFC4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kern w:val="2"/>
          <w:sz w:val="24"/>
          <w:szCs w:val="24"/>
          <w:lang w:val="zh-CN" w:eastAsia="zh-CN" w:bidi="ar-SA"/>
        </w:rPr>
      </w:pPr>
      <w:r>
        <w:rPr>
          <w:rFonts w:hint="eastAsia" w:ascii="宋体" w:hAnsi="宋体" w:eastAsia="宋体" w:cs="Times New Roman"/>
          <w:b w:val="0"/>
          <w:bCs w:val="0"/>
          <w:kern w:val="2"/>
          <w:sz w:val="24"/>
          <w:szCs w:val="24"/>
          <w:lang w:val="en-US" w:eastAsia="zh-CN" w:bidi="ar-SA"/>
        </w:rPr>
        <w:t>本项目中的6门核心课程，包含煤化工技术专业教学资源库相关课程及资源素材，涵盖文本文档、PPT文稿、图形图像、音频、2D动画、3D动画、交互动画、视频微课、实操视频、虚拟仿真等10类资源。（资源类型校方可以根据课程建设需要情况进行调整，但资源数量不少于表中所列数量）。</w:t>
      </w:r>
    </w:p>
    <w:tbl>
      <w:tblPr>
        <w:tblStyle w:val="24"/>
        <w:tblW w:w="8760" w:type="dxa"/>
        <w:tblInd w:w="98" w:type="dxa"/>
        <w:tblLayout w:type="autofit"/>
        <w:tblCellMar>
          <w:top w:w="0" w:type="dxa"/>
          <w:left w:w="108" w:type="dxa"/>
          <w:bottom w:w="0" w:type="dxa"/>
          <w:right w:w="108" w:type="dxa"/>
        </w:tblCellMar>
      </w:tblPr>
      <w:tblGrid>
        <w:gridCol w:w="710"/>
        <w:gridCol w:w="1939"/>
        <w:gridCol w:w="722"/>
        <w:gridCol w:w="810"/>
        <w:gridCol w:w="4579"/>
      </w:tblGrid>
      <w:tr w14:paraId="2B82FD04">
        <w:tblPrEx>
          <w:tblCellMar>
            <w:top w:w="0" w:type="dxa"/>
            <w:left w:w="108" w:type="dxa"/>
            <w:bottom w:w="0" w:type="dxa"/>
            <w:right w:w="108" w:type="dxa"/>
          </w:tblCellMar>
        </w:tblPrEx>
        <w:trPr>
          <w:trHeight w:val="615" w:hRule="atLeast"/>
        </w:trPr>
        <w:tc>
          <w:tcPr>
            <w:tcW w:w="710" w:type="dxa"/>
            <w:tcBorders>
              <w:top w:val="single" w:color="000000" w:sz="8" w:space="0"/>
              <w:left w:val="single" w:color="000000" w:sz="8" w:space="0"/>
              <w:bottom w:val="single" w:color="000000" w:sz="8" w:space="0"/>
              <w:right w:val="single" w:color="000000" w:sz="8" w:space="0"/>
            </w:tcBorders>
            <w:noWrap w:val="0"/>
            <w:vAlign w:val="center"/>
          </w:tcPr>
          <w:p w14:paraId="06149841">
            <w:pPr>
              <w:widowControl/>
              <w:spacing w:line="360" w:lineRule="auto"/>
              <w:jc w:val="center"/>
              <w:textAlignment w:val="center"/>
              <w:rPr>
                <w:rFonts w:hint="eastAsia" w:ascii="宋体" w:hAnsi="宋体" w:cs="仿宋"/>
                <w:b/>
                <w:bCs/>
                <w:color w:val="000000"/>
                <w:sz w:val="21"/>
                <w:szCs w:val="21"/>
              </w:rPr>
            </w:pPr>
            <w:r>
              <w:rPr>
                <w:rStyle w:val="39"/>
                <w:rFonts w:hint="default" w:ascii="宋体" w:hAnsi="宋体" w:eastAsia="宋体" w:cs="仿宋"/>
                <w:b/>
                <w:bCs/>
                <w:sz w:val="21"/>
                <w:szCs w:val="21"/>
              </w:rPr>
              <w:t>序号</w:t>
            </w:r>
          </w:p>
        </w:tc>
        <w:tc>
          <w:tcPr>
            <w:tcW w:w="1939" w:type="dxa"/>
            <w:tcBorders>
              <w:top w:val="single" w:color="000000" w:sz="8" w:space="0"/>
              <w:left w:val="nil"/>
              <w:bottom w:val="single" w:color="000000" w:sz="8" w:space="0"/>
              <w:right w:val="single" w:color="000000" w:sz="8" w:space="0"/>
            </w:tcBorders>
            <w:noWrap w:val="0"/>
            <w:vAlign w:val="center"/>
          </w:tcPr>
          <w:p w14:paraId="2EC81709">
            <w:pPr>
              <w:widowControl/>
              <w:spacing w:line="360" w:lineRule="auto"/>
              <w:jc w:val="center"/>
              <w:textAlignment w:val="center"/>
              <w:rPr>
                <w:rFonts w:hint="eastAsia" w:ascii="宋体" w:hAnsi="宋体" w:cs="仿宋"/>
                <w:b/>
                <w:bCs/>
                <w:color w:val="000000"/>
                <w:sz w:val="21"/>
                <w:szCs w:val="21"/>
              </w:rPr>
            </w:pPr>
            <w:r>
              <w:rPr>
                <w:rStyle w:val="39"/>
                <w:rFonts w:hint="default" w:ascii="宋体" w:hAnsi="宋体" w:eastAsia="宋体" w:cs="仿宋"/>
                <w:b/>
                <w:bCs/>
                <w:sz w:val="21"/>
                <w:szCs w:val="21"/>
              </w:rPr>
              <w:t>资源类型</w:t>
            </w:r>
          </w:p>
        </w:tc>
        <w:tc>
          <w:tcPr>
            <w:tcW w:w="722" w:type="dxa"/>
            <w:tcBorders>
              <w:top w:val="single" w:color="000000" w:sz="8" w:space="0"/>
              <w:left w:val="nil"/>
              <w:bottom w:val="single" w:color="000000" w:sz="8" w:space="0"/>
              <w:right w:val="single" w:color="000000" w:sz="8" w:space="0"/>
            </w:tcBorders>
            <w:noWrap w:val="0"/>
            <w:vAlign w:val="center"/>
          </w:tcPr>
          <w:p w14:paraId="47ED1C34">
            <w:pPr>
              <w:widowControl/>
              <w:spacing w:line="360" w:lineRule="auto"/>
              <w:jc w:val="center"/>
              <w:textAlignment w:val="center"/>
              <w:rPr>
                <w:rFonts w:hint="eastAsia" w:ascii="宋体" w:hAnsi="宋体" w:cs="仿宋"/>
                <w:b/>
                <w:bCs/>
                <w:color w:val="000000"/>
                <w:sz w:val="21"/>
                <w:szCs w:val="21"/>
              </w:rPr>
            </w:pPr>
            <w:r>
              <w:rPr>
                <w:rStyle w:val="39"/>
                <w:rFonts w:hint="default" w:ascii="宋体" w:hAnsi="宋体" w:eastAsia="宋体" w:cs="仿宋"/>
                <w:b/>
                <w:bCs/>
                <w:sz w:val="21"/>
                <w:szCs w:val="21"/>
              </w:rPr>
              <w:t>单位</w:t>
            </w:r>
          </w:p>
        </w:tc>
        <w:tc>
          <w:tcPr>
            <w:tcW w:w="810" w:type="dxa"/>
            <w:tcBorders>
              <w:top w:val="single" w:color="000000" w:sz="8" w:space="0"/>
              <w:left w:val="nil"/>
              <w:bottom w:val="single" w:color="000000" w:sz="8" w:space="0"/>
              <w:right w:val="single" w:color="000000" w:sz="8" w:space="0"/>
            </w:tcBorders>
            <w:noWrap w:val="0"/>
            <w:vAlign w:val="center"/>
          </w:tcPr>
          <w:p w14:paraId="0B9AF5E1">
            <w:pPr>
              <w:widowControl/>
              <w:spacing w:line="360" w:lineRule="auto"/>
              <w:jc w:val="center"/>
              <w:textAlignment w:val="center"/>
              <w:rPr>
                <w:rFonts w:hint="eastAsia" w:ascii="宋体" w:hAnsi="宋体" w:cs="仿宋"/>
                <w:b/>
                <w:bCs/>
                <w:color w:val="000000"/>
                <w:sz w:val="21"/>
                <w:szCs w:val="21"/>
              </w:rPr>
            </w:pPr>
            <w:r>
              <w:rPr>
                <w:rStyle w:val="39"/>
                <w:rFonts w:hint="default" w:ascii="宋体" w:hAnsi="宋体" w:eastAsia="宋体" w:cs="仿宋"/>
                <w:b/>
                <w:bCs/>
                <w:sz w:val="21"/>
                <w:szCs w:val="21"/>
              </w:rPr>
              <w:t>数量</w:t>
            </w:r>
          </w:p>
        </w:tc>
        <w:tc>
          <w:tcPr>
            <w:tcW w:w="4579" w:type="dxa"/>
            <w:tcBorders>
              <w:top w:val="single" w:color="000000" w:sz="8" w:space="0"/>
              <w:left w:val="nil"/>
              <w:bottom w:val="single" w:color="000000" w:sz="8" w:space="0"/>
              <w:right w:val="single" w:color="000000" w:sz="8" w:space="0"/>
            </w:tcBorders>
            <w:noWrap w:val="0"/>
            <w:vAlign w:val="center"/>
          </w:tcPr>
          <w:p w14:paraId="69513F3C">
            <w:pPr>
              <w:widowControl/>
              <w:spacing w:line="360" w:lineRule="auto"/>
              <w:jc w:val="center"/>
              <w:textAlignment w:val="center"/>
              <w:rPr>
                <w:rFonts w:hint="eastAsia" w:ascii="宋体" w:hAnsi="宋体" w:cs="仿宋"/>
                <w:b/>
                <w:bCs/>
                <w:color w:val="000000"/>
                <w:sz w:val="21"/>
                <w:szCs w:val="21"/>
              </w:rPr>
            </w:pPr>
            <w:r>
              <w:rPr>
                <w:rStyle w:val="39"/>
                <w:rFonts w:hint="default" w:ascii="宋体" w:hAnsi="宋体" w:eastAsia="宋体" w:cs="仿宋"/>
                <w:b/>
                <w:bCs/>
                <w:sz w:val="21"/>
                <w:szCs w:val="21"/>
              </w:rPr>
              <w:t>备</w:t>
            </w:r>
            <w:r>
              <w:rPr>
                <w:rStyle w:val="39"/>
                <w:rFonts w:hint="eastAsia" w:ascii="宋体" w:hAnsi="宋体" w:cs="仿宋"/>
                <w:b/>
                <w:bCs/>
                <w:sz w:val="21"/>
                <w:szCs w:val="21"/>
                <w:lang w:val="en-US" w:eastAsia="zh-CN"/>
              </w:rPr>
              <w:t xml:space="preserve">  </w:t>
            </w:r>
            <w:r>
              <w:rPr>
                <w:rStyle w:val="39"/>
                <w:rFonts w:hint="default" w:ascii="宋体" w:hAnsi="宋体" w:eastAsia="宋体" w:cs="仿宋"/>
                <w:b/>
                <w:bCs/>
                <w:sz w:val="21"/>
                <w:szCs w:val="21"/>
              </w:rPr>
              <w:t>注</w:t>
            </w:r>
          </w:p>
        </w:tc>
      </w:tr>
      <w:tr w14:paraId="69CB16A0">
        <w:tblPrEx>
          <w:tblCellMar>
            <w:top w:w="0" w:type="dxa"/>
            <w:left w:w="108" w:type="dxa"/>
            <w:bottom w:w="0" w:type="dxa"/>
            <w:right w:w="108" w:type="dxa"/>
          </w:tblCellMar>
        </w:tblPrEx>
        <w:trPr>
          <w:trHeight w:val="565" w:hRule="atLeast"/>
        </w:trPr>
        <w:tc>
          <w:tcPr>
            <w:tcW w:w="710" w:type="dxa"/>
            <w:tcBorders>
              <w:top w:val="nil"/>
              <w:left w:val="single" w:color="000000" w:sz="8" w:space="0"/>
              <w:bottom w:val="single" w:color="000000" w:sz="8" w:space="0"/>
              <w:right w:val="single" w:color="000000" w:sz="8" w:space="0"/>
            </w:tcBorders>
            <w:noWrap w:val="0"/>
            <w:vAlign w:val="center"/>
          </w:tcPr>
          <w:p w14:paraId="70506003">
            <w:pPr>
              <w:widowControl/>
              <w:spacing w:line="360" w:lineRule="auto"/>
              <w:jc w:val="center"/>
              <w:textAlignment w:val="center"/>
              <w:rPr>
                <w:rFonts w:hint="eastAsia" w:ascii="宋体" w:hAnsi="宋体" w:cs="宋体"/>
                <w:color w:val="000000"/>
                <w:sz w:val="21"/>
                <w:szCs w:val="21"/>
              </w:rPr>
            </w:pPr>
            <w:r>
              <w:rPr>
                <w:rFonts w:hint="eastAsia" w:ascii="宋体" w:hAnsi="宋体"/>
                <w:color w:val="000000"/>
                <w:sz w:val="21"/>
                <w:szCs w:val="21"/>
              </w:rPr>
              <w:t>1</w:t>
            </w:r>
          </w:p>
        </w:tc>
        <w:tc>
          <w:tcPr>
            <w:tcW w:w="1939" w:type="dxa"/>
            <w:tcBorders>
              <w:top w:val="nil"/>
              <w:left w:val="nil"/>
              <w:bottom w:val="single" w:color="000000" w:sz="8" w:space="0"/>
              <w:right w:val="single" w:color="000000" w:sz="8" w:space="0"/>
            </w:tcBorders>
            <w:noWrap w:val="0"/>
            <w:vAlign w:val="center"/>
          </w:tcPr>
          <w:p w14:paraId="3201E899">
            <w:pPr>
              <w:keepNext w:val="0"/>
              <w:keepLines w:val="0"/>
              <w:widowControl/>
              <w:suppressLineNumbers w:val="0"/>
              <w:jc w:val="center"/>
              <w:textAlignment w:val="center"/>
              <w:rPr>
                <w:rFonts w:hint="eastAsia" w:ascii="宋体" w:hAnsi="宋体"/>
                <w:color w:val="000000"/>
                <w:sz w:val="21"/>
                <w:szCs w:val="21"/>
              </w:rPr>
            </w:pPr>
            <w:r>
              <w:rPr>
                <w:rFonts w:hint="eastAsia" w:ascii="宋体" w:hAnsi="宋体" w:eastAsia="宋体" w:cs="宋体"/>
                <w:i w:val="0"/>
                <w:iCs w:val="0"/>
                <w:color w:val="000000"/>
                <w:kern w:val="0"/>
                <w:sz w:val="21"/>
                <w:szCs w:val="21"/>
                <w:u w:val="none"/>
                <w:lang w:val="en-US" w:eastAsia="zh-CN" w:bidi="ar"/>
              </w:rPr>
              <w:t>文本文档</w:t>
            </w:r>
          </w:p>
        </w:tc>
        <w:tc>
          <w:tcPr>
            <w:tcW w:w="722" w:type="dxa"/>
            <w:tcBorders>
              <w:top w:val="nil"/>
              <w:left w:val="nil"/>
              <w:bottom w:val="single" w:color="000000" w:sz="8" w:space="0"/>
              <w:right w:val="single" w:color="000000" w:sz="8" w:space="0"/>
            </w:tcBorders>
            <w:noWrap w:val="0"/>
            <w:vAlign w:val="center"/>
          </w:tcPr>
          <w:p w14:paraId="6A898A0C">
            <w:pPr>
              <w:keepNext w:val="0"/>
              <w:keepLines w:val="0"/>
              <w:widowControl/>
              <w:suppressLineNumbers w:val="0"/>
              <w:jc w:val="center"/>
              <w:textAlignment w:val="center"/>
              <w:rPr>
                <w:rFonts w:hint="eastAsia" w:ascii="宋体" w:hAnsi="宋体"/>
                <w:color w:val="000000"/>
                <w:sz w:val="21"/>
                <w:szCs w:val="21"/>
              </w:rPr>
            </w:pPr>
            <w:r>
              <w:rPr>
                <w:rFonts w:hint="eastAsia" w:ascii="宋体" w:hAnsi="宋体" w:eastAsia="宋体" w:cs="宋体"/>
                <w:i w:val="0"/>
                <w:iCs w:val="0"/>
                <w:color w:val="000000"/>
                <w:kern w:val="0"/>
                <w:sz w:val="21"/>
                <w:szCs w:val="21"/>
                <w:u w:val="none"/>
                <w:lang w:val="en-US" w:eastAsia="zh-CN" w:bidi="ar"/>
              </w:rPr>
              <w:t>个</w:t>
            </w:r>
          </w:p>
        </w:tc>
        <w:tc>
          <w:tcPr>
            <w:tcW w:w="810" w:type="dxa"/>
            <w:tcBorders>
              <w:top w:val="nil"/>
              <w:left w:val="nil"/>
              <w:bottom w:val="single" w:color="000000" w:sz="8" w:space="0"/>
              <w:right w:val="single" w:color="000000" w:sz="8" w:space="0"/>
            </w:tcBorders>
            <w:noWrap w:val="0"/>
            <w:vAlign w:val="center"/>
          </w:tcPr>
          <w:p w14:paraId="052F0BB1">
            <w:pPr>
              <w:keepNext w:val="0"/>
              <w:keepLines w:val="0"/>
              <w:widowControl/>
              <w:suppressLineNumbers w:val="0"/>
              <w:jc w:val="center"/>
              <w:textAlignment w:val="center"/>
              <w:rPr>
                <w:rFonts w:hint="eastAsia"/>
                <w:sz w:val="21"/>
                <w:szCs w:val="21"/>
              </w:rPr>
            </w:pPr>
            <w:r>
              <w:rPr>
                <w:rFonts w:hint="eastAsia" w:ascii="宋体" w:hAnsi="宋体" w:eastAsia="宋体" w:cs="宋体"/>
                <w:i w:val="0"/>
                <w:iCs w:val="0"/>
                <w:color w:val="000000"/>
                <w:kern w:val="0"/>
                <w:sz w:val="21"/>
                <w:szCs w:val="21"/>
                <w:u w:val="none"/>
                <w:lang w:val="en-US" w:eastAsia="zh-CN" w:bidi="ar"/>
              </w:rPr>
              <w:t>180</w:t>
            </w:r>
          </w:p>
        </w:tc>
        <w:tc>
          <w:tcPr>
            <w:tcW w:w="4579" w:type="dxa"/>
            <w:tcBorders>
              <w:top w:val="nil"/>
              <w:left w:val="nil"/>
              <w:bottom w:val="single" w:color="000000" w:sz="8" w:space="0"/>
              <w:right w:val="single" w:color="000000" w:sz="8" w:space="0"/>
            </w:tcBorders>
            <w:noWrap w:val="0"/>
            <w:vAlign w:val="center"/>
          </w:tcPr>
          <w:p w14:paraId="36C3C39B">
            <w:pPr>
              <w:widowControl/>
              <w:spacing w:line="360" w:lineRule="auto"/>
              <w:jc w:val="center"/>
              <w:textAlignment w:val="center"/>
              <w:rPr>
                <w:rFonts w:hint="eastAsia" w:ascii="宋体" w:hAnsi="宋体"/>
                <w:color w:val="000000"/>
                <w:sz w:val="21"/>
                <w:szCs w:val="21"/>
              </w:rPr>
            </w:pPr>
            <w:r>
              <w:rPr>
                <w:rFonts w:hint="eastAsia" w:ascii="宋体" w:hAnsi="宋体"/>
                <w:color w:val="000000"/>
                <w:sz w:val="21"/>
                <w:szCs w:val="21"/>
              </w:rPr>
              <w:t>知识点文本内容</w:t>
            </w:r>
          </w:p>
        </w:tc>
      </w:tr>
      <w:tr w14:paraId="16416804">
        <w:tblPrEx>
          <w:tblCellMar>
            <w:top w:w="0" w:type="dxa"/>
            <w:left w:w="108" w:type="dxa"/>
            <w:bottom w:w="0" w:type="dxa"/>
            <w:right w:w="108" w:type="dxa"/>
          </w:tblCellMar>
        </w:tblPrEx>
        <w:trPr>
          <w:trHeight w:val="615" w:hRule="atLeast"/>
        </w:trPr>
        <w:tc>
          <w:tcPr>
            <w:tcW w:w="710" w:type="dxa"/>
            <w:tcBorders>
              <w:top w:val="nil"/>
              <w:left w:val="single" w:color="000000" w:sz="8" w:space="0"/>
              <w:bottom w:val="single" w:color="000000" w:sz="8" w:space="0"/>
              <w:right w:val="single" w:color="000000" w:sz="8" w:space="0"/>
            </w:tcBorders>
            <w:noWrap w:val="0"/>
            <w:vAlign w:val="center"/>
          </w:tcPr>
          <w:p w14:paraId="6B782E39">
            <w:pPr>
              <w:widowControl/>
              <w:spacing w:line="360" w:lineRule="auto"/>
              <w:jc w:val="center"/>
              <w:textAlignment w:val="center"/>
              <w:rPr>
                <w:rFonts w:hint="eastAsia" w:ascii="宋体" w:hAnsi="宋体"/>
                <w:color w:val="000000"/>
                <w:sz w:val="21"/>
                <w:szCs w:val="21"/>
              </w:rPr>
            </w:pPr>
            <w:r>
              <w:rPr>
                <w:rFonts w:hint="eastAsia" w:ascii="宋体" w:hAnsi="宋体"/>
                <w:color w:val="000000"/>
                <w:sz w:val="21"/>
                <w:szCs w:val="21"/>
              </w:rPr>
              <w:t>2</w:t>
            </w:r>
          </w:p>
        </w:tc>
        <w:tc>
          <w:tcPr>
            <w:tcW w:w="1939" w:type="dxa"/>
            <w:tcBorders>
              <w:top w:val="nil"/>
              <w:left w:val="nil"/>
              <w:bottom w:val="single" w:color="000000" w:sz="8" w:space="0"/>
              <w:right w:val="single" w:color="000000" w:sz="8" w:space="0"/>
            </w:tcBorders>
            <w:noWrap w:val="0"/>
            <w:vAlign w:val="center"/>
          </w:tcPr>
          <w:p w14:paraId="5E104C3A">
            <w:pPr>
              <w:keepNext w:val="0"/>
              <w:keepLines w:val="0"/>
              <w:widowControl/>
              <w:suppressLineNumbers w:val="0"/>
              <w:jc w:val="center"/>
              <w:textAlignment w:val="center"/>
              <w:rPr>
                <w:rFonts w:hint="eastAsia" w:ascii="宋体" w:hAnsi="宋体"/>
                <w:color w:val="000000"/>
                <w:sz w:val="21"/>
                <w:szCs w:val="21"/>
              </w:rPr>
            </w:pPr>
            <w:r>
              <w:rPr>
                <w:rFonts w:hint="eastAsia" w:ascii="宋体" w:hAnsi="宋体" w:eastAsia="宋体" w:cs="宋体"/>
                <w:i w:val="0"/>
                <w:iCs w:val="0"/>
                <w:color w:val="000000"/>
                <w:kern w:val="0"/>
                <w:sz w:val="21"/>
                <w:szCs w:val="21"/>
                <w:u w:val="none"/>
                <w:lang w:val="en-US" w:eastAsia="zh-CN" w:bidi="ar"/>
              </w:rPr>
              <w:t>PPT文稿</w:t>
            </w:r>
          </w:p>
        </w:tc>
        <w:tc>
          <w:tcPr>
            <w:tcW w:w="722" w:type="dxa"/>
            <w:tcBorders>
              <w:top w:val="nil"/>
              <w:left w:val="nil"/>
              <w:bottom w:val="single" w:color="000000" w:sz="8" w:space="0"/>
              <w:right w:val="single" w:color="000000" w:sz="8" w:space="0"/>
            </w:tcBorders>
            <w:noWrap w:val="0"/>
            <w:vAlign w:val="center"/>
          </w:tcPr>
          <w:p w14:paraId="13BE1FD7">
            <w:pPr>
              <w:keepNext w:val="0"/>
              <w:keepLines w:val="0"/>
              <w:widowControl/>
              <w:suppressLineNumbers w:val="0"/>
              <w:jc w:val="center"/>
              <w:textAlignment w:val="center"/>
              <w:rPr>
                <w:rFonts w:hint="eastAsia" w:ascii="宋体" w:hAnsi="宋体"/>
                <w:color w:val="000000"/>
                <w:sz w:val="21"/>
                <w:szCs w:val="21"/>
              </w:rPr>
            </w:pPr>
            <w:r>
              <w:rPr>
                <w:rFonts w:hint="eastAsia" w:ascii="宋体" w:hAnsi="宋体" w:eastAsia="宋体" w:cs="宋体"/>
                <w:i w:val="0"/>
                <w:iCs w:val="0"/>
                <w:color w:val="000000"/>
                <w:kern w:val="0"/>
                <w:sz w:val="21"/>
                <w:szCs w:val="21"/>
                <w:u w:val="none"/>
                <w:lang w:val="en-US" w:eastAsia="zh-CN" w:bidi="ar"/>
              </w:rPr>
              <w:t>个</w:t>
            </w:r>
          </w:p>
        </w:tc>
        <w:tc>
          <w:tcPr>
            <w:tcW w:w="810" w:type="dxa"/>
            <w:tcBorders>
              <w:top w:val="nil"/>
              <w:left w:val="nil"/>
              <w:bottom w:val="single" w:color="000000" w:sz="8" w:space="0"/>
              <w:right w:val="single" w:color="000000" w:sz="8" w:space="0"/>
            </w:tcBorders>
            <w:noWrap w:val="0"/>
            <w:vAlign w:val="center"/>
          </w:tcPr>
          <w:p w14:paraId="645D7398">
            <w:pPr>
              <w:keepNext w:val="0"/>
              <w:keepLines w:val="0"/>
              <w:widowControl/>
              <w:suppressLineNumbers w:val="0"/>
              <w:jc w:val="center"/>
              <w:textAlignment w:val="center"/>
              <w:rPr>
                <w:rFonts w:hint="eastAsia"/>
                <w:sz w:val="21"/>
                <w:szCs w:val="21"/>
              </w:rPr>
            </w:pPr>
            <w:r>
              <w:rPr>
                <w:rFonts w:hint="eastAsia" w:ascii="宋体" w:hAnsi="宋体" w:eastAsia="宋体" w:cs="宋体"/>
                <w:i w:val="0"/>
                <w:iCs w:val="0"/>
                <w:color w:val="000000"/>
                <w:kern w:val="0"/>
                <w:sz w:val="21"/>
                <w:szCs w:val="21"/>
                <w:u w:val="none"/>
                <w:lang w:val="en-US" w:eastAsia="zh-CN" w:bidi="ar"/>
              </w:rPr>
              <w:t>160</w:t>
            </w:r>
          </w:p>
        </w:tc>
        <w:tc>
          <w:tcPr>
            <w:tcW w:w="4579" w:type="dxa"/>
            <w:tcBorders>
              <w:top w:val="nil"/>
              <w:left w:val="nil"/>
              <w:bottom w:val="single" w:color="000000" w:sz="8" w:space="0"/>
              <w:right w:val="single" w:color="000000" w:sz="8" w:space="0"/>
            </w:tcBorders>
            <w:shd w:val="clear" w:color="auto" w:fill="auto"/>
            <w:noWrap w:val="0"/>
            <w:vAlign w:val="center"/>
          </w:tcPr>
          <w:p w14:paraId="0AF473BF">
            <w:pPr>
              <w:widowControl/>
              <w:spacing w:line="360" w:lineRule="auto"/>
              <w:jc w:val="center"/>
              <w:textAlignment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 w:val="21"/>
                <w:szCs w:val="21"/>
              </w:rPr>
              <w:t>PPT文稿美化</w:t>
            </w:r>
          </w:p>
        </w:tc>
      </w:tr>
      <w:tr w14:paraId="77AB82BB">
        <w:tblPrEx>
          <w:tblCellMar>
            <w:top w:w="0" w:type="dxa"/>
            <w:left w:w="108" w:type="dxa"/>
            <w:bottom w:w="0" w:type="dxa"/>
            <w:right w:w="108" w:type="dxa"/>
          </w:tblCellMar>
        </w:tblPrEx>
        <w:trPr>
          <w:trHeight w:val="560" w:hRule="atLeast"/>
        </w:trPr>
        <w:tc>
          <w:tcPr>
            <w:tcW w:w="710" w:type="dxa"/>
            <w:tcBorders>
              <w:top w:val="nil"/>
              <w:left w:val="single" w:color="000000" w:sz="8" w:space="0"/>
              <w:bottom w:val="single" w:color="auto" w:sz="4" w:space="0"/>
              <w:right w:val="single" w:color="000000" w:sz="8" w:space="0"/>
            </w:tcBorders>
            <w:noWrap w:val="0"/>
            <w:vAlign w:val="center"/>
          </w:tcPr>
          <w:p w14:paraId="64BC59AD">
            <w:pPr>
              <w:widowControl/>
              <w:spacing w:line="360" w:lineRule="auto"/>
              <w:jc w:val="center"/>
              <w:textAlignment w:val="center"/>
              <w:rPr>
                <w:rFonts w:hint="eastAsia" w:ascii="宋体" w:hAnsi="宋体"/>
                <w:color w:val="000000"/>
                <w:sz w:val="21"/>
                <w:szCs w:val="21"/>
              </w:rPr>
            </w:pPr>
            <w:r>
              <w:rPr>
                <w:rFonts w:hint="eastAsia" w:ascii="宋体" w:hAnsi="宋体"/>
                <w:color w:val="000000"/>
                <w:sz w:val="21"/>
                <w:szCs w:val="21"/>
              </w:rPr>
              <w:t>3</w:t>
            </w:r>
          </w:p>
        </w:tc>
        <w:tc>
          <w:tcPr>
            <w:tcW w:w="1939" w:type="dxa"/>
            <w:tcBorders>
              <w:top w:val="nil"/>
              <w:left w:val="nil"/>
              <w:bottom w:val="single" w:color="auto" w:sz="4" w:space="0"/>
              <w:right w:val="single" w:color="000000" w:sz="8" w:space="0"/>
            </w:tcBorders>
            <w:noWrap w:val="0"/>
            <w:vAlign w:val="center"/>
          </w:tcPr>
          <w:p w14:paraId="6EE25AC3">
            <w:pPr>
              <w:keepNext w:val="0"/>
              <w:keepLines w:val="0"/>
              <w:widowControl/>
              <w:suppressLineNumbers w:val="0"/>
              <w:jc w:val="center"/>
              <w:textAlignment w:val="center"/>
              <w:rPr>
                <w:rFonts w:hint="eastAsia" w:ascii="宋体" w:hAnsi="宋体"/>
                <w:color w:val="000000"/>
                <w:sz w:val="21"/>
                <w:szCs w:val="21"/>
              </w:rPr>
            </w:pPr>
            <w:r>
              <w:rPr>
                <w:rFonts w:hint="eastAsia" w:ascii="宋体" w:hAnsi="宋体" w:eastAsia="宋体" w:cs="宋体"/>
                <w:i w:val="0"/>
                <w:iCs w:val="0"/>
                <w:color w:val="000000"/>
                <w:kern w:val="0"/>
                <w:sz w:val="21"/>
                <w:szCs w:val="21"/>
                <w:u w:val="none"/>
                <w:lang w:val="en-US" w:eastAsia="zh-CN" w:bidi="ar"/>
              </w:rPr>
              <w:t>图形图像</w:t>
            </w:r>
          </w:p>
        </w:tc>
        <w:tc>
          <w:tcPr>
            <w:tcW w:w="722" w:type="dxa"/>
            <w:tcBorders>
              <w:top w:val="nil"/>
              <w:left w:val="nil"/>
              <w:bottom w:val="single" w:color="auto" w:sz="4" w:space="0"/>
              <w:right w:val="single" w:color="000000" w:sz="8" w:space="0"/>
            </w:tcBorders>
            <w:noWrap w:val="0"/>
            <w:vAlign w:val="center"/>
          </w:tcPr>
          <w:p w14:paraId="2DDD8B3F">
            <w:pPr>
              <w:keepNext w:val="0"/>
              <w:keepLines w:val="0"/>
              <w:widowControl/>
              <w:suppressLineNumbers w:val="0"/>
              <w:jc w:val="center"/>
              <w:textAlignment w:val="center"/>
              <w:rPr>
                <w:rFonts w:hint="eastAsia" w:ascii="宋体" w:hAnsi="宋体"/>
                <w:color w:val="000000"/>
                <w:sz w:val="21"/>
                <w:szCs w:val="21"/>
              </w:rPr>
            </w:pPr>
            <w:r>
              <w:rPr>
                <w:rFonts w:hint="eastAsia" w:ascii="宋体" w:hAnsi="宋体" w:eastAsia="宋体" w:cs="宋体"/>
                <w:i w:val="0"/>
                <w:iCs w:val="0"/>
                <w:color w:val="000000"/>
                <w:kern w:val="0"/>
                <w:sz w:val="21"/>
                <w:szCs w:val="21"/>
                <w:u w:val="none"/>
                <w:lang w:val="en-US" w:eastAsia="zh-CN" w:bidi="ar"/>
              </w:rPr>
              <w:t>张</w:t>
            </w:r>
          </w:p>
        </w:tc>
        <w:tc>
          <w:tcPr>
            <w:tcW w:w="810" w:type="dxa"/>
            <w:tcBorders>
              <w:top w:val="nil"/>
              <w:left w:val="nil"/>
              <w:bottom w:val="single" w:color="auto" w:sz="4" w:space="0"/>
              <w:right w:val="single" w:color="000000" w:sz="8" w:space="0"/>
            </w:tcBorders>
            <w:noWrap w:val="0"/>
            <w:vAlign w:val="center"/>
          </w:tcPr>
          <w:p w14:paraId="1B20B48B">
            <w:pPr>
              <w:keepNext w:val="0"/>
              <w:keepLines w:val="0"/>
              <w:widowControl/>
              <w:suppressLineNumbers w:val="0"/>
              <w:jc w:val="center"/>
              <w:textAlignment w:val="center"/>
              <w:rPr>
                <w:rFonts w:hint="eastAsia"/>
                <w:sz w:val="21"/>
                <w:szCs w:val="21"/>
              </w:rPr>
            </w:pPr>
            <w:r>
              <w:rPr>
                <w:rFonts w:hint="eastAsia" w:ascii="宋体" w:hAnsi="宋体" w:eastAsia="宋体" w:cs="宋体"/>
                <w:i w:val="0"/>
                <w:iCs w:val="0"/>
                <w:color w:val="000000"/>
                <w:kern w:val="0"/>
                <w:sz w:val="21"/>
                <w:szCs w:val="21"/>
                <w:u w:val="none"/>
                <w:lang w:val="en-US" w:eastAsia="zh-CN" w:bidi="ar"/>
              </w:rPr>
              <w:t>193</w:t>
            </w:r>
          </w:p>
        </w:tc>
        <w:tc>
          <w:tcPr>
            <w:tcW w:w="4579" w:type="dxa"/>
            <w:tcBorders>
              <w:top w:val="nil"/>
              <w:left w:val="nil"/>
              <w:bottom w:val="single" w:color="auto" w:sz="4" w:space="0"/>
              <w:right w:val="single" w:color="000000" w:sz="8" w:space="0"/>
            </w:tcBorders>
            <w:shd w:val="clear" w:color="auto" w:fill="auto"/>
            <w:noWrap w:val="0"/>
            <w:vAlign w:val="center"/>
          </w:tcPr>
          <w:p w14:paraId="788C78F0">
            <w:pPr>
              <w:widowControl/>
              <w:spacing w:line="360" w:lineRule="auto"/>
              <w:jc w:val="center"/>
              <w:textAlignment w:val="center"/>
              <w:rPr>
                <w:rFonts w:hint="default" w:ascii="宋体" w:hAnsi="宋体" w:eastAsia="宋体" w:cs="Times New Roman"/>
                <w:color w:val="000000"/>
                <w:kern w:val="2"/>
                <w:sz w:val="21"/>
                <w:szCs w:val="21"/>
                <w:lang w:val="en-US" w:eastAsia="zh-CN" w:bidi="ar-SA"/>
              </w:rPr>
            </w:pPr>
            <w:r>
              <w:rPr>
                <w:rFonts w:hint="eastAsia" w:ascii="宋体" w:hAnsi="宋体"/>
                <w:color w:val="000000"/>
                <w:sz w:val="21"/>
                <w:szCs w:val="21"/>
              </w:rPr>
              <w:t>实物图、结构图、工艺流程等</w:t>
            </w:r>
            <w:r>
              <w:rPr>
                <w:rFonts w:hint="eastAsia" w:ascii="宋体" w:hAnsi="宋体"/>
                <w:color w:val="000000"/>
                <w:sz w:val="21"/>
                <w:szCs w:val="21"/>
                <w:lang w:val="en-US" w:eastAsia="zh-CN"/>
              </w:rPr>
              <w:t>图形图像制作</w:t>
            </w:r>
          </w:p>
        </w:tc>
      </w:tr>
      <w:tr w14:paraId="4202B55C">
        <w:tblPrEx>
          <w:tblCellMar>
            <w:top w:w="0" w:type="dxa"/>
            <w:left w:w="108" w:type="dxa"/>
            <w:bottom w:w="0" w:type="dxa"/>
            <w:right w:w="108" w:type="dxa"/>
          </w:tblCellMar>
        </w:tblPrEx>
        <w:trPr>
          <w:trHeight w:val="615" w:hRule="atLeast"/>
        </w:trPr>
        <w:tc>
          <w:tcPr>
            <w:tcW w:w="710" w:type="dxa"/>
            <w:tcBorders>
              <w:top w:val="single" w:color="auto" w:sz="4" w:space="0"/>
              <w:left w:val="single" w:color="auto" w:sz="4" w:space="0"/>
              <w:bottom w:val="single" w:color="auto" w:sz="4" w:space="0"/>
              <w:right w:val="single" w:color="auto" w:sz="4" w:space="0"/>
            </w:tcBorders>
            <w:noWrap w:val="0"/>
            <w:vAlign w:val="center"/>
          </w:tcPr>
          <w:p w14:paraId="7E6E3837">
            <w:pPr>
              <w:widowControl/>
              <w:spacing w:line="360" w:lineRule="auto"/>
              <w:jc w:val="center"/>
              <w:textAlignment w:val="center"/>
              <w:rPr>
                <w:rFonts w:hint="eastAsia" w:ascii="宋体" w:hAnsi="宋体"/>
                <w:color w:val="000000"/>
                <w:sz w:val="21"/>
                <w:szCs w:val="21"/>
              </w:rPr>
            </w:pPr>
            <w:r>
              <w:rPr>
                <w:rFonts w:hint="eastAsia" w:ascii="宋体" w:hAnsi="宋体"/>
                <w:color w:val="000000"/>
                <w:sz w:val="21"/>
                <w:szCs w:val="21"/>
              </w:rPr>
              <w:t>4</w:t>
            </w:r>
          </w:p>
        </w:tc>
        <w:tc>
          <w:tcPr>
            <w:tcW w:w="1939" w:type="dxa"/>
            <w:tcBorders>
              <w:top w:val="single" w:color="auto" w:sz="4" w:space="0"/>
              <w:left w:val="single" w:color="auto" w:sz="4" w:space="0"/>
              <w:bottom w:val="single" w:color="auto" w:sz="4" w:space="0"/>
              <w:right w:val="single" w:color="auto" w:sz="4" w:space="0"/>
            </w:tcBorders>
            <w:noWrap w:val="0"/>
            <w:vAlign w:val="center"/>
          </w:tcPr>
          <w:p w14:paraId="58B3397C">
            <w:pPr>
              <w:keepNext w:val="0"/>
              <w:keepLines w:val="0"/>
              <w:widowControl/>
              <w:suppressLineNumbers w:val="0"/>
              <w:jc w:val="center"/>
              <w:textAlignment w:val="center"/>
              <w:rPr>
                <w:rFonts w:hint="eastAsia" w:ascii="宋体" w:hAnsi="宋体"/>
                <w:color w:val="000000"/>
                <w:sz w:val="21"/>
                <w:szCs w:val="21"/>
              </w:rPr>
            </w:pPr>
            <w:r>
              <w:rPr>
                <w:rFonts w:hint="eastAsia" w:ascii="宋体" w:hAnsi="宋体" w:eastAsia="宋体" w:cs="宋体"/>
                <w:i w:val="0"/>
                <w:iCs w:val="0"/>
                <w:color w:val="000000"/>
                <w:kern w:val="0"/>
                <w:sz w:val="21"/>
                <w:szCs w:val="21"/>
                <w:u w:val="none"/>
                <w:lang w:val="en-US" w:eastAsia="zh-CN" w:bidi="ar"/>
              </w:rPr>
              <w:t>音频</w:t>
            </w:r>
          </w:p>
        </w:tc>
        <w:tc>
          <w:tcPr>
            <w:tcW w:w="722" w:type="dxa"/>
            <w:tcBorders>
              <w:top w:val="single" w:color="auto" w:sz="4" w:space="0"/>
              <w:left w:val="single" w:color="auto" w:sz="4" w:space="0"/>
              <w:bottom w:val="single" w:color="auto" w:sz="4" w:space="0"/>
              <w:right w:val="single" w:color="auto" w:sz="4" w:space="0"/>
            </w:tcBorders>
            <w:noWrap w:val="0"/>
            <w:vAlign w:val="center"/>
          </w:tcPr>
          <w:p w14:paraId="2B2FB8A4">
            <w:pPr>
              <w:keepNext w:val="0"/>
              <w:keepLines w:val="0"/>
              <w:widowControl/>
              <w:suppressLineNumbers w:val="0"/>
              <w:jc w:val="center"/>
              <w:textAlignment w:val="center"/>
              <w:rPr>
                <w:rFonts w:hint="eastAsia" w:ascii="宋体" w:hAnsi="宋体"/>
                <w:color w:val="000000"/>
                <w:sz w:val="21"/>
                <w:szCs w:val="21"/>
              </w:rPr>
            </w:pPr>
            <w:r>
              <w:rPr>
                <w:rFonts w:hint="eastAsia" w:ascii="宋体" w:hAnsi="宋体" w:eastAsia="宋体" w:cs="宋体"/>
                <w:i w:val="0"/>
                <w:iCs w:val="0"/>
                <w:color w:val="000000"/>
                <w:kern w:val="0"/>
                <w:sz w:val="21"/>
                <w:szCs w:val="21"/>
                <w:u w:val="none"/>
                <w:lang w:val="en-US" w:eastAsia="zh-CN" w:bidi="ar"/>
              </w:rPr>
              <w:t>个</w:t>
            </w:r>
          </w:p>
        </w:tc>
        <w:tc>
          <w:tcPr>
            <w:tcW w:w="810" w:type="dxa"/>
            <w:tcBorders>
              <w:top w:val="single" w:color="auto" w:sz="4" w:space="0"/>
              <w:left w:val="single" w:color="auto" w:sz="4" w:space="0"/>
              <w:bottom w:val="single" w:color="auto" w:sz="4" w:space="0"/>
              <w:right w:val="single" w:color="auto" w:sz="4" w:space="0"/>
            </w:tcBorders>
            <w:noWrap w:val="0"/>
            <w:vAlign w:val="center"/>
          </w:tcPr>
          <w:p w14:paraId="009A2275">
            <w:pPr>
              <w:keepNext w:val="0"/>
              <w:keepLines w:val="0"/>
              <w:widowControl/>
              <w:suppressLineNumbers w:val="0"/>
              <w:jc w:val="center"/>
              <w:textAlignment w:val="center"/>
              <w:rPr>
                <w:rFonts w:hint="eastAsia"/>
                <w:sz w:val="21"/>
                <w:szCs w:val="21"/>
              </w:rPr>
            </w:pPr>
            <w:r>
              <w:rPr>
                <w:rFonts w:hint="eastAsia" w:ascii="宋体" w:hAnsi="宋体" w:eastAsia="宋体" w:cs="宋体"/>
                <w:i w:val="0"/>
                <w:iCs w:val="0"/>
                <w:color w:val="000000"/>
                <w:kern w:val="0"/>
                <w:sz w:val="21"/>
                <w:szCs w:val="21"/>
                <w:u w:val="none"/>
                <w:lang w:val="en-US" w:eastAsia="zh-CN" w:bidi="ar"/>
              </w:rPr>
              <w:t>200</w:t>
            </w:r>
          </w:p>
        </w:tc>
        <w:tc>
          <w:tcPr>
            <w:tcW w:w="4579" w:type="dxa"/>
            <w:tcBorders>
              <w:top w:val="single" w:color="auto" w:sz="4" w:space="0"/>
              <w:left w:val="single" w:color="auto" w:sz="4" w:space="0"/>
              <w:bottom w:val="single" w:color="auto" w:sz="4" w:space="0"/>
              <w:right w:val="single" w:color="auto" w:sz="4" w:space="0"/>
            </w:tcBorders>
            <w:noWrap w:val="0"/>
            <w:vAlign w:val="center"/>
          </w:tcPr>
          <w:p w14:paraId="11A8CCFE">
            <w:pPr>
              <w:widowControl/>
              <w:spacing w:line="360" w:lineRule="auto"/>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rPr>
              <w:t>理论教学、实践教学相关知识点讲解</w:t>
            </w:r>
            <w:r>
              <w:rPr>
                <w:rFonts w:hint="eastAsia" w:ascii="宋体" w:hAnsi="宋体"/>
                <w:color w:val="000000"/>
                <w:sz w:val="21"/>
                <w:szCs w:val="21"/>
                <w:lang w:val="en-US" w:eastAsia="zh-CN"/>
              </w:rPr>
              <w:t>音频制作</w:t>
            </w:r>
          </w:p>
        </w:tc>
      </w:tr>
      <w:tr w14:paraId="2D710FD7">
        <w:tblPrEx>
          <w:tblCellMar>
            <w:top w:w="0" w:type="dxa"/>
            <w:left w:w="108" w:type="dxa"/>
            <w:bottom w:w="0" w:type="dxa"/>
            <w:right w:w="108" w:type="dxa"/>
          </w:tblCellMar>
        </w:tblPrEx>
        <w:trPr>
          <w:trHeight w:val="780" w:hRule="atLeast"/>
        </w:trPr>
        <w:tc>
          <w:tcPr>
            <w:tcW w:w="710" w:type="dxa"/>
            <w:tcBorders>
              <w:top w:val="single" w:color="auto" w:sz="4" w:space="0"/>
              <w:left w:val="single" w:color="000000" w:sz="8" w:space="0"/>
              <w:bottom w:val="single" w:color="000000" w:sz="8" w:space="0"/>
              <w:right w:val="single" w:color="000000" w:sz="8" w:space="0"/>
            </w:tcBorders>
            <w:noWrap w:val="0"/>
            <w:vAlign w:val="center"/>
          </w:tcPr>
          <w:p w14:paraId="7DC14A15">
            <w:pPr>
              <w:widowControl/>
              <w:spacing w:line="360" w:lineRule="auto"/>
              <w:jc w:val="center"/>
              <w:textAlignment w:val="center"/>
              <w:rPr>
                <w:rFonts w:hint="eastAsia" w:ascii="宋体" w:hAnsi="宋体"/>
                <w:color w:val="000000"/>
                <w:sz w:val="21"/>
                <w:szCs w:val="21"/>
              </w:rPr>
            </w:pPr>
            <w:r>
              <w:rPr>
                <w:rFonts w:hint="eastAsia" w:ascii="宋体" w:hAnsi="宋体"/>
                <w:color w:val="000000"/>
                <w:sz w:val="21"/>
                <w:szCs w:val="21"/>
              </w:rPr>
              <w:t>5</w:t>
            </w:r>
          </w:p>
        </w:tc>
        <w:tc>
          <w:tcPr>
            <w:tcW w:w="1939" w:type="dxa"/>
            <w:tcBorders>
              <w:top w:val="single" w:color="auto" w:sz="4" w:space="0"/>
              <w:left w:val="nil"/>
              <w:bottom w:val="single" w:color="000000" w:sz="8" w:space="0"/>
              <w:right w:val="single" w:color="000000" w:sz="8" w:space="0"/>
            </w:tcBorders>
            <w:noWrap w:val="0"/>
            <w:vAlign w:val="center"/>
          </w:tcPr>
          <w:p w14:paraId="65FB1984">
            <w:pPr>
              <w:keepNext w:val="0"/>
              <w:keepLines w:val="0"/>
              <w:widowControl/>
              <w:suppressLineNumbers w:val="0"/>
              <w:jc w:val="center"/>
              <w:textAlignment w:val="center"/>
              <w:rPr>
                <w:rFonts w:hint="eastAsia" w:ascii="宋体" w:hAnsi="宋体"/>
                <w:color w:val="000000"/>
                <w:sz w:val="21"/>
                <w:szCs w:val="21"/>
              </w:rPr>
            </w:pPr>
            <w:r>
              <w:rPr>
                <w:rFonts w:hint="eastAsia" w:ascii="宋体" w:hAnsi="宋体" w:eastAsia="宋体" w:cs="宋体"/>
                <w:i w:val="0"/>
                <w:iCs w:val="0"/>
                <w:color w:val="000000"/>
                <w:kern w:val="0"/>
                <w:sz w:val="21"/>
                <w:szCs w:val="21"/>
                <w:u w:val="none"/>
                <w:lang w:val="en-US" w:eastAsia="zh-CN" w:bidi="ar"/>
              </w:rPr>
              <w:t>技能（实操）视频</w:t>
            </w:r>
          </w:p>
        </w:tc>
        <w:tc>
          <w:tcPr>
            <w:tcW w:w="722" w:type="dxa"/>
            <w:tcBorders>
              <w:top w:val="single" w:color="auto" w:sz="4" w:space="0"/>
              <w:left w:val="nil"/>
              <w:bottom w:val="single" w:color="000000" w:sz="8" w:space="0"/>
              <w:right w:val="single" w:color="000000" w:sz="8" w:space="0"/>
            </w:tcBorders>
            <w:noWrap w:val="0"/>
            <w:vAlign w:val="center"/>
          </w:tcPr>
          <w:p w14:paraId="26EB21A5">
            <w:pPr>
              <w:keepNext w:val="0"/>
              <w:keepLines w:val="0"/>
              <w:widowControl/>
              <w:suppressLineNumbers w:val="0"/>
              <w:jc w:val="center"/>
              <w:textAlignment w:val="center"/>
              <w:rPr>
                <w:rFonts w:hint="eastAsia" w:ascii="宋体" w:hAnsi="宋体"/>
                <w:color w:val="000000"/>
                <w:sz w:val="21"/>
                <w:szCs w:val="21"/>
              </w:rPr>
            </w:pPr>
            <w:r>
              <w:rPr>
                <w:rFonts w:hint="eastAsia" w:ascii="宋体" w:hAnsi="宋体" w:eastAsia="宋体" w:cs="宋体"/>
                <w:i w:val="0"/>
                <w:iCs w:val="0"/>
                <w:color w:val="000000"/>
                <w:kern w:val="0"/>
                <w:sz w:val="21"/>
                <w:szCs w:val="21"/>
                <w:u w:val="none"/>
                <w:lang w:val="en-US" w:eastAsia="zh-CN" w:bidi="ar"/>
              </w:rPr>
              <w:t>个</w:t>
            </w:r>
          </w:p>
        </w:tc>
        <w:tc>
          <w:tcPr>
            <w:tcW w:w="810" w:type="dxa"/>
            <w:tcBorders>
              <w:top w:val="single" w:color="auto" w:sz="4" w:space="0"/>
              <w:left w:val="nil"/>
              <w:bottom w:val="single" w:color="000000" w:sz="8" w:space="0"/>
              <w:right w:val="single" w:color="000000" w:sz="8" w:space="0"/>
            </w:tcBorders>
            <w:noWrap w:val="0"/>
            <w:vAlign w:val="center"/>
          </w:tcPr>
          <w:p w14:paraId="3A2A9E4D">
            <w:pPr>
              <w:keepNext w:val="0"/>
              <w:keepLines w:val="0"/>
              <w:widowControl/>
              <w:suppressLineNumbers w:val="0"/>
              <w:jc w:val="center"/>
              <w:textAlignment w:val="center"/>
              <w:rPr>
                <w:rFonts w:hint="eastAsia"/>
                <w:sz w:val="21"/>
                <w:szCs w:val="21"/>
              </w:rPr>
            </w:pPr>
            <w:r>
              <w:rPr>
                <w:rFonts w:hint="eastAsia" w:ascii="宋体" w:hAnsi="宋体" w:eastAsia="宋体" w:cs="宋体"/>
                <w:i w:val="0"/>
                <w:iCs w:val="0"/>
                <w:color w:val="000000"/>
                <w:kern w:val="0"/>
                <w:sz w:val="21"/>
                <w:szCs w:val="21"/>
                <w:u w:val="none"/>
                <w:lang w:val="en-US" w:eastAsia="zh-CN" w:bidi="ar"/>
              </w:rPr>
              <w:t>35</w:t>
            </w:r>
          </w:p>
        </w:tc>
        <w:tc>
          <w:tcPr>
            <w:tcW w:w="4579" w:type="dxa"/>
            <w:tcBorders>
              <w:top w:val="single" w:color="auto" w:sz="4" w:space="0"/>
              <w:left w:val="nil"/>
              <w:bottom w:val="single" w:color="000000" w:sz="8" w:space="0"/>
              <w:right w:val="single" w:color="000000" w:sz="8" w:space="0"/>
            </w:tcBorders>
            <w:noWrap w:val="0"/>
            <w:vAlign w:val="center"/>
          </w:tcPr>
          <w:p w14:paraId="3F8F4A9D">
            <w:pPr>
              <w:widowControl/>
              <w:spacing w:line="360" w:lineRule="auto"/>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每个3-5分钟视频开发制作</w:t>
            </w:r>
            <w:r>
              <w:rPr>
                <w:rFonts w:hint="eastAsia" w:ascii="宋体" w:hAnsi="宋体"/>
                <w:color w:val="000000"/>
                <w:sz w:val="21"/>
                <w:szCs w:val="21"/>
              </w:rPr>
              <w:t>，1080P高清画质</w:t>
            </w:r>
          </w:p>
        </w:tc>
      </w:tr>
      <w:tr w14:paraId="4499ECA1">
        <w:tblPrEx>
          <w:tblCellMar>
            <w:top w:w="0" w:type="dxa"/>
            <w:left w:w="108" w:type="dxa"/>
            <w:bottom w:w="0" w:type="dxa"/>
            <w:right w:w="108" w:type="dxa"/>
          </w:tblCellMar>
        </w:tblPrEx>
        <w:trPr>
          <w:trHeight w:val="315" w:hRule="atLeast"/>
        </w:trPr>
        <w:tc>
          <w:tcPr>
            <w:tcW w:w="710" w:type="dxa"/>
            <w:tcBorders>
              <w:top w:val="nil"/>
              <w:left w:val="single" w:color="000000" w:sz="8" w:space="0"/>
              <w:bottom w:val="single" w:color="000000" w:sz="8" w:space="0"/>
              <w:right w:val="single" w:color="000000" w:sz="8" w:space="0"/>
            </w:tcBorders>
            <w:noWrap w:val="0"/>
            <w:vAlign w:val="center"/>
          </w:tcPr>
          <w:p w14:paraId="293FD834">
            <w:pPr>
              <w:widowControl/>
              <w:spacing w:line="360" w:lineRule="auto"/>
              <w:jc w:val="center"/>
              <w:textAlignment w:val="center"/>
              <w:rPr>
                <w:rFonts w:hint="eastAsia" w:ascii="宋体" w:hAnsi="宋体"/>
                <w:color w:val="000000"/>
                <w:sz w:val="21"/>
                <w:szCs w:val="21"/>
              </w:rPr>
            </w:pPr>
            <w:r>
              <w:rPr>
                <w:rFonts w:hint="eastAsia" w:ascii="宋体" w:hAnsi="宋体"/>
                <w:color w:val="000000"/>
                <w:sz w:val="21"/>
                <w:szCs w:val="21"/>
              </w:rPr>
              <w:t>6</w:t>
            </w:r>
          </w:p>
        </w:tc>
        <w:tc>
          <w:tcPr>
            <w:tcW w:w="1939" w:type="dxa"/>
            <w:tcBorders>
              <w:top w:val="nil"/>
              <w:left w:val="nil"/>
              <w:bottom w:val="single" w:color="000000" w:sz="8" w:space="0"/>
              <w:right w:val="single" w:color="000000" w:sz="8" w:space="0"/>
            </w:tcBorders>
            <w:noWrap w:val="0"/>
            <w:vAlign w:val="center"/>
          </w:tcPr>
          <w:p w14:paraId="63F8DB4E">
            <w:pPr>
              <w:keepNext w:val="0"/>
              <w:keepLines w:val="0"/>
              <w:widowControl/>
              <w:suppressLineNumbers w:val="0"/>
              <w:jc w:val="center"/>
              <w:textAlignment w:val="center"/>
              <w:rPr>
                <w:rFonts w:hint="eastAsia" w:ascii="宋体" w:hAnsi="宋体"/>
                <w:color w:val="000000"/>
                <w:sz w:val="21"/>
                <w:szCs w:val="21"/>
              </w:rPr>
            </w:pPr>
            <w:r>
              <w:rPr>
                <w:rFonts w:hint="eastAsia" w:ascii="宋体" w:hAnsi="宋体" w:eastAsia="宋体" w:cs="宋体"/>
                <w:i w:val="0"/>
                <w:iCs w:val="0"/>
                <w:color w:val="000000"/>
                <w:kern w:val="0"/>
                <w:sz w:val="21"/>
                <w:szCs w:val="21"/>
                <w:u w:val="none"/>
                <w:lang w:val="en-US" w:eastAsia="zh-CN" w:bidi="ar"/>
              </w:rPr>
              <w:t>微课</w:t>
            </w:r>
          </w:p>
        </w:tc>
        <w:tc>
          <w:tcPr>
            <w:tcW w:w="722" w:type="dxa"/>
            <w:tcBorders>
              <w:top w:val="nil"/>
              <w:left w:val="nil"/>
              <w:bottom w:val="single" w:color="000000" w:sz="8" w:space="0"/>
              <w:right w:val="single" w:color="000000" w:sz="8" w:space="0"/>
            </w:tcBorders>
            <w:noWrap w:val="0"/>
            <w:vAlign w:val="center"/>
          </w:tcPr>
          <w:p w14:paraId="1988DBF7">
            <w:pPr>
              <w:keepNext w:val="0"/>
              <w:keepLines w:val="0"/>
              <w:widowControl/>
              <w:suppressLineNumbers w:val="0"/>
              <w:jc w:val="center"/>
              <w:textAlignment w:val="center"/>
              <w:rPr>
                <w:rFonts w:hint="eastAsia" w:ascii="宋体" w:hAnsi="宋体"/>
                <w:color w:val="000000"/>
                <w:sz w:val="21"/>
                <w:szCs w:val="21"/>
              </w:rPr>
            </w:pPr>
            <w:r>
              <w:rPr>
                <w:rFonts w:hint="eastAsia" w:ascii="宋体" w:hAnsi="宋体" w:eastAsia="宋体" w:cs="宋体"/>
                <w:i w:val="0"/>
                <w:iCs w:val="0"/>
                <w:color w:val="000000"/>
                <w:kern w:val="0"/>
                <w:sz w:val="21"/>
                <w:szCs w:val="21"/>
                <w:u w:val="none"/>
                <w:lang w:val="en-US" w:eastAsia="zh-CN" w:bidi="ar"/>
              </w:rPr>
              <w:t>个</w:t>
            </w:r>
          </w:p>
        </w:tc>
        <w:tc>
          <w:tcPr>
            <w:tcW w:w="810" w:type="dxa"/>
            <w:tcBorders>
              <w:top w:val="nil"/>
              <w:left w:val="nil"/>
              <w:bottom w:val="single" w:color="000000" w:sz="8" w:space="0"/>
              <w:right w:val="single" w:color="000000" w:sz="8" w:space="0"/>
            </w:tcBorders>
            <w:noWrap w:val="0"/>
            <w:vAlign w:val="center"/>
          </w:tcPr>
          <w:p w14:paraId="65473783">
            <w:pPr>
              <w:keepNext w:val="0"/>
              <w:keepLines w:val="0"/>
              <w:widowControl/>
              <w:suppressLineNumbers w:val="0"/>
              <w:jc w:val="center"/>
              <w:textAlignment w:val="center"/>
              <w:rPr>
                <w:rFonts w:hint="eastAsia"/>
                <w:sz w:val="21"/>
                <w:szCs w:val="21"/>
              </w:rPr>
            </w:pPr>
            <w:r>
              <w:rPr>
                <w:rFonts w:hint="eastAsia" w:ascii="宋体" w:hAnsi="宋体" w:eastAsia="宋体" w:cs="宋体"/>
                <w:i w:val="0"/>
                <w:iCs w:val="0"/>
                <w:color w:val="000000"/>
                <w:kern w:val="0"/>
                <w:sz w:val="21"/>
                <w:szCs w:val="21"/>
                <w:u w:val="none"/>
                <w:lang w:val="en-US" w:eastAsia="zh-CN" w:bidi="ar"/>
              </w:rPr>
              <w:t>130</w:t>
            </w:r>
          </w:p>
        </w:tc>
        <w:tc>
          <w:tcPr>
            <w:tcW w:w="4579" w:type="dxa"/>
            <w:tcBorders>
              <w:top w:val="nil"/>
              <w:left w:val="nil"/>
              <w:bottom w:val="single" w:color="000000" w:sz="8" w:space="0"/>
              <w:right w:val="single" w:color="000000" w:sz="8" w:space="0"/>
            </w:tcBorders>
            <w:noWrap w:val="0"/>
            <w:vAlign w:val="center"/>
          </w:tcPr>
          <w:p w14:paraId="1DCE4518">
            <w:pPr>
              <w:widowControl/>
              <w:spacing w:line="360" w:lineRule="auto"/>
              <w:jc w:val="center"/>
              <w:textAlignment w:val="center"/>
              <w:rPr>
                <w:rFonts w:hint="eastAsia" w:ascii="宋体" w:hAnsi="宋体"/>
                <w:color w:val="000000"/>
                <w:sz w:val="21"/>
                <w:szCs w:val="21"/>
              </w:rPr>
            </w:pPr>
            <w:r>
              <w:rPr>
                <w:rFonts w:hint="eastAsia" w:ascii="宋体" w:hAnsi="宋体"/>
                <w:color w:val="000000"/>
                <w:sz w:val="21"/>
                <w:szCs w:val="21"/>
              </w:rPr>
              <w:t>每个5-10分钟</w:t>
            </w:r>
            <w:r>
              <w:rPr>
                <w:rFonts w:hint="eastAsia" w:ascii="宋体" w:hAnsi="宋体"/>
                <w:color w:val="000000"/>
                <w:sz w:val="21"/>
                <w:szCs w:val="21"/>
                <w:lang w:val="en-US" w:eastAsia="zh-CN"/>
              </w:rPr>
              <w:t>视频开发制作</w:t>
            </w:r>
            <w:r>
              <w:rPr>
                <w:rFonts w:hint="eastAsia" w:ascii="宋体" w:hAnsi="宋体"/>
                <w:color w:val="000000"/>
                <w:sz w:val="21"/>
                <w:szCs w:val="21"/>
              </w:rPr>
              <w:t>，1080P高清画质</w:t>
            </w:r>
          </w:p>
        </w:tc>
      </w:tr>
      <w:tr w14:paraId="08951955">
        <w:tblPrEx>
          <w:tblCellMar>
            <w:top w:w="0" w:type="dxa"/>
            <w:left w:w="108" w:type="dxa"/>
            <w:bottom w:w="0" w:type="dxa"/>
            <w:right w:w="108" w:type="dxa"/>
          </w:tblCellMar>
        </w:tblPrEx>
        <w:trPr>
          <w:trHeight w:val="315" w:hRule="atLeast"/>
        </w:trPr>
        <w:tc>
          <w:tcPr>
            <w:tcW w:w="710" w:type="dxa"/>
            <w:tcBorders>
              <w:top w:val="nil"/>
              <w:left w:val="single" w:color="000000" w:sz="8" w:space="0"/>
              <w:bottom w:val="single" w:color="000000" w:sz="8" w:space="0"/>
              <w:right w:val="single" w:color="000000" w:sz="8" w:space="0"/>
            </w:tcBorders>
            <w:noWrap w:val="0"/>
            <w:vAlign w:val="center"/>
          </w:tcPr>
          <w:p w14:paraId="01B6F056">
            <w:pPr>
              <w:widowControl/>
              <w:spacing w:line="360" w:lineRule="auto"/>
              <w:jc w:val="center"/>
              <w:textAlignment w:val="center"/>
              <w:rPr>
                <w:rFonts w:hint="eastAsia" w:ascii="宋体" w:hAnsi="宋体"/>
                <w:color w:val="000000"/>
                <w:sz w:val="21"/>
                <w:szCs w:val="21"/>
              </w:rPr>
            </w:pPr>
            <w:r>
              <w:rPr>
                <w:rFonts w:hint="eastAsia" w:ascii="宋体" w:hAnsi="宋体"/>
                <w:color w:val="000000"/>
                <w:sz w:val="21"/>
                <w:szCs w:val="21"/>
              </w:rPr>
              <w:t>7</w:t>
            </w:r>
          </w:p>
        </w:tc>
        <w:tc>
          <w:tcPr>
            <w:tcW w:w="1939" w:type="dxa"/>
            <w:tcBorders>
              <w:top w:val="nil"/>
              <w:left w:val="nil"/>
              <w:bottom w:val="single" w:color="000000" w:sz="8" w:space="0"/>
              <w:right w:val="single" w:color="000000" w:sz="8" w:space="0"/>
            </w:tcBorders>
            <w:noWrap w:val="0"/>
            <w:vAlign w:val="center"/>
          </w:tcPr>
          <w:p w14:paraId="678EE171">
            <w:pPr>
              <w:keepNext w:val="0"/>
              <w:keepLines w:val="0"/>
              <w:widowControl/>
              <w:suppressLineNumbers w:val="0"/>
              <w:jc w:val="center"/>
              <w:textAlignment w:val="center"/>
              <w:rPr>
                <w:rFonts w:hint="eastAsia" w:ascii="宋体" w:hAnsi="宋体"/>
                <w:color w:val="000000"/>
                <w:sz w:val="21"/>
                <w:szCs w:val="21"/>
              </w:rPr>
            </w:pPr>
            <w:r>
              <w:rPr>
                <w:rFonts w:hint="eastAsia" w:ascii="宋体" w:hAnsi="宋体" w:eastAsia="宋体" w:cs="宋体"/>
                <w:i w:val="0"/>
                <w:iCs w:val="0"/>
                <w:color w:val="000000"/>
                <w:kern w:val="0"/>
                <w:sz w:val="21"/>
                <w:szCs w:val="21"/>
                <w:u w:val="none"/>
                <w:lang w:val="en-US" w:eastAsia="zh-CN" w:bidi="ar"/>
              </w:rPr>
              <w:t>二维动画</w:t>
            </w:r>
          </w:p>
        </w:tc>
        <w:tc>
          <w:tcPr>
            <w:tcW w:w="722" w:type="dxa"/>
            <w:tcBorders>
              <w:top w:val="nil"/>
              <w:left w:val="nil"/>
              <w:bottom w:val="single" w:color="000000" w:sz="8" w:space="0"/>
              <w:right w:val="single" w:color="000000" w:sz="8" w:space="0"/>
            </w:tcBorders>
            <w:noWrap w:val="0"/>
            <w:vAlign w:val="center"/>
          </w:tcPr>
          <w:p w14:paraId="2E0F3987">
            <w:pPr>
              <w:keepNext w:val="0"/>
              <w:keepLines w:val="0"/>
              <w:widowControl/>
              <w:suppressLineNumbers w:val="0"/>
              <w:jc w:val="center"/>
              <w:textAlignment w:val="center"/>
              <w:rPr>
                <w:rFonts w:hint="eastAsia" w:ascii="宋体" w:hAnsi="宋体"/>
                <w:color w:val="000000"/>
                <w:sz w:val="21"/>
                <w:szCs w:val="21"/>
              </w:rPr>
            </w:pPr>
            <w:r>
              <w:rPr>
                <w:rFonts w:hint="eastAsia" w:ascii="宋体" w:hAnsi="宋体" w:eastAsia="宋体" w:cs="宋体"/>
                <w:i w:val="0"/>
                <w:iCs w:val="0"/>
                <w:color w:val="000000"/>
                <w:kern w:val="0"/>
                <w:sz w:val="21"/>
                <w:szCs w:val="21"/>
                <w:u w:val="none"/>
                <w:lang w:val="en-US" w:eastAsia="zh-CN" w:bidi="ar"/>
              </w:rPr>
              <w:t>个</w:t>
            </w:r>
          </w:p>
        </w:tc>
        <w:tc>
          <w:tcPr>
            <w:tcW w:w="810" w:type="dxa"/>
            <w:tcBorders>
              <w:top w:val="nil"/>
              <w:left w:val="nil"/>
              <w:bottom w:val="single" w:color="000000" w:sz="8" w:space="0"/>
              <w:right w:val="single" w:color="000000" w:sz="8" w:space="0"/>
            </w:tcBorders>
            <w:noWrap w:val="0"/>
            <w:vAlign w:val="center"/>
          </w:tcPr>
          <w:p w14:paraId="2D1FF19C">
            <w:pPr>
              <w:keepNext w:val="0"/>
              <w:keepLines w:val="0"/>
              <w:widowControl/>
              <w:suppressLineNumbers w:val="0"/>
              <w:jc w:val="center"/>
              <w:textAlignment w:val="center"/>
              <w:rPr>
                <w:rFonts w:hint="eastAsia"/>
                <w:sz w:val="21"/>
                <w:szCs w:val="21"/>
              </w:rPr>
            </w:pPr>
            <w:r>
              <w:rPr>
                <w:rFonts w:hint="eastAsia" w:ascii="宋体" w:hAnsi="宋体" w:eastAsia="宋体" w:cs="宋体"/>
                <w:i w:val="0"/>
                <w:iCs w:val="0"/>
                <w:color w:val="000000"/>
                <w:kern w:val="0"/>
                <w:sz w:val="21"/>
                <w:szCs w:val="21"/>
                <w:u w:val="none"/>
                <w:lang w:val="en-US" w:eastAsia="zh-CN" w:bidi="ar"/>
              </w:rPr>
              <w:t>110</w:t>
            </w:r>
          </w:p>
        </w:tc>
        <w:tc>
          <w:tcPr>
            <w:tcW w:w="4579" w:type="dxa"/>
            <w:tcBorders>
              <w:top w:val="nil"/>
              <w:left w:val="nil"/>
              <w:bottom w:val="single" w:color="000000" w:sz="8" w:space="0"/>
              <w:right w:val="single" w:color="000000" w:sz="8" w:space="0"/>
            </w:tcBorders>
            <w:shd w:val="clear" w:color="auto" w:fill="auto"/>
            <w:noWrap w:val="0"/>
            <w:vAlign w:val="center"/>
          </w:tcPr>
          <w:p w14:paraId="71756000">
            <w:pPr>
              <w:widowControl/>
              <w:spacing w:line="360" w:lineRule="auto"/>
              <w:jc w:val="center"/>
              <w:textAlignment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 w:val="21"/>
                <w:szCs w:val="21"/>
              </w:rPr>
              <w:t>知识点必要制作的2D动画，单个动画15s-</w:t>
            </w:r>
            <w:r>
              <w:rPr>
                <w:rFonts w:hint="eastAsia" w:ascii="宋体" w:hAnsi="宋体"/>
                <w:color w:val="000000"/>
                <w:sz w:val="21"/>
                <w:szCs w:val="21"/>
                <w:lang w:val="en-US" w:eastAsia="zh-CN"/>
              </w:rPr>
              <w:t>6</w:t>
            </w:r>
            <w:r>
              <w:rPr>
                <w:rFonts w:hint="eastAsia" w:ascii="宋体" w:hAnsi="宋体"/>
                <w:color w:val="000000"/>
                <w:sz w:val="21"/>
                <w:szCs w:val="21"/>
              </w:rPr>
              <w:t>0s， 具体以课程需要为准</w:t>
            </w:r>
          </w:p>
        </w:tc>
      </w:tr>
      <w:tr w14:paraId="6CCD6E13">
        <w:tblPrEx>
          <w:tblCellMar>
            <w:top w:w="0" w:type="dxa"/>
            <w:left w:w="108" w:type="dxa"/>
            <w:bottom w:w="0" w:type="dxa"/>
            <w:right w:w="108" w:type="dxa"/>
          </w:tblCellMar>
        </w:tblPrEx>
        <w:trPr>
          <w:trHeight w:val="520" w:hRule="atLeast"/>
        </w:trPr>
        <w:tc>
          <w:tcPr>
            <w:tcW w:w="710" w:type="dxa"/>
            <w:tcBorders>
              <w:top w:val="nil"/>
              <w:left w:val="single" w:color="000000" w:sz="8" w:space="0"/>
              <w:bottom w:val="single" w:color="000000" w:sz="8" w:space="0"/>
              <w:right w:val="single" w:color="000000" w:sz="8" w:space="0"/>
            </w:tcBorders>
            <w:noWrap w:val="0"/>
            <w:vAlign w:val="center"/>
          </w:tcPr>
          <w:p w14:paraId="0CE6F53F">
            <w:pPr>
              <w:widowControl/>
              <w:spacing w:line="360" w:lineRule="auto"/>
              <w:jc w:val="center"/>
              <w:textAlignment w:val="center"/>
              <w:rPr>
                <w:rFonts w:hint="eastAsia" w:ascii="宋体" w:hAnsi="宋体"/>
                <w:color w:val="000000"/>
                <w:sz w:val="21"/>
                <w:szCs w:val="21"/>
              </w:rPr>
            </w:pPr>
            <w:r>
              <w:rPr>
                <w:rFonts w:hint="eastAsia" w:ascii="宋体" w:hAnsi="宋体"/>
                <w:color w:val="000000"/>
                <w:sz w:val="21"/>
                <w:szCs w:val="21"/>
              </w:rPr>
              <w:t>8</w:t>
            </w:r>
          </w:p>
        </w:tc>
        <w:tc>
          <w:tcPr>
            <w:tcW w:w="1939" w:type="dxa"/>
            <w:tcBorders>
              <w:top w:val="nil"/>
              <w:left w:val="nil"/>
              <w:bottom w:val="single" w:color="000000" w:sz="8" w:space="0"/>
              <w:right w:val="single" w:color="000000" w:sz="8" w:space="0"/>
            </w:tcBorders>
            <w:noWrap w:val="0"/>
            <w:vAlign w:val="center"/>
          </w:tcPr>
          <w:p w14:paraId="35A7EDC7">
            <w:pPr>
              <w:keepNext w:val="0"/>
              <w:keepLines w:val="0"/>
              <w:widowControl/>
              <w:suppressLineNumbers w:val="0"/>
              <w:jc w:val="center"/>
              <w:textAlignment w:val="center"/>
              <w:rPr>
                <w:rFonts w:hint="eastAsia" w:ascii="宋体" w:hAnsi="宋体"/>
                <w:color w:val="000000"/>
                <w:sz w:val="21"/>
                <w:szCs w:val="21"/>
              </w:rPr>
            </w:pPr>
            <w:r>
              <w:rPr>
                <w:rFonts w:hint="eastAsia" w:ascii="宋体" w:hAnsi="宋体" w:eastAsia="宋体" w:cs="宋体"/>
                <w:i w:val="0"/>
                <w:iCs w:val="0"/>
                <w:color w:val="000000"/>
                <w:kern w:val="0"/>
                <w:sz w:val="21"/>
                <w:szCs w:val="21"/>
                <w:u w:val="none"/>
                <w:lang w:val="en-US" w:eastAsia="zh-CN" w:bidi="ar"/>
              </w:rPr>
              <w:t>交互动画</w:t>
            </w:r>
          </w:p>
        </w:tc>
        <w:tc>
          <w:tcPr>
            <w:tcW w:w="722" w:type="dxa"/>
            <w:tcBorders>
              <w:top w:val="nil"/>
              <w:left w:val="nil"/>
              <w:bottom w:val="single" w:color="000000" w:sz="8" w:space="0"/>
              <w:right w:val="single" w:color="000000" w:sz="8" w:space="0"/>
            </w:tcBorders>
            <w:noWrap w:val="0"/>
            <w:vAlign w:val="center"/>
          </w:tcPr>
          <w:p w14:paraId="58153141">
            <w:pPr>
              <w:keepNext w:val="0"/>
              <w:keepLines w:val="0"/>
              <w:widowControl/>
              <w:suppressLineNumbers w:val="0"/>
              <w:jc w:val="center"/>
              <w:textAlignment w:val="center"/>
              <w:rPr>
                <w:rFonts w:hint="eastAsia" w:ascii="宋体" w:hAnsi="宋体"/>
                <w:color w:val="000000"/>
                <w:sz w:val="21"/>
                <w:szCs w:val="21"/>
              </w:rPr>
            </w:pPr>
            <w:r>
              <w:rPr>
                <w:rFonts w:hint="eastAsia" w:ascii="宋体" w:hAnsi="宋体" w:eastAsia="宋体" w:cs="宋体"/>
                <w:i w:val="0"/>
                <w:iCs w:val="0"/>
                <w:color w:val="000000"/>
                <w:kern w:val="0"/>
                <w:sz w:val="21"/>
                <w:szCs w:val="21"/>
                <w:u w:val="none"/>
                <w:lang w:val="en-US" w:eastAsia="zh-CN" w:bidi="ar"/>
              </w:rPr>
              <w:t>个</w:t>
            </w:r>
          </w:p>
        </w:tc>
        <w:tc>
          <w:tcPr>
            <w:tcW w:w="810" w:type="dxa"/>
            <w:tcBorders>
              <w:top w:val="nil"/>
              <w:left w:val="nil"/>
              <w:bottom w:val="single" w:color="000000" w:sz="8" w:space="0"/>
              <w:right w:val="single" w:color="000000" w:sz="8" w:space="0"/>
            </w:tcBorders>
            <w:noWrap w:val="0"/>
            <w:vAlign w:val="center"/>
          </w:tcPr>
          <w:p w14:paraId="4AA03637">
            <w:pPr>
              <w:keepNext w:val="0"/>
              <w:keepLines w:val="0"/>
              <w:widowControl/>
              <w:suppressLineNumbers w:val="0"/>
              <w:jc w:val="center"/>
              <w:textAlignment w:val="center"/>
              <w:rPr>
                <w:rFonts w:hint="eastAsia"/>
                <w:sz w:val="21"/>
                <w:szCs w:val="21"/>
              </w:rPr>
            </w:pPr>
            <w:r>
              <w:rPr>
                <w:rFonts w:hint="eastAsia" w:ascii="宋体" w:hAnsi="宋体" w:eastAsia="宋体" w:cs="宋体"/>
                <w:i w:val="0"/>
                <w:iCs w:val="0"/>
                <w:color w:val="000000"/>
                <w:kern w:val="0"/>
                <w:sz w:val="21"/>
                <w:szCs w:val="21"/>
                <w:u w:val="none"/>
                <w:lang w:val="en-US" w:eastAsia="zh-CN" w:bidi="ar"/>
              </w:rPr>
              <w:t>30</w:t>
            </w:r>
          </w:p>
        </w:tc>
        <w:tc>
          <w:tcPr>
            <w:tcW w:w="4579" w:type="dxa"/>
            <w:tcBorders>
              <w:top w:val="nil"/>
              <w:left w:val="nil"/>
              <w:bottom w:val="single" w:color="000000" w:sz="8" w:space="0"/>
              <w:right w:val="single" w:color="000000" w:sz="8" w:space="0"/>
            </w:tcBorders>
            <w:shd w:val="clear" w:color="auto" w:fill="auto"/>
            <w:noWrap w:val="0"/>
            <w:vAlign w:val="center"/>
          </w:tcPr>
          <w:p w14:paraId="308813E7">
            <w:pPr>
              <w:widowControl/>
              <w:spacing w:line="360" w:lineRule="auto"/>
              <w:jc w:val="center"/>
              <w:textAlignment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 w:val="21"/>
                <w:szCs w:val="21"/>
              </w:rPr>
              <w:t>知识点原理、结构、检测、操作标准等</w:t>
            </w:r>
            <w:r>
              <w:rPr>
                <w:rFonts w:hint="eastAsia" w:ascii="宋体" w:hAnsi="宋体"/>
                <w:color w:val="000000"/>
                <w:sz w:val="21"/>
                <w:szCs w:val="21"/>
                <w:lang w:val="en-US" w:eastAsia="zh-CN"/>
              </w:rPr>
              <w:t>不少于5步的交互动画</w:t>
            </w:r>
            <w:r>
              <w:rPr>
                <w:rFonts w:hint="eastAsia" w:ascii="宋体" w:hAnsi="宋体"/>
                <w:color w:val="000000"/>
                <w:sz w:val="21"/>
                <w:szCs w:val="21"/>
              </w:rPr>
              <w:t>，具体以课程需要为准</w:t>
            </w:r>
          </w:p>
        </w:tc>
      </w:tr>
      <w:tr w14:paraId="67ED6AB8">
        <w:tblPrEx>
          <w:tblCellMar>
            <w:top w:w="0" w:type="dxa"/>
            <w:left w:w="108" w:type="dxa"/>
            <w:bottom w:w="0" w:type="dxa"/>
            <w:right w:w="108" w:type="dxa"/>
          </w:tblCellMar>
        </w:tblPrEx>
        <w:trPr>
          <w:trHeight w:val="615" w:hRule="atLeast"/>
        </w:trPr>
        <w:tc>
          <w:tcPr>
            <w:tcW w:w="710" w:type="dxa"/>
            <w:tcBorders>
              <w:top w:val="nil"/>
              <w:left w:val="single" w:color="000000" w:sz="8" w:space="0"/>
              <w:bottom w:val="single" w:color="000000" w:sz="8" w:space="0"/>
              <w:right w:val="single" w:color="000000" w:sz="8" w:space="0"/>
            </w:tcBorders>
            <w:noWrap w:val="0"/>
            <w:vAlign w:val="center"/>
          </w:tcPr>
          <w:p w14:paraId="09AE89FB">
            <w:pPr>
              <w:widowControl/>
              <w:spacing w:line="360" w:lineRule="auto"/>
              <w:jc w:val="center"/>
              <w:textAlignment w:val="center"/>
              <w:rPr>
                <w:rFonts w:hint="eastAsia" w:ascii="宋体" w:hAnsi="宋体"/>
                <w:color w:val="000000"/>
                <w:sz w:val="21"/>
                <w:szCs w:val="21"/>
              </w:rPr>
            </w:pPr>
            <w:r>
              <w:rPr>
                <w:rFonts w:hint="eastAsia" w:ascii="宋体" w:hAnsi="宋体"/>
                <w:color w:val="000000"/>
                <w:sz w:val="21"/>
                <w:szCs w:val="21"/>
              </w:rPr>
              <w:t>9</w:t>
            </w:r>
          </w:p>
        </w:tc>
        <w:tc>
          <w:tcPr>
            <w:tcW w:w="1939" w:type="dxa"/>
            <w:tcBorders>
              <w:top w:val="nil"/>
              <w:left w:val="nil"/>
              <w:bottom w:val="single" w:color="000000" w:sz="8" w:space="0"/>
              <w:right w:val="single" w:color="000000" w:sz="8" w:space="0"/>
            </w:tcBorders>
            <w:noWrap w:val="0"/>
            <w:vAlign w:val="center"/>
          </w:tcPr>
          <w:p w14:paraId="1F0E7E79">
            <w:pPr>
              <w:keepNext w:val="0"/>
              <w:keepLines w:val="0"/>
              <w:widowControl/>
              <w:suppressLineNumbers w:val="0"/>
              <w:jc w:val="center"/>
              <w:textAlignment w:val="center"/>
              <w:rPr>
                <w:rFonts w:hint="eastAsia" w:ascii="宋体" w:hAnsi="宋体"/>
                <w:color w:val="000000"/>
                <w:sz w:val="21"/>
                <w:szCs w:val="21"/>
              </w:rPr>
            </w:pPr>
            <w:r>
              <w:rPr>
                <w:rFonts w:hint="eastAsia" w:ascii="宋体" w:hAnsi="宋体" w:eastAsia="宋体" w:cs="宋体"/>
                <w:i w:val="0"/>
                <w:iCs w:val="0"/>
                <w:color w:val="000000"/>
                <w:kern w:val="0"/>
                <w:sz w:val="21"/>
                <w:szCs w:val="21"/>
                <w:u w:val="none"/>
                <w:lang w:val="en-US" w:eastAsia="zh-CN" w:bidi="ar"/>
              </w:rPr>
              <w:t>三维动画</w:t>
            </w:r>
          </w:p>
        </w:tc>
        <w:tc>
          <w:tcPr>
            <w:tcW w:w="722" w:type="dxa"/>
            <w:tcBorders>
              <w:top w:val="nil"/>
              <w:left w:val="nil"/>
              <w:bottom w:val="single" w:color="000000" w:sz="8" w:space="0"/>
              <w:right w:val="single" w:color="000000" w:sz="8" w:space="0"/>
            </w:tcBorders>
            <w:noWrap w:val="0"/>
            <w:vAlign w:val="center"/>
          </w:tcPr>
          <w:p w14:paraId="5DC7A428">
            <w:pPr>
              <w:keepNext w:val="0"/>
              <w:keepLines w:val="0"/>
              <w:widowControl/>
              <w:suppressLineNumbers w:val="0"/>
              <w:jc w:val="center"/>
              <w:textAlignment w:val="center"/>
              <w:rPr>
                <w:rFonts w:hint="eastAsia" w:ascii="宋体" w:hAnsi="宋体"/>
                <w:color w:val="000000"/>
                <w:sz w:val="21"/>
                <w:szCs w:val="21"/>
              </w:rPr>
            </w:pPr>
            <w:r>
              <w:rPr>
                <w:rFonts w:hint="eastAsia" w:ascii="宋体" w:hAnsi="宋体" w:eastAsia="宋体" w:cs="宋体"/>
                <w:i w:val="0"/>
                <w:iCs w:val="0"/>
                <w:color w:val="000000"/>
                <w:kern w:val="0"/>
                <w:sz w:val="21"/>
                <w:szCs w:val="21"/>
                <w:u w:val="none"/>
                <w:lang w:val="en-US" w:eastAsia="zh-CN" w:bidi="ar"/>
              </w:rPr>
              <w:t>个</w:t>
            </w:r>
          </w:p>
        </w:tc>
        <w:tc>
          <w:tcPr>
            <w:tcW w:w="810" w:type="dxa"/>
            <w:tcBorders>
              <w:top w:val="nil"/>
              <w:left w:val="nil"/>
              <w:bottom w:val="single" w:color="000000" w:sz="8" w:space="0"/>
              <w:right w:val="single" w:color="000000" w:sz="8" w:space="0"/>
            </w:tcBorders>
            <w:noWrap w:val="0"/>
            <w:vAlign w:val="center"/>
          </w:tcPr>
          <w:p w14:paraId="5C93A27D">
            <w:pPr>
              <w:keepNext w:val="0"/>
              <w:keepLines w:val="0"/>
              <w:widowControl/>
              <w:suppressLineNumbers w:val="0"/>
              <w:jc w:val="center"/>
              <w:textAlignment w:val="center"/>
              <w:rPr>
                <w:rFonts w:hint="eastAsia"/>
                <w:sz w:val="21"/>
                <w:szCs w:val="21"/>
              </w:rPr>
            </w:pPr>
            <w:r>
              <w:rPr>
                <w:rFonts w:hint="eastAsia" w:ascii="宋体" w:hAnsi="宋体" w:eastAsia="宋体" w:cs="宋体"/>
                <w:i w:val="0"/>
                <w:iCs w:val="0"/>
                <w:color w:val="000000"/>
                <w:kern w:val="0"/>
                <w:sz w:val="21"/>
                <w:szCs w:val="21"/>
                <w:u w:val="none"/>
                <w:lang w:val="en-US" w:eastAsia="zh-CN" w:bidi="ar"/>
              </w:rPr>
              <w:t>30</w:t>
            </w:r>
          </w:p>
        </w:tc>
        <w:tc>
          <w:tcPr>
            <w:tcW w:w="4579" w:type="dxa"/>
            <w:tcBorders>
              <w:top w:val="nil"/>
              <w:left w:val="nil"/>
              <w:bottom w:val="single" w:color="000000" w:sz="8" w:space="0"/>
              <w:right w:val="single" w:color="000000" w:sz="8" w:space="0"/>
            </w:tcBorders>
            <w:noWrap w:val="0"/>
            <w:vAlign w:val="center"/>
          </w:tcPr>
          <w:p w14:paraId="20BE9B8E">
            <w:pPr>
              <w:widowControl/>
              <w:spacing w:line="360" w:lineRule="auto"/>
              <w:jc w:val="center"/>
              <w:textAlignment w:val="center"/>
              <w:rPr>
                <w:rFonts w:hint="eastAsia" w:ascii="宋体" w:hAnsi="宋体"/>
                <w:color w:val="000000"/>
                <w:sz w:val="21"/>
                <w:szCs w:val="21"/>
              </w:rPr>
            </w:pPr>
            <w:r>
              <w:rPr>
                <w:rFonts w:hint="eastAsia" w:ascii="宋体" w:hAnsi="宋体"/>
                <w:color w:val="000000"/>
                <w:sz w:val="21"/>
                <w:szCs w:val="21"/>
              </w:rPr>
              <w:t>知识点必要制作的3D动画，单个动画时长</w:t>
            </w:r>
            <w:r>
              <w:rPr>
                <w:rFonts w:hint="eastAsia" w:ascii="宋体" w:hAnsi="宋体"/>
                <w:color w:val="000000"/>
                <w:sz w:val="21"/>
                <w:szCs w:val="21"/>
                <w:lang w:val="en-US" w:eastAsia="zh-CN"/>
              </w:rPr>
              <w:t>3</w:t>
            </w:r>
            <w:r>
              <w:rPr>
                <w:rFonts w:hint="eastAsia" w:ascii="宋体" w:hAnsi="宋体"/>
                <w:color w:val="000000"/>
                <w:sz w:val="21"/>
                <w:szCs w:val="21"/>
              </w:rPr>
              <w:t>0s</w:t>
            </w:r>
            <w:r>
              <w:rPr>
                <w:rFonts w:hint="eastAsia" w:ascii="宋体" w:hAnsi="宋体"/>
                <w:color w:val="000000"/>
                <w:sz w:val="21"/>
                <w:szCs w:val="21"/>
                <w:lang w:val="en-US" w:eastAsia="zh-CN"/>
              </w:rPr>
              <w:t>以内</w:t>
            </w:r>
            <w:r>
              <w:rPr>
                <w:rFonts w:hint="eastAsia" w:ascii="宋体" w:hAnsi="宋体"/>
                <w:color w:val="000000"/>
                <w:sz w:val="21"/>
                <w:szCs w:val="21"/>
              </w:rPr>
              <w:t>， 具体以课程需要为准</w:t>
            </w:r>
          </w:p>
        </w:tc>
      </w:tr>
      <w:tr w14:paraId="77F0AC67">
        <w:tblPrEx>
          <w:tblCellMar>
            <w:top w:w="0" w:type="dxa"/>
            <w:left w:w="108" w:type="dxa"/>
            <w:bottom w:w="0" w:type="dxa"/>
            <w:right w:w="108" w:type="dxa"/>
          </w:tblCellMar>
        </w:tblPrEx>
        <w:trPr>
          <w:trHeight w:val="315" w:hRule="atLeast"/>
        </w:trPr>
        <w:tc>
          <w:tcPr>
            <w:tcW w:w="710" w:type="dxa"/>
            <w:tcBorders>
              <w:top w:val="nil"/>
              <w:left w:val="single" w:color="000000" w:sz="8" w:space="0"/>
              <w:bottom w:val="single" w:color="000000" w:sz="8" w:space="0"/>
              <w:right w:val="single" w:color="000000" w:sz="8" w:space="0"/>
            </w:tcBorders>
            <w:noWrap w:val="0"/>
            <w:vAlign w:val="center"/>
          </w:tcPr>
          <w:p w14:paraId="3B3D73F8">
            <w:pPr>
              <w:widowControl/>
              <w:spacing w:line="360" w:lineRule="auto"/>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10</w:t>
            </w:r>
          </w:p>
        </w:tc>
        <w:tc>
          <w:tcPr>
            <w:tcW w:w="1939" w:type="dxa"/>
            <w:tcBorders>
              <w:top w:val="nil"/>
              <w:left w:val="nil"/>
              <w:bottom w:val="single" w:color="000000" w:sz="8" w:space="0"/>
              <w:right w:val="single" w:color="000000" w:sz="8" w:space="0"/>
            </w:tcBorders>
            <w:noWrap w:val="0"/>
            <w:vAlign w:val="center"/>
          </w:tcPr>
          <w:p w14:paraId="39FAFE9E">
            <w:pPr>
              <w:keepNext w:val="0"/>
              <w:keepLines w:val="0"/>
              <w:widowControl/>
              <w:suppressLineNumbers w:val="0"/>
              <w:jc w:val="center"/>
              <w:textAlignment w:val="center"/>
              <w:rPr>
                <w:rFonts w:hint="eastAsia" w:ascii="宋体" w:hAnsi="宋体"/>
                <w:color w:val="000000"/>
                <w:sz w:val="21"/>
                <w:szCs w:val="21"/>
              </w:rPr>
            </w:pPr>
            <w:r>
              <w:rPr>
                <w:rFonts w:hint="eastAsia" w:ascii="宋体" w:hAnsi="宋体" w:eastAsia="宋体" w:cs="宋体"/>
                <w:i w:val="0"/>
                <w:iCs w:val="0"/>
                <w:color w:val="000000"/>
                <w:kern w:val="0"/>
                <w:sz w:val="21"/>
                <w:szCs w:val="21"/>
                <w:u w:val="none"/>
                <w:lang w:val="en-US" w:eastAsia="zh-CN" w:bidi="ar"/>
              </w:rPr>
              <w:t>虚拟仿真</w:t>
            </w:r>
          </w:p>
        </w:tc>
        <w:tc>
          <w:tcPr>
            <w:tcW w:w="722" w:type="dxa"/>
            <w:tcBorders>
              <w:top w:val="nil"/>
              <w:left w:val="nil"/>
              <w:bottom w:val="single" w:color="000000" w:sz="8" w:space="0"/>
              <w:right w:val="single" w:color="000000" w:sz="8" w:space="0"/>
            </w:tcBorders>
            <w:noWrap w:val="0"/>
            <w:vAlign w:val="center"/>
          </w:tcPr>
          <w:p w14:paraId="65822647">
            <w:pPr>
              <w:keepNext w:val="0"/>
              <w:keepLines w:val="0"/>
              <w:widowControl/>
              <w:suppressLineNumbers w:val="0"/>
              <w:jc w:val="center"/>
              <w:textAlignment w:val="center"/>
              <w:rPr>
                <w:rFonts w:hint="eastAsia" w:ascii="宋体" w:hAnsi="宋体"/>
                <w:color w:val="000000"/>
                <w:sz w:val="21"/>
                <w:szCs w:val="21"/>
              </w:rPr>
            </w:pPr>
            <w:r>
              <w:rPr>
                <w:rFonts w:hint="eastAsia" w:ascii="宋体" w:hAnsi="宋体" w:eastAsia="宋体" w:cs="宋体"/>
                <w:i w:val="0"/>
                <w:iCs w:val="0"/>
                <w:color w:val="000000"/>
                <w:kern w:val="0"/>
                <w:sz w:val="21"/>
                <w:szCs w:val="21"/>
                <w:u w:val="none"/>
                <w:lang w:val="en-US" w:eastAsia="zh-CN" w:bidi="ar"/>
              </w:rPr>
              <w:t>个</w:t>
            </w:r>
          </w:p>
        </w:tc>
        <w:tc>
          <w:tcPr>
            <w:tcW w:w="810" w:type="dxa"/>
            <w:tcBorders>
              <w:top w:val="nil"/>
              <w:left w:val="nil"/>
              <w:bottom w:val="single" w:color="000000" w:sz="8" w:space="0"/>
              <w:right w:val="single" w:color="000000" w:sz="8" w:space="0"/>
            </w:tcBorders>
            <w:noWrap w:val="0"/>
            <w:vAlign w:val="center"/>
          </w:tcPr>
          <w:p w14:paraId="4534926F">
            <w:pPr>
              <w:keepNext w:val="0"/>
              <w:keepLines w:val="0"/>
              <w:widowControl/>
              <w:suppressLineNumbers w:val="0"/>
              <w:jc w:val="center"/>
              <w:textAlignment w:val="center"/>
              <w:rPr>
                <w:rFonts w:hint="eastAsia"/>
                <w:sz w:val="21"/>
                <w:szCs w:val="21"/>
              </w:rPr>
            </w:pPr>
            <w:r>
              <w:rPr>
                <w:rFonts w:hint="eastAsia" w:ascii="宋体" w:hAnsi="宋体" w:eastAsia="宋体" w:cs="宋体"/>
                <w:i w:val="0"/>
                <w:iCs w:val="0"/>
                <w:color w:val="000000"/>
                <w:kern w:val="0"/>
                <w:sz w:val="21"/>
                <w:szCs w:val="21"/>
                <w:u w:val="none"/>
                <w:lang w:val="en-US" w:eastAsia="zh-CN" w:bidi="ar"/>
              </w:rPr>
              <w:t>1</w:t>
            </w:r>
          </w:p>
        </w:tc>
        <w:tc>
          <w:tcPr>
            <w:tcW w:w="4579" w:type="dxa"/>
            <w:tcBorders>
              <w:top w:val="nil"/>
              <w:left w:val="nil"/>
              <w:bottom w:val="single" w:color="000000" w:sz="8" w:space="0"/>
              <w:right w:val="single" w:color="000000" w:sz="8" w:space="0"/>
            </w:tcBorders>
            <w:noWrap w:val="0"/>
            <w:vAlign w:val="center"/>
          </w:tcPr>
          <w:p w14:paraId="21407ED9">
            <w:pPr>
              <w:widowControl/>
              <w:spacing w:line="360" w:lineRule="auto"/>
              <w:jc w:val="center"/>
              <w:textAlignment w:val="center"/>
              <w:rPr>
                <w:rFonts w:hint="eastAsia" w:ascii="宋体" w:hAnsi="宋体"/>
                <w:color w:val="000000"/>
                <w:sz w:val="21"/>
                <w:szCs w:val="21"/>
              </w:rPr>
            </w:pPr>
            <w:r>
              <w:rPr>
                <w:rFonts w:hint="eastAsia" w:ascii="宋体" w:hAnsi="宋体"/>
                <w:color w:val="000000"/>
                <w:sz w:val="21"/>
                <w:szCs w:val="21"/>
              </w:rPr>
              <w:t>课程的一个典型工作微任务，包含学习、练习和考核</w:t>
            </w:r>
            <w:r>
              <w:rPr>
                <w:rFonts w:hint="eastAsia" w:ascii="宋体" w:hAnsi="宋体"/>
                <w:color w:val="000000"/>
                <w:sz w:val="21"/>
                <w:szCs w:val="21"/>
                <w:lang w:val="en-US" w:eastAsia="zh-CN"/>
              </w:rPr>
              <w:t>等</w:t>
            </w:r>
            <w:r>
              <w:rPr>
                <w:rFonts w:hint="eastAsia" w:ascii="宋体" w:hAnsi="宋体"/>
                <w:color w:val="000000"/>
                <w:sz w:val="21"/>
                <w:szCs w:val="21"/>
              </w:rPr>
              <w:t>部分</w:t>
            </w:r>
          </w:p>
        </w:tc>
      </w:tr>
      <w:tr w14:paraId="4ED1EE1D">
        <w:tblPrEx>
          <w:tblCellMar>
            <w:top w:w="0" w:type="dxa"/>
            <w:left w:w="108" w:type="dxa"/>
            <w:bottom w:w="0" w:type="dxa"/>
            <w:right w:w="108" w:type="dxa"/>
          </w:tblCellMar>
        </w:tblPrEx>
        <w:trPr>
          <w:trHeight w:val="315" w:hRule="atLeast"/>
        </w:trPr>
        <w:tc>
          <w:tcPr>
            <w:tcW w:w="710" w:type="dxa"/>
            <w:tcBorders>
              <w:top w:val="nil"/>
              <w:left w:val="single" w:color="000000" w:sz="8" w:space="0"/>
              <w:bottom w:val="single" w:color="000000" w:sz="8" w:space="0"/>
              <w:right w:val="single" w:color="000000" w:sz="8" w:space="0"/>
            </w:tcBorders>
            <w:noWrap w:val="0"/>
            <w:vAlign w:val="center"/>
          </w:tcPr>
          <w:p w14:paraId="42C6F42E">
            <w:pPr>
              <w:widowControl/>
              <w:spacing w:line="360" w:lineRule="auto"/>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11</w:t>
            </w:r>
          </w:p>
        </w:tc>
        <w:tc>
          <w:tcPr>
            <w:tcW w:w="1939" w:type="dxa"/>
            <w:tcBorders>
              <w:top w:val="nil"/>
              <w:left w:val="nil"/>
              <w:bottom w:val="single" w:color="000000" w:sz="8" w:space="0"/>
              <w:right w:val="single" w:color="000000" w:sz="8" w:space="0"/>
            </w:tcBorders>
            <w:noWrap w:val="0"/>
            <w:vAlign w:val="center"/>
          </w:tcPr>
          <w:p w14:paraId="258D0AD5">
            <w:pPr>
              <w:keepNext w:val="0"/>
              <w:keepLines w:val="0"/>
              <w:widowControl/>
              <w:suppressLineNumbers w:val="0"/>
              <w:jc w:val="center"/>
              <w:textAlignment w:val="center"/>
              <w:rPr>
                <w:rFonts w:hint="eastAsia" w:ascii="宋体" w:hAnsi="宋体"/>
                <w:color w:val="000000"/>
                <w:sz w:val="21"/>
                <w:szCs w:val="21"/>
              </w:rPr>
            </w:pPr>
            <w:r>
              <w:rPr>
                <w:rFonts w:hint="eastAsia" w:ascii="宋体" w:hAnsi="宋体" w:eastAsia="宋体" w:cs="宋体"/>
                <w:i w:val="0"/>
                <w:iCs w:val="0"/>
                <w:color w:val="000000"/>
                <w:kern w:val="0"/>
                <w:sz w:val="21"/>
                <w:szCs w:val="21"/>
                <w:u w:val="none"/>
                <w:lang w:val="en-US" w:eastAsia="zh-CN" w:bidi="ar"/>
              </w:rPr>
              <w:t>题库</w:t>
            </w:r>
          </w:p>
        </w:tc>
        <w:tc>
          <w:tcPr>
            <w:tcW w:w="722" w:type="dxa"/>
            <w:tcBorders>
              <w:top w:val="nil"/>
              <w:left w:val="nil"/>
              <w:bottom w:val="single" w:color="000000" w:sz="8" w:space="0"/>
              <w:right w:val="single" w:color="000000" w:sz="8" w:space="0"/>
            </w:tcBorders>
            <w:noWrap w:val="0"/>
            <w:vAlign w:val="center"/>
          </w:tcPr>
          <w:p w14:paraId="23A7865A">
            <w:pPr>
              <w:keepNext w:val="0"/>
              <w:keepLines w:val="0"/>
              <w:widowControl/>
              <w:suppressLineNumbers w:val="0"/>
              <w:jc w:val="center"/>
              <w:textAlignment w:val="center"/>
              <w:rPr>
                <w:rFonts w:hint="eastAsia" w:ascii="宋体" w:hAnsi="宋体"/>
                <w:color w:val="000000"/>
                <w:sz w:val="21"/>
                <w:szCs w:val="21"/>
              </w:rPr>
            </w:pPr>
            <w:r>
              <w:rPr>
                <w:rFonts w:hint="eastAsia" w:ascii="宋体" w:hAnsi="宋体" w:eastAsia="宋体" w:cs="宋体"/>
                <w:i w:val="0"/>
                <w:iCs w:val="0"/>
                <w:color w:val="000000"/>
                <w:kern w:val="0"/>
                <w:sz w:val="21"/>
                <w:szCs w:val="21"/>
                <w:u w:val="none"/>
                <w:lang w:val="en-US" w:eastAsia="zh-CN" w:bidi="ar"/>
              </w:rPr>
              <w:t>项</w:t>
            </w:r>
          </w:p>
        </w:tc>
        <w:tc>
          <w:tcPr>
            <w:tcW w:w="810" w:type="dxa"/>
            <w:tcBorders>
              <w:top w:val="nil"/>
              <w:left w:val="nil"/>
              <w:bottom w:val="single" w:color="000000" w:sz="8" w:space="0"/>
              <w:right w:val="single" w:color="000000" w:sz="8" w:space="0"/>
            </w:tcBorders>
            <w:noWrap w:val="0"/>
            <w:vAlign w:val="center"/>
          </w:tcPr>
          <w:p w14:paraId="46877CA3">
            <w:pPr>
              <w:keepNext w:val="0"/>
              <w:keepLines w:val="0"/>
              <w:widowControl/>
              <w:suppressLineNumbers w:val="0"/>
              <w:jc w:val="center"/>
              <w:textAlignment w:val="center"/>
              <w:rPr>
                <w:rFonts w:hint="eastAsia"/>
                <w:sz w:val="21"/>
                <w:szCs w:val="21"/>
              </w:rPr>
            </w:pPr>
            <w:r>
              <w:rPr>
                <w:rFonts w:hint="eastAsia" w:ascii="宋体" w:hAnsi="宋体" w:eastAsia="宋体" w:cs="宋体"/>
                <w:i w:val="0"/>
                <w:iCs w:val="0"/>
                <w:color w:val="000000"/>
                <w:kern w:val="0"/>
                <w:sz w:val="21"/>
                <w:szCs w:val="21"/>
                <w:u w:val="none"/>
                <w:lang w:val="en-US" w:eastAsia="zh-CN" w:bidi="ar"/>
              </w:rPr>
              <w:t>1</w:t>
            </w:r>
          </w:p>
        </w:tc>
        <w:tc>
          <w:tcPr>
            <w:tcW w:w="4579" w:type="dxa"/>
            <w:tcBorders>
              <w:top w:val="nil"/>
              <w:left w:val="nil"/>
              <w:bottom w:val="single" w:color="000000" w:sz="8" w:space="0"/>
              <w:right w:val="single" w:color="000000" w:sz="8" w:space="0"/>
            </w:tcBorders>
            <w:noWrap w:val="0"/>
            <w:vAlign w:val="center"/>
          </w:tcPr>
          <w:p w14:paraId="3B6B2A50">
            <w:pPr>
              <w:widowControl/>
              <w:spacing w:line="360" w:lineRule="auto"/>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题库开发</w:t>
            </w:r>
          </w:p>
        </w:tc>
      </w:tr>
      <w:tr w14:paraId="286F9FDA">
        <w:tblPrEx>
          <w:tblCellMar>
            <w:top w:w="0" w:type="dxa"/>
            <w:left w:w="108" w:type="dxa"/>
            <w:bottom w:w="0" w:type="dxa"/>
            <w:right w:w="108" w:type="dxa"/>
          </w:tblCellMar>
        </w:tblPrEx>
        <w:trPr>
          <w:trHeight w:val="543" w:hRule="atLeast"/>
        </w:trPr>
        <w:tc>
          <w:tcPr>
            <w:tcW w:w="710" w:type="dxa"/>
            <w:tcBorders>
              <w:top w:val="nil"/>
              <w:left w:val="single" w:color="000000" w:sz="8" w:space="0"/>
              <w:bottom w:val="single" w:color="000000" w:sz="8" w:space="0"/>
              <w:right w:val="single" w:color="000000" w:sz="8" w:space="0"/>
            </w:tcBorders>
            <w:noWrap w:val="0"/>
            <w:vAlign w:val="center"/>
          </w:tcPr>
          <w:p w14:paraId="53A0F7F7">
            <w:pPr>
              <w:widowControl/>
              <w:spacing w:line="360" w:lineRule="auto"/>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12</w:t>
            </w:r>
          </w:p>
        </w:tc>
        <w:tc>
          <w:tcPr>
            <w:tcW w:w="1939" w:type="dxa"/>
            <w:tcBorders>
              <w:top w:val="nil"/>
              <w:left w:val="nil"/>
              <w:bottom w:val="single" w:color="000000" w:sz="8" w:space="0"/>
              <w:right w:val="single" w:color="000000" w:sz="8" w:space="0"/>
            </w:tcBorders>
            <w:noWrap w:val="0"/>
            <w:vAlign w:val="center"/>
          </w:tcPr>
          <w:p w14:paraId="52F9A7EB">
            <w:pPr>
              <w:keepNext w:val="0"/>
              <w:keepLines w:val="0"/>
              <w:widowControl/>
              <w:suppressLineNumbers w:val="0"/>
              <w:jc w:val="center"/>
              <w:textAlignment w:val="center"/>
              <w:rPr>
                <w:rFonts w:hint="eastAsia" w:ascii="宋体" w:hAnsi="宋体"/>
                <w:color w:val="000000"/>
                <w:sz w:val="21"/>
                <w:szCs w:val="21"/>
              </w:rPr>
            </w:pPr>
            <w:r>
              <w:rPr>
                <w:rFonts w:hint="eastAsia" w:ascii="宋体" w:hAnsi="宋体" w:eastAsia="宋体" w:cs="宋体"/>
                <w:i w:val="0"/>
                <w:iCs w:val="0"/>
                <w:color w:val="000000"/>
                <w:kern w:val="0"/>
                <w:sz w:val="21"/>
                <w:szCs w:val="21"/>
                <w:u w:val="none"/>
                <w:lang w:val="en-US" w:eastAsia="zh-CN" w:bidi="ar"/>
              </w:rPr>
              <w:t>宣传片</w:t>
            </w:r>
          </w:p>
        </w:tc>
        <w:tc>
          <w:tcPr>
            <w:tcW w:w="722" w:type="dxa"/>
            <w:tcBorders>
              <w:top w:val="nil"/>
              <w:left w:val="nil"/>
              <w:bottom w:val="single" w:color="000000" w:sz="8" w:space="0"/>
              <w:right w:val="single" w:color="000000" w:sz="8" w:space="0"/>
            </w:tcBorders>
            <w:noWrap w:val="0"/>
            <w:vAlign w:val="center"/>
          </w:tcPr>
          <w:p w14:paraId="14406ED0">
            <w:pPr>
              <w:keepNext w:val="0"/>
              <w:keepLines w:val="0"/>
              <w:widowControl/>
              <w:suppressLineNumbers w:val="0"/>
              <w:jc w:val="center"/>
              <w:textAlignment w:val="center"/>
              <w:rPr>
                <w:rFonts w:hint="eastAsia" w:ascii="宋体" w:hAnsi="宋体"/>
                <w:color w:val="000000"/>
                <w:sz w:val="21"/>
                <w:szCs w:val="21"/>
              </w:rPr>
            </w:pPr>
            <w:r>
              <w:rPr>
                <w:rFonts w:hint="eastAsia" w:ascii="宋体" w:hAnsi="宋体" w:eastAsia="宋体" w:cs="宋体"/>
                <w:i w:val="0"/>
                <w:iCs w:val="0"/>
                <w:color w:val="000000"/>
                <w:kern w:val="0"/>
                <w:sz w:val="21"/>
                <w:szCs w:val="21"/>
                <w:u w:val="none"/>
                <w:lang w:val="en-US" w:eastAsia="zh-CN" w:bidi="ar"/>
              </w:rPr>
              <w:t>个</w:t>
            </w:r>
          </w:p>
        </w:tc>
        <w:tc>
          <w:tcPr>
            <w:tcW w:w="810" w:type="dxa"/>
            <w:tcBorders>
              <w:top w:val="nil"/>
              <w:left w:val="nil"/>
              <w:bottom w:val="single" w:color="000000" w:sz="8" w:space="0"/>
              <w:right w:val="single" w:color="000000" w:sz="8" w:space="0"/>
            </w:tcBorders>
            <w:noWrap w:val="0"/>
            <w:vAlign w:val="center"/>
          </w:tcPr>
          <w:p w14:paraId="17E16583">
            <w:pPr>
              <w:keepNext w:val="0"/>
              <w:keepLines w:val="0"/>
              <w:widowControl/>
              <w:suppressLineNumbers w:val="0"/>
              <w:jc w:val="center"/>
              <w:textAlignment w:val="center"/>
              <w:rPr>
                <w:rFonts w:hint="eastAsia"/>
                <w:sz w:val="21"/>
                <w:szCs w:val="21"/>
              </w:rPr>
            </w:pPr>
            <w:r>
              <w:rPr>
                <w:rFonts w:hint="eastAsia" w:ascii="宋体" w:hAnsi="宋体" w:eastAsia="宋体" w:cs="宋体"/>
                <w:i w:val="0"/>
                <w:iCs w:val="0"/>
                <w:color w:val="000000"/>
                <w:kern w:val="0"/>
                <w:sz w:val="21"/>
                <w:szCs w:val="21"/>
                <w:u w:val="none"/>
                <w:lang w:val="en-US" w:eastAsia="zh-CN" w:bidi="ar"/>
              </w:rPr>
              <w:t>7</w:t>
            </w:r>
          </w:p>
        </w:tc>
        <w:tc>
          <w:tcPr>
            <w:tcW w:w="4579" w:type="dxa"/>
            <w:tcBorders>
              <w:top w:val="nil"/>
              <w:left w:val="nil"/>
              <w:bottom w:val="single" w:color="000000" w:sz="8" w:space="0"/>
              <w:right w:val="single" w:color="000000" w:sz="8" w:space="0"/>
            </w:tcBorders>
            <w:noWrap w:val="0"/>
            <w:vAlign w:val="center"/>
          </w:tcPr>
          <w:p w14:paraId="65354A01">
            <w:pPr>
              <w:widowControl/>
              <w:spacing w:line="360" w:lineRule="auto"/>
              <w:jc w:val="center"/>
              <w:textAlignment w:val="center"/>
              <w:rPr>
                <w:rFonts w:hint="eastAsia" w:ascii="宋体" w:hAnsi="宋体"/>
                <w:color w:val="000000"/>
                <w:sz w:val="21"/>
                <w:szCs w:val="21"/>
              </w:rPr>
            </w:pPr>
            <w:r>
              <w:rPr>
                <w:rFonts w:hint="eastAsia" w:ascii="宋体" w:hAnsi="宋体"/>
                <w:color w:val="000000"/>
                <w:sz w:val="21"/>
                <w:szCs w:val="21"/>
              </w:rPr>
              <w:t>资源库</w:t>
            </w:r>
            <w:r>
              <w:rPr>
                <w:rFonts w:hint="eastAsia" w:ascii="宋体" w:hAnsi="宋体"/>
                <w:color w:val="000000"/>
                <w:sz w:val="21"/>
                <w:szCs w:val="21"/>
                <w:lang w:val="en-US" w:eastAsia="zh-CN"/>
              </w:rPr>
              <w:t>及课程</w:t>
            </w:r>
            <w:r>
              <w:rPr>
                <w:rFonts w:hint="eastAsia" w:ascii="宋体" w:hAnsi="宋体"/>
                <w:color w:val="000000"/>
                <w:sz w:val="21"/>
                <w:szCs w:val="21"/>
              </w:rPr>
              <w:t>宣传片</w:t>
            </w:r>
          </w:p>
        </w:tc>
      </w:tr>
      <w:tr w14:paraId="0FD34984">
        <w:tblPrEx>
          <w:tblCellMar>
            <w:top w:w="0" w:type="dxa"/>
            <w:left w:w="108" w:type="dxa"/>
            <w:bottom w:w="0" w:type="dxa"/>
            <w:right w:w="108" w:type="dxa"/>
          </w:tblCellMar>
        </w:tblPrEx>
        <w:trPr>
          <w:trHeight w:val="695" w:hRule="atLeast"/>
        </w:trPr>
        <w:tc>
          <w:tcPr>
            <w:tcW w:w="710" w:type="dxa"/>
            <w:tcBorders>
              <w:top w:val="single" w:color="000000" w:sz="8" w:space="0"/>
              <w:left w:val="single" w:color="000000" w:sz="8" w:space="0"/>
              <w:bottom w:val="single" w:color="000000" w:sz="8" w:space="0"/>
              <w:right w:val="single" w:color="000000" w:sz="8" w:space="0"/>
            </w:tcBorders>
            <w:noWrap w:val="0"/>
            <w:vAlign w:val="center"/>
          </w:tcPr>
          <w:p w14:paraId="1B309D3C">
            <w:pPr>
              <w:widowControl/>
              <w:spacing w:line="360" w:lineRule="auto"/>
              <w:jc w:val="center"/>
              <w:textAlignment w:val="center"/>
              <w:rPr>
                <w:rFonts w:hint="eastAsia" w:ascii="宋体" w:hAnsi="宋体" w:eastAsia="宋体"/>
                <w:color w:val="000000"/>
                <w:sz w:val="21"/>
                <w:szCs w:val="21"/>
                <w:lang w:eastAsia="zh-CN"/>
              </w:rPr>
            </w:pPr>
            <w:r>
              <w:rPr>
                <w:rFonts w:hint="eastAsia" w:ascii="宋体" w:hAnsi="宋体"/>
                <w:color w:val="000000"/>
                <w:sz w:val="21"/>
                <w:szCs w:val="21"/>
              </w:rPr>
              <w:t>1</w:t>
            </w:r>
            <w:r>
              <w:rPr>
                <w:rFonts w:hint="eastAsia" w:ascii="宋体" w:hAnsi="宋体"/>
                <w:color w:val="000000"/>
                <w:sz w:val="21"/>
                <w:szCs w:val="21"/>
                <w:lang w:val="en-US" w:eastAsia="zh-CN"/>
              </w:rPr>
              <w:t>3</w:t>
            </w:r>
          </w:p>
        </w:tc>
        <w:tc>
          <w:tcPr>
            <w:tcW w:w="1939" w:type="dxa"/>
            <w:tcBorders>
              <w:top w:val="single" w:color="000000" w:sz="8" w:space="0"/>
              <w:left w:val="single" w:color="000000" w:sz="8" w:space="0"/>
              <w:bottom w:val="single" w:color="000000" w:sz="8" w:space="0"/>
              <w:right w:val="single" w:color="000000" w:sz="8" w:space="0"/>
            </w:tcBorders>
            <w:noWrap w:val="0"/>
            <w:vAlign w:val="center"/>
          </w:tcPr>
          <w:p w14:paraId="5EFC16AE">
            <w:pPr>
              <w:keepNext w:val="0"/>
              <w:keepLines w:val="0"/>
              <w:widowControl/>
              <w:suppressLineNumbers w:val="0"/>
              <w:jc w:val="center"/>
              <w:textAlignment w:val="center"/>
              <w:rPr>
                <w:rFonts w:hint="eastAsia" w:ascii="宋体" w:hAnsi="宋体"/>
                <w:color w:val="000000"/>
                <w:sz w:val="21"/>
                <w:szCs w:val="21"/>
              </w:rPr>
            </w:pPr>
            <w:r>
              <w:rPr>
                <w:rFonts w:hint="eastAsia" w:ascii="宋体" w:hAnsi="宋体" w:eastAsia="宋体" w:cs="宋体"/>
                <w:i w:val="0"/>
                <w:iCs w:val="0"/>
                <w:color w:val="000000"/>
                <w:kern w:val="0"/>
                <w:sz w:val="21"/>
                <w:szCs w:val="21"/>
                <w:u w:val="none"/>
                <w:lang w:val="en-US" w:eastAsia="zh-CN" w:bidi="ar"/>
              </w:rPr>
              <w:t>资源库运行平台门户改造</w:t>
            </w:r>
          </w:p>
        </w:tc>
        <w:tc>
          <w:tcPr>
            <w:tcW w:w="722" w:type="dxa"/>
            <w:tcBorders>
              <w:top w:val="single" w:color="000000" w:sz="8" w:space="0"/>
              <w:left w:val="single" w:color="000000" w:sz="8" w:space="0"/>
              <w:bottom w:val="single" w:color="000000" w:sz="8" w:space="0"/>
              <w:right w:val="single" w:color="000000" w:sz="8" w:space="0"/>
            </w:tcBorders>
            <w:noWrap w:val="0"/>
            <w:vAlign w:val="center"/>
          </w:tcPr>
          <w:p w14:paraId="7051F1B8">
            <w:pPr>
              <w:keepNext w:val="0"/>
              <w:keepLines w:val="0"/>
              <w:widowControl/>
              <w:suppressLineNumbers w:val="0"/>
              <w:jc w:val="center"/>
              <w:textAlignment w:val="center"/>
              <w:rPr>
                <w:rFonts w:hint="eastAsia" w:ascii="宋体" w:hAnsi="宋体"/>
                <w:color w:val="000000"/>
                <w:sz w:val="21"/>
                <w:szCs w:val="21"/>
              </w:rPr>
            </w:pPr>
            <w:r>
              <w:rPr>
                <w:rFonts w:hint="eastAsia" w:ascii="宋体" w:hAnsi="宋体" w:eastAsia="宋体" w:cs="宋体"/>
                <w:i w:val="0"/>
                <w:iCs w:val="0"/>
                <w:color w:val="000000"/>
                <w:kern w:val="0"/>
                <w:sz w:val="21"/>
                <w:szCs w:val="21"/>
                <w:u w:val="none"/>
                <w:lang w:val="en-US" w:eastAsia="zh-CN" w:bidi="ar"/>
              </w:rPr>
              <w:t>项</w:t>
            </w:r>
          </w:p>
        </w:tc>
        <w:tc>
          <w:tcPr>
            <w:tcW w:w="810" w:type="dxa"/>
            <w:tcBorders>
              <w:top w:val="single" w:color="000000" w:sz="8" w:space="0"/>
              <w:left w:val="single" w:color="000000" w:sz="8" w:space="0"/>
              <w:bottom w:val="single" w:color="000000" w:sz="8" w:space="0"/>
              <w:right w:val="single" w:color="000000" w:sz="8" w:space="0"/>
            </w:tcBorders>
            <w:noWrap w:val="0"/>
            <w:vAlign w:val="center"/>
          </w:tcPr>
          <w:p w14:paraId="35A237D8">
            <w:pPr>
              <w:keepNext w:val="0"/>
              <w:keepLines w:val="0"/>
              <w:widowControl/>
              <w:suppressLineNumbers w:val="0"/>
              <w:jc w:val="center"/>
              <w:textAlignment w:val="center"/>
              <w:rPr>
                <w:rFonts w:hint="eastAsia"/>
                <w:sz w:val="21"/>
                <w:szCs w:val="21"/>
              </w:rPr>
            </w:pPr>
            <w:r>
              <w:rPr>
                <w:rFonts w:hint="eastAsia" w:ascii="宋体" w:hAnsi="宋体" w:eastAsia="宋体" w:cs="宋体"/>
                <w:i w:val="0"/>
                <w:iCs w:val="0"/>
                <w:color w:val="000000"/>
                <w:kern w:val="0"/>
                <w:sz w:val="21"/>
                <w:szCs w:val="21"/>
                <w:u w:val="none"/>
                <w:lang w:val="en-US" w:eastAsia="zh-CN" w:bidi="ar"/>
              </w:rPr>
              <w:t>1</w:t>
            </w:r>
          </w:p>
        </w:tc>
        <w:tc>
          <w:tcPr>
            <w:tcW w:w="4579" w:type="dxa"/>
            <w:tcBorders>
              <w:top w:val="single" w:color="000000" w:sz="8" w:space="0"/>
              <w:left w:val="single" w:color="000000" w:sz="8" w:space="0"/>
              <w:bottom w:val="single" w:color="000000" w:sz="8" w:space="0"/>
              <w:right w:val="single" w:color="000000" w:sz="8" w:space="0"/>
            </w:tcBorders>
            <w:noWrap w:val="0"/>
            <w:vAlign w:val="center"/>
          </w:tcPr>
          <w:p w14:paraId="180C1797">
            <w:pPr>
              <w:widowControl/>
              <w:spacing w:line="360" w:lineRule="auto"/>
              <w:jc w:val="center"/>
              <w:textAlignment w:val="center"/>
              <w:rPr>
                <w:rFonts w:hint="eastAsia" w:ascii="宋体" w:hAnsi="宋体"/>
                <w:color w:val="000000"/>
                <w:sz w:val="21"/>
                <w:szCs w:val="21"/>
              </w:rPr>
            </w:pPr>
            <w:r>
              <w:rPr>
                <w:rFonts w:hint="eastAsia" w:ascii="宋体" w:hAnsi="宋体"/>
                <w:color w:val="000000"/>
                <w:sz w:val="21"/>
                <w:szCs w:val="21"/>
              </w:rPr>
              <w:t>结合学</w:t>
            </w:r>
            <w:r>
              <w:rPr>
                <w:rFonts w:hint="eastAsia" w:ascii="宋体" w:hAnsi="宋体"/>
                <w:color w:val="000000"/>
                <w:sz w:val="21"/>
                <w:szCs w:val="21"/>
                <w:lang w:val="en-US" w:eastAsia="zh-CN"/>
              </w:rPr>
              <w:t>校</w:t>
            </w:r>
            <w:r>
              <w:rPr>
                <w:rFonts w:hint="eastAsia" w:ascii="宋体" w:hAnsi="宋体"/>
                <w:color w:val="000000"/>
                <w:sz w:val="21"/>
                <w:szCs w:val="21"/>
              </w:rPr>
              <w:t>特色、策划开发</w:t>
            </w:r>
          </w:p>
        </w:tc>
      </w:tr>
      <w:tr w14:paraId="32B069A7">
        <w:tblPrEx>
          <w:tblCellMar>
            <w:top w:w="0" w:type="dxa"/>
            <w:left w:w="108" w:type="dxa"/>
            <w:bottom w:w="0" w:type="dxa"/>
            <w:right w:w="108" w:type="dxa"/>
          </w:tblCellMar>
        </w:tblPrEx>
        <w:trPr>
          <w:trHeight w:val="915" w:hRule="atLeast"/>
        </w:trPr>
        <w:tc>
          <w:tcPr>
            <w:tcW w:w="710" w:type="dxa"/>
            <w:tcBorders>
              <w:top w:val="single" w:color="000000" w:sz="8" w:space="0"/>
              <w:left w:val="single" w:color="000000" w:sz="8" w:space="0"/>
              <w:bottom w:val="single" w:color="000000" w:sz="8" w:space="0"/>
              <w:right w:val="single" w:color="000000" w:sz="8" w:space="0"/>
            </w:tcBorders>
            <w:noWrap w:val="0"/>
            <w:vAlign w:val="center"/>
          </w:tcPr>
          <w:p w14:paraId="51763BDC">
            <w:pPr>
              <w:widowControl/>
              <w:spacing w:line="360" w:lineRule="auto"/>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14</w:t>
            </w:r>
          </w:p>
        </w:tc>
        <w:tc>
          <w:tcPr>
            <w:tcW w:w="1939" w:type="dxa"/>
            <w:tcBorders>
              <w:top w:val="single" w:color="000000" w:sz="8" w:space="0"/>
              <w:left w:val="single" w:color="000000" w:sz="8" w:space="0"/>
              <w:bottom w:val="single" w:color="000000" w:sz="8" w:space="0"/>
              <w:right w:val="single" w:color="000000" w:sz="8" w:space="0"/>
            </w:tcBorders>
            <w:noWrap w:val="0"/>
            <w:vAlign w:val="center"/>
          </w:tcPr>
          <w:p w14:paraId="409D3AEB">
            <w:pPr>
              <w:keepNext w:val="0"/>
              <w:keepLines w:val="0"/>
              <w:widowControl/>
              <w:suppressLineNumbers w:val="0"/>
              <w:jc w:val="center"/>
              <w:textAlignment w:val="center"/>
              <w:rPr>
                <w:rFonts w:hint="eastAsia" w:ascii="宋体" w:hAnsi="宋体"/>
                <w:color w:val="000000"/>
                <w:sz w:val="21"/>
                <w:szCs w:val="21"/>
              </w:rPr>
            </w:pPr>
            <w:r>
              <w:rPr>
                <w:rFonts w:hint="eastAsia" w:ascii="宋体" w:hAnsi="宋体" w:eastAsia="宋体" w:cs="宋体"/>
                <w:i w:val="0"/>
                <w:iCs w:val="0"/>
                <w:color w:val="000000"/>
                <w:kern w:val="0"/>
                <w:sz w:val="21"/>
                <w:szCs w:val="21"/>
                <w:u w:val="none"/>
                <w:lang w:val="en-US" w:eastAsia="zh-CN" w:bidi="ar"/>
              </w:rPr>
              <w:t>资源库平台服务、技术支撑</w:t>
            </w:r>
          </w:p>
        </w:tc>
        <w:tc>
          <w:tcPr>
            <w:tcW w:w="722" w:type="dxa"/>
            <w:tcBorders>
              <w:top w:val="single" w:color="000000" w:sz="8" w:space="0"/>
              <w:left w:val="single" w:color="000000" w:sz="8" w:space="0"/>
              <w:bottom w:val="single" w:color="000000" w:sz="8" w:space="0"/>
              <w:right w:val="single" w:color="000000" w:sz="8" w:space="0"/>
            </w:tcBorders>
            <w:noWrap w:val="0"/>
            <w:vAlign w:val="center"/>
          </w:tcPr>
          <w:p w14:paraId="50564FEC">
            <w:pPr>
              <w:keepNext w:val="0"/>
              <w:keepLines w:val="0"/>
              <w:widowControl/>
              <w:suppressLineNumbers w:val="0"/>
              <w:jc w:val="center"/>
              <w:textAlignment w:val="center"/>
              <w:rPr>
                <w:rFonts w:hint="eastAsia" w:ascii="宋体" w:hAnsi="宋体"/>
                <w:color w:val="000000"/>
                <w:sz w:val="21"/>
                <w:szCs w:val="21"/>
              </w:rPr>
            </w:pPr>
            <w:r>
              <w:rPr>
                <w:rFonts w:hint="eastAsia" w:ascii="宋体" w:hAnsi="宋体" w:eastAsia="宋体" w:cs="宋体"/>
                <w:i w:val="0"/>
                <w:iCs w:val="0"/>
                <w:color w:val="000000"/>
                <w:kern w:val="0"/>
                <w:sz w:val="21"/>
                <w:szCs w:val="21"/>
                <w:u w:val="none"/>
                <w:lang w:val="en-US" w:eastAsia="zh-CN" w:bidi="ar"/>
              </w:rPr>
              <w:t>项</w:t>
            </w:r>
          </w:p>
        </w:tc>
        <w:tc>
          <w:tcPr>
            <w:tcW w:w="810" w:type="dxa"/>
            <w:tcBorders>
              <w:top w:val="single" w:color="000000" w:sz="8" w:space="0"/>
              <w:left w:val="single" w:color="000000" w:sz="8" w:space="0"/>
              <w:bottom w:val="single" w:color="000000" w:sz="8" w:space="0"/>
              <w:right w:val="single" w:color="000000" w:sz="8" w:space="0"/>
            </w:tcBorders>
            <w:noWrap w:val="0"/>
            <w:vAlign w:val="center"/>
          </w:tcPr>
          <w:p w14:paraId="43536FA4">
            <w:pPr>
              <w:keepNext w:val="0"/>
              <w:keepLines w:val="0"/>
              <w:widowControl/>
              <w:suppressLineNumbers w:val="0"/>
              <w:jc w:val="center"/>
              <w:textAlignment w:val="center"/>
              <w:rPr>
                <w:rFonts w:hint="eastAsia"/>
                <w:sz w:val="21"/>
                <w:szCs w:val="21"/>
              </w:rPr>
            </w:pPr>
            <w:r>
              <w:rPr>
                <w:rFonts w:hint="eastAsia" w:ascii="宋体" w:hAnsi="宋体" w:eastAsia="宋体" w:cs="宋体"/>
                <w:i w:val="0"/>
                <w:iCs w:val="0"/>
                <w:color w:val="000000"/>
                <w:kern w:val="0"/>
                <w:sz w:val="21"/>
                <w:szCs w:val="21"/>
                <w:u w:val="none"/>
                <w:lang w:val="en-US" w:eastAsia="zh-CN" w:bidi="ar"/>
              </w:rPr>
              <w:t>1</w:t>
            </w:r>
          </w:p>
        </w:tc>
        <w:tc>
          <w:tcPr>
            <w:tcW w:w="4579" w:type="dxa"/>
            <w:tcBorders>
              <w:top w:val="single" w:color="000000" w:sz="8" w:space="0"/>
              <w:left w:val="single" w:color="000000" w:sz="8" w:space="0"/>
              <w:bottom w:val="single" w:color="000000" w:sz="8" w:space="0"/>
              <w:right w:val="single" w:color="000000" w:sz="8" w:space="0"/>
            </w:tcBorders>
            <w:noWrap w:val="0"/>
            <w:vAlign w:val="center"/>
          </w:tcPr>
          <w:p w14:paraId="45878D7C">
            <w:pPr>
              <w:widowControl/>
              <w:spacing w:line="360" w:lineRule="auto"/>
              <w:jc w:val="center"/>
              <w:textAlignment w:val="center"/>
              <w:rPr>
                <w:rFonts w:hint="eastAsia" w:ascii="宋体" w:hAnsi="宋体"/>
                <w:color w:val="000000"/>
                <w:sz w:val="21"/>
                <w:szCs w:val="21"/>
              </w:rPr>
            </w:pPr>
            <w:r>
              <w:rPr>
                <w:rFonts w:hint="eastAsia" w:ascii="宋体" w:hAnsi="宋体" w:eastAsia="宋体" w:cs="宋体"/>
                <w:i w:val="0"/>
                <w:iCs w:val="0"/>
                <w:color w:val="000000"/>
                <w:kern w:val="0"/>
                <w:sz w:val="21"/>
                <w:szCs w:val="21"/>
                <w:u w:val="none"/>
                <w:lang w:val="en-US" w:eastAsia="zh-CN" w:bidi="ar"/>
              </w:rPr>
              <w:t>资源库运行平台建设水平必须符合国家职业教育智慧教育平台对接标准，并可以实现与国家职业教育智慧教育平台对接；并且需作为“国家职业教育专业教学资源库”项目支持平台。具备资源库建设、管理、教学、学习、分析、教研等功能，能够接入“国家职业教育智慧教育平台”并纳入运行监测，服务授权不低于三年。</w:t>
            </w:r>
          </w:p>
        </w:tc>
      </w:tr>
    </w:tbl>
    <w:p w14:paraId="0227C113">
      <w:pPr>
        <w:pStyle w:val="4"/>
        <w:bidi w:val="0"/>
        <w:ind w:left="0" w:leftChars="0" w:firstLine="0" w:firstLineChars="0"/>
        <w:rPr>
          <w:sz w:val="32"/>
          <w:szCs w:val="32"/>
        </w:rPr>
      </w:pPr>
      <w:r>
        <w:rPr>
          <w:rFonts w:hint="eastAsia"/>
          <w:sz w:val="32"/>
          <w:szCs w:val="32"/>
          <w:lang w:val="en-US" w:eastAsia="zh-CN"/>
        </w:rPr>
        <w:t>二</w:t>
      </w:r>
      <w:r>
        <w:rPr>
          <w:rFonts w:hint="eastAsia"/>
          <w:sz w:val="32"/>
          <w:szCs w:val="32"/>
        </w:rPr>
        <w:t>、建设要求</w:t>
      </w:r>
    </w:p>
    <w:p w14:paraId="4475E2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rPr>
      </w:pPr>
      <w:r>
        <w:rPr>
          <w:rFonts w:hint="eastAsia" w:ascii="宋体" w:hAnsi="宋体"/>
          <w:sz w:val="24"/>
          <w:lang w:val="en-US" w:eastAsia="zh-CN"/>
        </w:rPr>
        <w:t>乙方</w:t>
      </w:r>
      <w:r>
        <w:rPr>
          <w:rFonts w:hint="eastAsia" w:ascii="宋体" w:hAnsi="宋体"/>
          <w:sz w:val="24"/>
        </w:rPr>
        <w:t>根据</w:t>
      </w:r>
      <w:r>
        <w:rPr>
          <w:rFonts w:hint="eastAsia" w:ascii="宋体" w:hAnsi="宋体"/>
          <w:sz w:val="24"/>
          <w:lang w:val="en-US" w:eastAsia="zh-CN"/>
        </w:rPr>
        <w:t>甲方</w:t>
      </w:r>
      <w:r>
        <w:rPr>
          <w:rFonts w:hint="eastAsia" w:ascii="宋体" w:hAnsi="宋体"/>
          <w:sz w:val="24"/>
        </w:rPr>
        <w:t>专业建设需要，建设</w:t>
      </w:r>
      <w:r>
        <w:rPr>
          <w:rFonts w:hint="eastAsia" w:ascii="宋体" w:hAnsi="宋体"/>
          <w:sz w:val="24"/>
          <w:lang w:val="en-US" w:eastAsia="zh-CN"/>
        </w:rPr>
        <w:t>煤化工技术</w:t>
      </w:r>
      <w:r>
        <w:rPr>
          <w:rFonts w:hint="eastAsia" w:ascii="宋体" w:hAnsi="宋体"/>
          <w:sz w:val="24"/>
        </w:rPr>
        <w:t>专业</w:t>
      </w:r>
      <w:r>
        <w:rPr>
          <w:rFonts w:hint="eastAsia" w:ascii="宋体" w:hAnsi="宋体"/>
          <w:sz w:val="24"/>
          <w:lang w:eastAsia="zh-CN"/>
        </w:rPr>
        <w:t>（</w:t>
      </w:r>
      <w:r>
        <w:rPr>
          <w:rFonts w:hint="eastAsia" w:ascii="宋体" w:hAnsi="宋体"/>
          <w:sz w:val="24"/>
          <w:lang w:val="en-US" w:eastAsia="zh-CN"/>
        </w:rPr>
        <w:t>群</w:t>
      </w:r>
      <w:r>
        <w:rPr>
          <w:rFonts w:hint="eastAsia" w:ascii="宋体" w:hAnsi="宋体"/>
          <w:sz w:val="24"/>
          <w:lang w:eastAsia="zh-CN"/>
        </w:rPr>
        <w:t>）</w:t>
      </w:r>
      <w:r>
        <w:rPr>
          <w:rFonts w:hint="eastAsia" w:ascii="宋体" w:hAnsi="宋体"/>
          <w:sz w:val="24"/>
        </w:rPr>
        <w:t>教学资源库。</w:t>
      </w:r>
    </w:p>
    <w:p w14:paraId="5144D9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rPr>
      </w:pPr>
      <w:r>
        <w:rPr>
          <w:rFonts w:hint="eastAsia" w:ascii="宋体" w:hAnsi="宋体"/>
          <w:sz w:val="24"/>
        </w:rPr>
        <w:t>按照《2022年国家职业教育专业教学资源库验收评议重点和指标》《职业教育专业教学资源库建设工作手册</w:t>
      </w:r>
      <w:r>
        <w:rPr>
          <w:rFonts w:hint="eastAsia" w:ascii="宋体" w:hAnsi="宋体"/>
          <w:sz w:val="24"/>
          <w:lang w:eastAsia="zh-CN"/>
        </w:rPr>
        <w:t>》《</w:t>
      </w:r>
      <w:r>
        <w:rPr>
          <w:rFonts w:hint="eastAsia" w:ascii="宋体" w:hAnsi="宋体"/>
          <w:sz w:val="24"/>
          <w:lang w:val="en-US" w:eastAsia="zh-CN"/>
        </w:rPr>
        <w:t>2023</w:t>
      </w:r>
      <w:r>
        <w:rPr>
          <w:rFonts w:hint="eastAsia" w:ascii="宋体" w:hAnsi="宋体"/>
          <w:sz w:val="24"/>
        </w:rPr>
        <w:t>年教育部办公厅关于加快推进现代职业教育体系建设改革重点任务的通知》进行建设，遵循“一体化设计、结构化课程、颗粒化资源”的建构逻辑，实现“能学、辅教、促改”基本功能。</w:t>
      </w:r>
    </w:p>
    <w:p w14:paraId="2580E2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sz w:val="24"/>
        </w:rPr>
      </w:pPr>
      <w:r>
        <w:rPr>
          <w:rFonts w:hint="eastAsia" w:ascii="宋体" w:hAnsi="宋体"/>
          <w:sz w:val="24"/>
        </w:rPr>
        <w:t>资源库运行平台需满足《教育部职业教育专业教学资源库运行平台技术要求》（教职成厅函〔2019〕11号），不低于《信息安全等级保护管理办法》规定的信息系统安全等级保护（二级）基本要求，同时在线用户数50000人以上，并发用户数2500人以上，支撑运行平台的服务器确保7*24小时不间断运行。</w:t>
      </w:r>
      <w:r>
        <w:rPr>
          <w:rFonts w:hint="eastAsia" w:ascii="宋体" w:hAnsi="宋体"/>
          <w:sz w:val="24"/>
          <w:lang w:val="en-US" w:eastAsia="zh-CN"/>
        </w:rPr>
        <w:t>乙</w:t>
      </w:r>
      <w:r>
        <w:rPr>
          <w:rFonts w:hint="eastAsia" w:ascii="宋体" w:hAnsi="宋体"/>
          <w:sz w:val="24"/>
        </w:rPr>
        <w:t>方保证其建设资源满足职业教育专业教学资源库运行要求。</w:t>
      </w:r>
    </w:p>
    <w:p w14:paraId="27E8BDBB">
      <w:pPr>
        <w:pStyle w:val="4"/>
        <w:bidi w:val="0"/>
        <w:ind w:left="0" w:leftChars="0" w:firstLine="0" w:firstLineChars="0"/>
        <w:jc w:val="left"/>
        <w:rPr>
          <w:rFonts w:hint="eastAsia"/>
          <w:sz w:val="32"/>
          <w:szCs w:val="36"/>
        </w:rPr>
      </w:pPr>
      <w:r>
        <w:rPr>
          <w:rFonts w:hint="eastAsia"/>
          <w:sz w:val="32"/>
          <w:szCs w:val="36"/>
          <w:lang w:val="en-US" w:eastAsia="zh-CN"/>
        </w:rPr>
        <w:t>三</w:t>
      </w:r>
      <w:r>
        <w:rPr>
          <w:rFonts w:hint="eastAsia"/>
          <w:sz w:val="32"/>
          <w:szCs w:val="36"/>
        </w:rPr>
        <w:t>、合同价格</w:t>
      </w:r>
    </w:p>
    <w:p w14:paraId="5A4AEE75">
      <w:pPr>
        <w:spacing w:line="360" w:lineRule="auto"/>
        <w:ind w:firstLine="480" w:firstLineChars="200"/>
        <w:jc w:val="left"/>
        <w:rPr>
          <w:rFonts w:hint="default" w:ascii="宋体" w:hAnsi="宋体"/>
          <w:sz w:val="24"/>
          <w:lang w:val="en-US"/>
        </w:rPr>
      </w:pPr>
      <w:r>
        <w:rPr>
          <w:rFonts w:hint="eastAsia" w:ascii="宋体" w:hAnsi="宋体"/>
          <w:sz w:val="24"/>
        </w:rPr>
        <w:t>合同总价：</w:t>
      </w:r>
      <w:r>
        <w:rPr>
          <w:rFonts w:hint="eastAsia" w:ascii="宋体" w:hAnsi="宋体"/>
          <w:color w:val="000000"/>
          <w:sz w:val="24"/>
          <w:u w:val="single"/>
        </w:rPr>
        <w:t>人民币</w:t>
      </w:r>
      <w:r>
        <w:rPr>
          <w:rFonts w:hint="eastAsia" w:ascii="宋体" w:hAnsi="宋体"/>
          <w:color w:val="000000"/>
          <w:sz w:val="24"/>
          <w:u w:val="single"/>
          <w:lang w:val="en-US" w:eastAsia="zh-CN"/>
        </w:rPr>
        <w:t>xx元整</w:t>
      </w:r>
      <w:r>
        <w:rPr>
          <w:rFonts w:hint="eastAsia" w:ascii="宋体" w:hAnsi="宋体"/>
          <w:color w:val="000000"/>
          <w:sz w:val="24"/>
          <w:u w:val="single"/>
        </w:rPr>
        <w:t>（¥</w:t>
      </w:r>
      <w:r>
        <w:rPr>
          <w:rFonts w:hint="eastAsia" w:ascii="宋体" w:hAnsi="宋体"/>
          <w:color w:val="000000"/>
          <w:sz w:val="24"/>
          <w:u w:val="single"/>
          <w:lang w:val="en-US" w:eastAsia="zh-CN"/>
        </w:rPr>
        <w:t xml:space="preserve"> xx</w:t>
      </w:r>
      <w:r>
        <w:rPr>
          <w:rFonts w:hint="eastAsia" w:ascii="宋体" w:hAnsi="宋体"/>
          <w:color w:val="000000"/>
          <w:sz w:val="24"/>
          <w:u w:val="single"/>
        </w:rPr>
        <w:t>元）</w:t>
      </w:r>
      <w:r>
        <w:rPr>
          <w:rFonts w:hint="eastAsia" w:ascii="宋体" w:hAnsi="宋体"/>
          <w:color w:val="000000"/>
          <w:sz w:val="24"/>
          <w:u w:val="none"/>
          <w:lang w:val="en-US" w:eastAsia="zh-CN"/>
        </w:rPr>
        <w:t>。</w:t>
      </w:r>
    </w:p>
    <w:p w14:paraId="2AF54596">
      <w:pPr>
        <w:spacing w:line="360" w:lineRule="auto"/>
        <w:ind w:firstLine="480" w:firstLineChars="200"/>
        <w:jc w:val="left"/>
        <w:rPr>
          <w:rFonts w:hint="eastAsia" w:ascii="宋体" w:hAnsi="宋体"/>
          <w:color w:val="auto"/>
          <w:sz w:val="24"/>
        </w:rPr>
      </w:pPr>
      <w:r>
        <w:rPr>
          <w:rFonts w:hint="eastAsia" w:ascii="宋体" w:hAnsi="宋体"/>
          <w:color w:val="auto"/>
          <w:sz w:val="24"/>
        </w:rPr>
        <w:t>说明：合同总价一次包死，不受市场价格变化影响，并作为结算的唯一依据。</w:t>
      </w:r>
    </w:p>
    <w:p w14:paraId="4712B16F">
      <w:pPr>
        <w:pStyle w:val="4"/>
        <w:bidi w:val="0"/>
        <w:ind w:left="0" w:leftChars="0" w:firstLine="0" w:firstLineChars="0"/>
        <w:rPr>
          <w:rFonts w:hint="eastAsia"/>
          <w:sz w:val="32"/>
          <w:szCs w:val="36"/>
        </w:rPr>
      </w:pPr>
      <w:r>
        <w:rPr>
          <w:rFonts w:hint="eastAsia"/>
          <w:sz w:val="32"/>
          <w:szCs w:val="36"/>
          <w:lang w:val="en-US" w:eastAsia="zh-CN"/>
        </w:rPr>
        <w:t>四</w:t>
      </w:r>
      <w:r>
        <w:rPr>
          <w:rFonts w:hint="eastAsia"/>
          <w:sz w:val="32"/>
          <w:szCs w:val="36"/>
        </w:rPr>
        <w:t>、合同款项支付</w:t>
      </w:r>
    </w:p>
    <w:p w14:paraId="00733168">
      <w:pPr>
        <w:keepNext w:val="0"/>
        <w:keepLines w:val="0"/>
        <w:pageBreakBefore w:val="0"/>
        <w:widowControl w:val="0"/>
        <w:tabs>
          <w:tab w:val="left" w:pos="840"/>
        </w:tabs>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rPr>
      </w:pPr>
      <w:r>
        <w:rPr>
          <w:rFonts w:hint="eastAsia" w:ascii="宋体" w:hAnsi="宋体"/>
          <w:sz w:val="24"/>
        </w:rPr>
        <w:t>1</w:t>
      </w:r>
      <w:r>
        <w:rPr>
          <w:rFonts w:hint="eastAsia" w:ascii="宋体" w:hAnsi="宋体"/>
          <w:sz w:val="24"/>
          <w:lang w:eastAsia="zh-CN"/>
        </w:rPr>
        <w:t>.</w:t>
      </w:r>
      <w:r>
        <w:rPr>
          <w:rFonts w:hint="eastAsia" w:ascii="宋体" w:hAnsi="宋体"/>
          <w:sz w:val="24"/>
        </w:rPr>
        <w:t>结算单位：</w:t>
      </w:r>
      <w:r>
        <w:rPr>
          <w:rFonts w:hint="eastAsia" w:ascii="宋体" w:hAnsi="宋体"/>
          <w:sz w:val="24"/>
          <w:lang w:val="en-US" w:eastAsia="zh-CN"/>
        </w:rPr>
        <w:t>甲方</w:t>
      </w:r>
      <w:r>
        <w:rPr>
          <w:rFonts w:hint="eastAsia" w:ascii="宋体" w:hAnsi="宋体"/>
          <w:sz w:val="24"/>
        </w:rPr>
        <w:t>结算，在付款前，</w:t>
      </w:r>
      <w:r>
        <w:rPr>
          <w:rFonts w:hint="eastAsia" w:ascii="宋体" w:hAnsi="宋体"/>
          <w:sz w:val="24"/>
          <w:lang w:val="en-US" w:eastAsia="zh-CN"/>
        </w:rPr>
        <w:t>乙方</w:t>
      </w:r>
      <w:r>
        <w:rPr>
          <w:rFonts w:hint="eastAsia" w:ascii="宋体" w:hAnsi="宋体"/>
          <w:sz w:val="24"/>
        </w:rPr>
        <w:t>必须开具等额发票给</w:t>
      </w:r>
      <w:r>
        <w:rPr>
          <w:rFonts w:hint="eastAsia" w:ascii="宋体" w:hAnsi="宋体"/>
          <w:sz w:val="24"/>
          <w:lang w:val="en-US" w:eastAsia="zh-CN"/>
        </w:rPr>
        <w:t>甲方</w:t>
      </w:r>
      <w:r>
        <w:rPr>
          <w:rFonts w:hint="eastAsia" w:ascii="宋体" w:hAnsi="宋体"/>
          <w:sz w:val="24"/>
        </w:rPr>
        <w:t>。</w:t>
      </w:r>
    </w:p>
    <w:p w14:paraId="72DFCA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sz w:val="24"/>
          <w:u w:val="none"/>
          <w:lang w:val="en-US"/>
        </w:rPr>
      </w:pPr>
      <w:r>
        <w:rPr>
          <w:rFonts w:hint="eastAsia" w:ascii="宋体" w:hAnsi="宋体"/>
          <w:sz w:val="24"/>
          <w:lang w:val="en-US" w:eastAsia="zh-CN"/>
        </w:rPr>
        <w:t>2</w:t>
      </w:r>
      <w:r>
        <w:rPr>
          <w:rFonts w:hint="eastAsia" w:ascii="宋体" w:hAnsi="宋体"/>
          <w:sz w:val="24"/>
          <w:lang w:eastAsia="zh-CN"/>
        </w:rPr>
        <w:t>.</w:t>
      </w:r>
      <w:r>
        <w:rPr>
          <w:rFonts w:hint="eastAsia" w:ascii="宋体" w:hAnsi="宋体"/>
          <w:sz w:val="24"/>
        </w:rPr>
        <w:t>付款方式：项目完成并经</w:t>
      </w:r>
      <w:r>
        <w:rPr>
          <w:rFonts w:hint="eastAsia" w:ascii="宋体" w:hAnsi="宋体"/>
          <w:sz w:val="24"/>
          <w:lang w:eastAsia="zh-CN"/>
        </w:rPr>
        <w:t>甲方</w:t>
      </w:r>
      <w:r>
        <w:rPr>
          <w:rFonts w:hint="eastAsia" w:ascii="宋体" w:hAnsi="宋体"/>
          <w:sz w:val="24"/>
        </w:rPr>
        <w:t>验收合格</w:t>
      </w:r>
      <w:r>
        <w:rPr>
          <w:rFonts w:hint="eastAsia" w:ascii="宋体" w:hAnsi="宋体"/>
          <w:sz w:val="24"/>
          <w:lang w:eastAsia="zh-CN"/>
        </w:rPr>
        <w:t>，</w:t>
      </w:r>
      <w:r>
        <w:rPr>
          <w:rFonts w:hint="eastAsia" w:ascii="宋体" w:hAnsi="宋体"/>
          <w:sz w:val="24"/>
          <w:lang w:val="en-US" w:eastAsia="zh-CN"/>
        </w:rPr>
        <w:t>且运行三个月无问题</w:t>
      </w:r>
      <w:r>
        <w:rPr>
          <w:rFonts w:hint="eastAsia" w:ascii="宋体" w:hAnsi="宋体"/>
          <w:sz w:val="24"/>
        </w:rPr>
        <w:t>后</w:t>
      </w:r>
      <w:r>
        <w:rPr>
          <w:rFonts w:hint="eastAsia" w:ascii="宋体" w:hAnsi="宋体"/>
          <w:sz w:val="24"/>
          <w:lang w:val="en-US" w:eastAsia="zh-CN"/>
        </w:rPr>
        <w:t>一次性</w:t>
      </w:r>
      <w:r>
        <w:rPr>
          <w:rFonts w:hint="eastAsia" w:ascii="宋体" w:hAnsi="宋体"/>
          <w:sz w:val="24"/>
        </w:rPr>
        <w:t>支付</w:t>
      </w:r>
      <w:r>
        <w:rPr>
          <w:rFonts w:hint="eastAsia" w:ascii="宋体" w:hAnsi="宋体"/>
          <w:sz w:val="24"/>
          <w:lang w:val="en-US" w:eastAsia="zh-CN"/>
        </w:rPr>
        <w:t>项目合同全部价款</w:t>
      </w:r>
      <w:r>
        <w:rPr>
          <w:rFonts w:hint="eastAsia" w:ascii="宋体" w:hAnsi="宋体"/>
          <w:sz w:val="24"/>
          <w:u w:val="none"/>
          <w:lang w:val="en-US" w:eastAsia="zh-CN"/>
        </w:rPr>
        <w:t>。</w:t>
      </w:r>
    </w:p>
    <w:p w14:paraId="07D29168">
      <w:pPr>
        <w:pStyle w:val="4"/>
        <w:bidi w:val="0"/>
        <w:ind w:left="0" w:leftChars="0" w:firstLine="0" w:firstLineChars="0"/>
        <w:rPr>
          <w:rFonts w:hint="eastAsia"/>
          <w:sz w:val="32"/>
          <w:szCs w:val="36"/>
          <w:lang w:val="en-US" w:eastAsia="zh-CN"/>
        </w:rPr>
      </w:pPr>
      <w:r>
        <w:rPr>
          <w:rFonts w:hint="eastAsia"/>
          <w:sz w:val="32"/>
          <w:szCs w:val="36"/>
          <w:lang w:val="en-US" w:eastAsia="zh-CN"/>
        </w:rPr>
        <w:t>五、服务条件</w:t>
      </w:r>
    </w:p>
    <w:p w14:paraId="735914D6">
      <w:pPr>
        <w:spacing w:line="360" w:lineRule="auto"/>
        <w:ind w:firstLine="480" w:firstLineChars="200"/>
        <w:jc w:val="left"/>
        <w:rPr>
          <w:rFonts w:hint="eastAsia" w:ascii="宋体" w:hAnsi="宋体" w:eastAsia="宋体"/>
          <w:sz w:val="24"/>
          <w:u w:val="none"/>
          <w:lang w:eastAsia="zh-CN"/>
        </w:rPr>
      </w:pPr>
      <w:r>
        <w:rPr>
          <w:rFonts w:hint="eastAsia" w:ascii="宋体" w:hAnsi="宋体"/>
          <w:sz w:val="24"/>
          <w:lang w:val="en-US" w:eastAsia="zh-CN"/>
        </w:rPr>
        <w:t>1.</w:t>
      </w:r>
      <w:r>
        <w:rPr>
          <w:rFonts w:hint="eastAsia" w:ascii="宋体" w:hAnsi="宋体"/>
          <w:sz w:val="24"/>
        </w:rPr>
        <w:t>项目实施地点：</w:t>
      </w:r>
      <w:r>
        <w:rPr>
          <w:rFonts w:hint="eastAsia" w:ascii="宋体" w:hAnsi="宋体"/>
          <w:sz w:val="24"/>
          <w:u w:val="single"/>
          <w:lang w:val="en-US" w:eastAsia="zh-CN"/>
        </w:rPr>
        <w:t>甲方</w:t>
      </w:r>
      <w:r>
        <w:rPr>
          <w:rFonts w:hint="eastAsia" w:ascii="宋体" w:hAnsi="宋体"/>
          <w:sz w:val="24"/>
          <w:u w:val="single"/>
        </w:rPr>
        <w:t>指定地点</w:t>
      </w:r>
      <w:r>
        <w:rPr>
          <w:rFonts w:hint="eastAsia" w:ascii="宋体" w:hAnsi="宋体"/>
          <w:sz w:val="24"/>
          <w:u w:val="none"/>
          <w:lang w:eastAsia="zh-CN"/>
        </w:rPr>
        <w:t>；</w:t>
      </w:r>
    </w:p>
    <w:p w14:paraId="4CC60FC8">
      <w:pPr>
        <w:pStyle w:val="12"/>
        <w:spacing w:line="360" w:lineRule="auto"/>
        <w:ind w:firstLine="480" w:firstLineChars="200"/>
        <w:jc w:val="left"/>
        <w:rPr>
          <w:rFonts w:hint="default" w:ascii="宋体" w:hAnsi="宋体" w:eastAsia="宋体"/>
          <w:sz w:val="24"/>
          <w:u w:val="none"/>
          <w:lang w:val="en-US" w:eastAsia="zh-CN"/>
        </w:rPr>
      </w:pPr>
      <w:r>
        <w:rPr>
          <w:rFonts w:hint="eastAsia" w:hAnsi="宋体"/>
          <w:sz w:val="24"/>
          <w:lang w:val="en-US" w:eastAsia="zh-CN"/>
        </w:rPr>
        <w:t>2.</w:t>
      </w:r>
      <w:r>
        <w:rPr>
          <w:rFonts w:hint="eastAsia" w:ascii="宋体" w:hAnsi="宋体"/>
          <w:sz w:val="24"/>
        </w:rPr>
        <w:t>服务期：</w:t>
      </w:r>
      <w:r>
        <w:rPr>
          <w:rFonts w:hint="eastAsia" w:hAnsi="宋体"/>
          <w:bCs/>
          <w:sz w:val="24"/>
          <w:szCs w:val="24"/>
          <w:u w:val="single"/>
        </w:rPr>
        <w:t>合同</w:t>
      </w:r>
      <w:r>
        <w:rPr>
          <w:rFonts w:hint="eastAsia" w:hAnsi="宋体"/>
          <w:bCs/>
          <w:sz w:val="24"/>
          <w:szCs w:val="24"/>
          <w:highlight w:val="none"/>
          <w:u w:val="single"/>
        </w:rPr>
        <w:t>签订后</w:t>
      </w:r>
      <w:r>
        <w:rPr>
          <w:rFonts w:hint="eastAsia" w:hAnsi="宋体"/>
          <w:bCs/>
          <w:sz w:val="24"/>
          <w:szCs w:val="24"/>
          <w:highlight w:val="none"/>
          <w:u w:val="single"/>
          <w:lang w:val="en-US" w:eastAsia="zh-CN"/>
        </w:rPr>
        <w:t>180</w:t>
      </w:r>
      <w:r>
        <w:rPr>
          <w:rFonts w:hint="eastAsia" w:hAnsi="宋体"/>
          <w:bCs/>
          <w:sz w:val="24"/>
          <w:szCs w:val="24"/>
          <w:highlight w:val="none"/>
          <w:u w:val="single"/>
        </w:rPr>
        <w:t>天内完成</w:t>
      </w:r>
      <w:r>
        <w:rPr>
          <w:rFonts w:hint="eastAsia" w:hAnsi="宋体"/>
          <w:bCs/>
          <w:sz w:val="24"/>
          <w:szCs w:val="24"/>
          <w:highlight w:val="none"/>
          <w:u w:val="none"/>
          <w:lang w:eastAsia="zh-CN"/>
        </w:rPr>
        <w:t>。</w:t>
      </w:r>
    </w:p>
    <w:p w14:paraId="5B967B4E">
      <w:pPr>
        <w:pStyle w:val="4"/>
        <w:bidi w:val="0"/>
        <w:ind w:left="0" w:leftChars="0" w:firstLine="0" w:firstLineChars="0"/>
        <w:rPr>
          <w:rFonts w:hint="eastAsia"/>
          <w:sz w:val="32"/>
          <w:szCs w:val="36"/>
          <w:lang w:val="en-US" w:eastAsia="zh-CN"/>
        </w:rPr>
      </w:pPr>
      <w:r>
        <w:rPr>
          <w:rFonts w:hint="eastAsia"/>
          <w:sz w:val="32"/>
          <w:szCs w:val="36"/>
          <w:lang w:val="en-US" w:eastAsia="zh-CN"/>
        </w:rPr>
        <w:t>六、服务质量承诺</w:t>
      </w:r>
    </w:p>
    <w:p w14:paraId="6F9F72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sz w:val="24"/>
          <w:highlight w:val="none"/>
        </w:rPr>
      </w:pPr>
      <w:r>
        <w:rPr>
          <w:rFonts w:hint="eastAsia" w:ascii="宋体" w:hAnsi="宋体" w:eastAsia="宋体" w:cs="Times New Roman"/>
          <w:sz w:val="24"/>
          <w:lang w:val="en-US" w:eastAsia="zh-CN"/>
        </w:rPr>
        <w:t>1</w:t>
      </w:r>
      <w:r>
        <w:rPr>
          <w:rFonts w:hint="eastAsia" w:ascii="宋体" w:hAnsi="宋体" w:cs="Times New Roman"/>
          <w:sz w:val="24"/>
          <w:lang w:val="en-US" w:eastAsia="zh-CN"/>
        </w:rPr>
        <w:t>.</w:t>
      </w:r>
      <w:r>
        <w:rPr>
          <w:rFonts w:hint="eastAsia" w:ascii="宋体" w:hAnsi="宋体" w:eastAsia="宋体" w:cs="Times New Roman"/>
          <w:sz w:val="24"/>
          <w:lang w:val="en-US" w:eastAsia="zh-CN"/>
        </w:rPr>
        <w:t>乙方</w:t>
      </w:r>
      <w:r>
        <w:rPr>
          <w:rFonts w:hint="eastAsia" w:ascii="宋体" w:hAnsi="宋体" w:eastAsia="宋体" w:cs="Times New Roman"/>
          <w:sz w:val="24"/>
        </w:rPr>
        <w:t>针对该项目设定有专门的制作保障措施和方法，并配备专门的制作团队和专业的软硬件设备，服务团队熟悉课程录制模式、多种多类型表达形式，能够根据教师讲授课程及其章节的内容特点，结合已有的技术及设备条件，协助教师确定课程内容的制作类型</w:t>
      </w:r>
      <w:r>
        <w:rPr>
          <w:rFonts w:hint="eastAsia" w:ascii="宋体" w:hAnsi="宋体" w:eastAsia="宋体" w:cs="Times New Roman"/>
          <w:sz w:val="24"/>
          <w:highlight w:val="none"/>
        </w:rPr>
        <w:t xml:space="preserve">、拍摄计划。 </w:t>
      </w:r>
    </w:p>
    <w:p w14:paraId="6E47D6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2</w:t>
      </w:r>
      <w:r>
        <w:rPr>
          <w:rFonts w:hint="eastAsia" w:ascii="宋体" w:hAnsi="宋体" w:cs="Times New Roman"/>
          <w:sz w:val="24"/>
          <w:highlight w:val="none"/>
          <w:lang w:val="en-US" w:eastAsia="zh-CN"/>
        </w:rPr>
        <w:t>.</w:t>
      </w:r>
      <w:r>
        <w:rPr>
          <w:rFonts w:hint="eastAsia" w:ascii="宋体" w:hAnsi="宋体" w:eastAsia="宋体" w:cs="Times New Roman"/>
          <w:sz w:val="24"/>
          <w:highlight w:val="none"/>
        </w:rPr>
        <w:t>售后服务提供</w:t>
      </w:r>
      <w:r>
        <w:rPr>
          <w:rFonts w:hint="eastAsia" w:ascii="宋体" w:hAnsi="宋体" w:cs="Times New Roman"/>
          <w:sz w:val="24"/>
          <w:highlight w:val="none"/>
          <w:lang w:val="en-US" w:eastAsia="zh-CN"/>
        </w:rPr>
        <w:t>3</w:t>
      </w:r>
      <w:r>
        <w:rPr>
          <w:rFonts w:hint="eastAsia" w:ascii="宋体" w:hAnsi="宋体" w:eastAsia="宋体" w:cs="Times New Roman"/>
          <w:sz w:val="24"/>
          <w:highlight w:val="none"/>
        </w:rPr>
        <w:t>年的免费</w:t>
      </w:r>
      <w:r>
        <w:rPr>
          <w:rFonts w:hint="eastAsia" w:ascii="宋体" w:hAnsi="宋体" w:cs="Times New Roman"/>
          <w:sz w:val="24"/>
          <w:highlight w:val="none"/>
          <w:lang w:val="en-US" w:eastAsia="zh-CN"/>
        </w:rPr>
        <w:t>更新、升级</w:t>
      </w:r>
      <w:r>
        <w:rPr>
          <w:rFonts w:hint="eastAsia" w:ascii="宋体" w:hAnsi="宋体" w:eastAsia="宋体" w:cs="Times New Roman"/>
          <w:sz w:val="24"/>
          <w:highlight w:val="none"/>
        </w:rPr>
        <w:t>服</w:t>
      </w:r>
      <w:r>
        <w:rPr>
          <w:rFonts w:hint="eastAsia" w:ascii="宋体" w:hAnsi="宋体" w:eastAsia="宋体" w:cs="Times New Roman"/>
          <w:color w:val="auto"/>
          <w:sz w:val="24"/>
          <w:highlight w:val="none"/>
        </w:rPr>
        <w:t>务</w:t>
      </w:r>
      <w:r>
        <w:rPr>
          <w:rFonts w:hint="eastAsia" w:ascii="宋体" w:hAnsi="宋体"/>
          <w:color w:val="auto"/>
          <w:sz w:val="24"/>
          <w:highlight w:val="none"/>
        </w:rPr>
        <w:t>（从试运行三个月以后算起）</w:t>
      </w:r>
      <w:r>
        <w:rPr>
          <w:rFonts w:hint="eastAsia" w:ascii="宋体" w:hAnsi="宋体" w:eastAsia="宋体" w:cs="Times New Roman"/>
          <w:color w:val="auto"/>
          <w:sz w:val="24"/>
          <w:highlight w:val="none"/>
        </w:rPr>
        <w:t>，</w:t>
      </w:r>
      <w:r>
        <w:rPr>
          <w:rFonts w:hint="eastAsia" w:ascii="宋体" w:hAnsi="宋体" w:eastAsia="宋体" w:cs="Times New Roman"/>
          <w:sz w:val="24"/>
          <w:highlight w:val="none"/>
        </w:rPr>
        <w:t>配合学院及时进行内容的修改；针对</w:t>
      </w:r>
      <w:r>
        <w:rPr>
          <w:rFonts w:hint="eastAsia" w:ascii="宋体" w:hAnsi="宋体" w:eastAsia="宋体" w:cs="Times New Roman"/>
          <w:sz w:val="24"/>
          <w:highlight w:val="none"/>
          <w:lang w:val="en-US" w:eastAsia="zh-CN"/>
        </w:rPr>
        <w:t>甲</w:t>
      </w:r>
      <w:r>
        <w:rPr>
          <w:rFonts w:hint="eastAsia" w:ascii="宋体" w:hAnsi="宋体" w:eastAsia="宋体" w:cs="Times New Roman"/>
          <w:sz w:val="24"/>
          <w:highlight w:val="none"/>
        </w:rPr>
        <w:t>方提出的问题，8小时内响应，24小时解决问题；服务团队规模及配置能保证</w:t>
      </w:r>
      <w:r>
        <w:rPr>
          <w:rFonts w:hint="eastAsia" w:ascii="宋体" w:hAnsi="宋体" w:cs="Times New Roman"/>
          <w:sz w:val="24"/>
          <w:highlight w:val="none"/>
          <w:lang w:val="en-US" w:eastAsia="zh-CN"/>
        </w:rPr>
        <w:t>资源库的</w:t>
      </w:r>
      <w:r>
        <w:rPr>
          <w:rFonts w:hint="eastAsia" w:ascii="宋体" w:hAnsi="宋体" w:eastAsia="宋体" w:cs="Times New Roman"/>
          <w:sz w:val="24"/>
          <w:highlight w:val="none"/>
        </w:rPr>
        <w:t>制作质量。</w:t>
      </w:r>
    </w:p>
    <w:p w14:paraId="4EFAD8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sz w:val="24"/>
          <w:highlight w:val="none"/>
          <w:lang w:val="en-US" w:eastAsia="zh-CN"/>
        </w:rPr>
      </w:pPr>
      <w:r>
        <w:rPr>
          <w:rFonts w:hint="eastAsia" w:ascii="宋体" w:hAnsi="宋体" w:cs="Times New Roman"/>
          <w:sz w:val="24"/>
          <w:highlight w:val="none"/>
          <w:lang w:val="en-US" w:eastAsia="zh-CN"/>
        </w:rPr>
        <w:t>3.项目完成后免费培训甲方专业教师至熟练使用资源和平台。</w:t>
      </w:r>
    </w:p>
    <w:p w14:paraId="49CE2FC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sz w:val="32"/>
          <w:szCs w:val="36"/>
        </w:rPr>
      </w:pPr>
      <w:r>
        <w:rPr>
          <w:rFonts w:hint="eastAsia"/>
          <w:b/>
          <w:bCs/>
          <w:sz w:val="32"/>
          <w:szCs w:val="36"/>
          <w:lang w:val="en-US" w:eastAsia="zh-CN"/>
        </w:rPr>
        <w:t>七</w:t>
      </w:r>
      <w:r>
        <w:rPr>
          <w:rFonts w:hint="eastAsia"/>
          <w:b/>
          <w:bCs/>
          <w:sz w:val="32"/>
          <w:szCs w:val="36"/>
        </w:rPr>
        <w:t>、违约责任</w:t>
      </w:r>
    </w:p>
    <w:p w14:paraId="203B39F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sz w:val="24"/>
        </w:rPr>
      </w:pPr>
      <w:r>
        <w:rPr>
          <w:rFonts w:hint="eastAsia" w:ascii="宋体" w:hAnsi="宋体"/>
          <w:sz w:val="24"/>
          <w:lang w:val="en-US" w:eastAsia="zh-CN"/>
        </w:rPr>
        <w:t>1.</w:t>
      </w:r>
      <w:r>
        <w:rPr>
          <w:rFonts w:hint="eastAsia" w:ascii="宋体" w:hAnsi="宋体"/>
          <w:sz w:val="24"/>
        </w:rPr>
        <w:t>按《中华人民共和国民法典》中的相关条款执行。</w:t>
      </w:r>
    </w:p>
    <w:p w14:paraId="666931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rPr>
      </w:pPr>
      <w:r>
        <w:rPr>
          <w:rFonts w:hint="eastAsia" w:ascii="宋体" w:hAnsi="宋体"/>
          <w:sz w:val="24"/>
          <w:lang w:val="en-US" w:eastAsia="zh-CN"/>
        </w:rPr>
        <w:t>2.</w:t>
      </w:r>
      <w:r>
        <w:rPr>
          <w:rFonts w:hint="eastAsia" w:ascii="宋体" w:hAnsi="宋体"/>
          <w:sz w:val="24"/>
        </w:rPr>
        <w:t>未按合同</w:t>
      </w:r>
      <w:r>
        <w:rPr>
          <w:rFonts w:hint="eastAsia" w:ascii="宋体" w:hAnsi="宋体"/>
          <w:sz w:val="24"/>
          <w:lang w:eastAsia="zh-CN"/>
        </w:rPr>
        <w:t>要求</w:t>
      </w:r>
      <w:r>
        <w:rPr>
          <w:rFonts w:hint="eastAsia" w:ascii="宋体" w:hAnsi="宋体"/>
          <w:sz w:val="24"/>
        </w:rPr>
        <w:t>提供产品或质量不能满足技术要求，</w:t>
      </w:r>
      <w:r>
        <w:rPr>
          <w:rFonts w:hint="eastAsia" w:ascii="宋体" w:hAnsi="宋体"/>
          <w:sz w:val="24"/>
          <w:lang w:val="en-US" w:eastAsia="zh-CN"/>
        </w:rPr>
        <w:t>甲方</w:t>
      </w:r>
      <w:r>
        <w:rPr>
          <w:rFonts w:hint="eastAsia" w:ascii="宋体" w:hAnsi="宋体"/>
          <w:sz w:val="24"/>
        </w:rPr>
        <w:t>有权终止合同，甚至对</w:t>
      </w:r>
      <w:r>
        <w:rPr>
          <w:rFonts w:hint="eastAsia" w:ascii="宋体" w:hAnsi="宋体"/>
          <w:sz w:val="24"/>
          <w:lang w:val="en-US" w:eastAsia="zh-CN"/>
        </w:rPr>
        <w:t>乙方</w:t>
      </w:r>
      <w:r>
        <w:rPr>
          <w:rFonts w:hint="eastAsia" w:ascii="宋体" w:hAnsi="宋体"/>
          <w:sz w:val="24"/>
        </w:rPr>
        <w:t>违约行为进行</w:t>
      </w:r>
      <w:r>
        <w:rPr>
          <w:rFonts w:hint="eastAsia" w:ascii="宋体" w:hAnsi="宋体"/>
          <w:sz w:val="24"/>
          <w:lang w:val="en-US" w:eastAsia="zh-CN"/>
        </w:rPr>
        <w:t>法律责任</w:t>
      </w:r>
      <w:r>
        <w:rPr>
          <w:rFonts w:hint="eastAsia" w:ascii="宋体" w:hAnsi="宋体"/>
          <w:sz w:val="24"/>
        </w:rPr>
        <w:t>追究。</w:t>
      </w:r>
    </w:p>
    <w:p w14:paraId="7764CF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rPr>
      </w:pPr>
      <w:r>
        <w:rPr>
          <w:rFonts w:hint="eastAsia" w:ascii="宋体" w:hAnsi="宋体"/>
          <w:sz w:val="24"/>
          <w:lang w:val="en-US" w:eastAsia="zh-CN"/>
        </w:rPr>
        <w:t>3.</w:t>
      </w:r>
      <w:r>
        <w:rPr>
          <w:rFonts w:hint="eastAsia" w:ascii="宋体" w:hAnsi="宋体"/>
          <w:sz w:val="24"/>
        </w:rPr>
        <w:t>如有纠纷，双方友好协商解决，协商不成时可诉讼到甲方所在地人民法院解决。</w:t>
      </w:r>
    </w:p>
    <w:p w14:paraId="56BDCAD2">
      <w:pPr>
        <w:pStyle w:val="4"/>
        <w:bidi w:val="0"/>
        <w:ind w:left="0" w:leftChars="0" w:firstLine="0" w:firstLineChars="0"/>
        <w:rPr>
          <w:rFonts w:hint="eastAsia"/>
          <w:sz w:val="32"/>
          <w:szCs w:val="36"/>
        </w:rPr>
      </w:pPr>
      <w:r>
        <w:rPr>
          <w:rFonts w:hint="eastAsia"/>
          <w:sz w:val="32"/>
          <w:szCs w:val="36"/>
          <w:lang w:val="en-US" w:eastAsia="zh-CN"/>
        </w:rPr>
        <w:t>八</w:t>
      </w:r>
      <w:r>
        <w:rPr>
          <w:rFonts w:hint="eastAsia"/>
          <w:sz w:val="32"/>
          <w:szCs w:val="36"/>
        </w:rPr>
        <w:t>、资源库成品交付文件及验收要求</w:t>
      </w:r>
    </w:p>
    <w:p w14:paraId="2669625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sz w:val="24"/>
        </w:rPr>
      </w:pPr>
      <w:r>
        <w:rPr>
          <w:rFonts w:hint="eastAsia" w:ascii="宋体" w:hAnsi="宋体"/>
          <w:sz w:val="24"/>
          <w:lang w:val="en-US" w:eastAsia="zh-CN"/>
        </w:rPr>
        <w:t>1.</w:t>
      </w:r>
      <w:r>
        <w:rPr>
          <w:rFonts w:hint="eastAsia" w:ascii="宋体" w:hAnsi="宋体"/>
          <w:sz w:val="24"/>
        </w:rPr>
        <w:t>由</w:t>
      </w:r>
      <w:r>
        <w:rPr>
          <w:rFonts w:hint="eastAsia" w:ascii="宋体" w:hAnsi="宋体"/>
          <w:sz w:val="24"/>
          <w:lang w:val="en-US" w:eastAsia="zh-CN"/>
        </w:rPr>
        <w:t>甲方</w:t>
      </w:r>
      <w:r>
        <w:rPr>
          <w:rFonts w:hint="eastAsia" w:ascii="宋体" w:hAnsi="宋体"/>
          <w:sz w:val="24"/>
        </w:rPr>
        <w:t>负责组织验收或者邀请有关专家、质检机构、采购代理机构共同进行验收</w:t>
      </w:r>
      <w:r>
        <w:rPr>
          <w:rFonts w:hint="eastAsia" w:ascii="宋体" w:hAnsi="宋体"/>
          <w:sz w:val="24"/>
          <w:lang w:eastAsia="zh-CN"/>
        </w:rPr>
        <w:t>，</w:t>
      </w:r>
      <w:r>
        <w:rPr>
          <w:rFonts w:hint="eastAsia" w:ascii="宋体" w:hAnsi="宋体"/>
          <w:sz w:val="24"/>
        </w:rPr>
        <w:t>验收费用由</w:t>
      </w:r>
      <w:r>
        <w:rPr>
          <w:rFonts w:hint="eastAsia" w:ascii="宋体" w:hAnsi="宋体"/>
          <w:sz w:val="24"/>
          <w:lang w:val="en-US" w:eastAsia="zh-CN"/>
        </w:rPr>
        <w:t>乙方</w:t>
      </w:r>
      <w:r>
        <w:rPr>
          <w:rFonts w:hint="eastAsia" w:ascii="宋体" w:hAnsi="宋体"/>
          <w:sz w:val="24"/>
        </w:rPr>
        <w:t>支付</w:t>
      </w:r>
      <w:r>
        <w:rPr>
          <w:rFonts w:hint="eastAsia" w:ascii="宋体" w:hAnsi="宋体"/>
          <w:sz w:val="24"/>
          <w:lang w:eastAsia="zh-CN"/>
        </w:rPr>
        <w:t>（</w:t>
      </w:r>
      <w:r>
        <w:rPr>
          <w:rFonts w:hint="eastAsia" w:ascii="宋体" w:hAnsi="宋体"/>
          <w:sz w:val="24"/>
        </w:rPr>
        <w:t>备注：如有验收须向采购代理机构支付金额2000-3000元</w:t>
      </w:r>
      <w:r>
        <w:rPr>
          <w:rFonts w:hint="eastAsia" w:ascii="宋体" w:hAnsi="宋体"/>
          <w:color w:val="auto"/>
          <w:sz w:val="24"/>
        </w:rPr>
        <w:t>不等的验收组织服务费用</w:t>
      </w:r>
      <w:r>
        <w:rPr>
          <w:rFonts w:hint="eastAsia" w:ascii="宋体" w:hAnsi="宋体"/>
          <w:color w:val="auto"/>
          <w:sz w:val="24"/>
          <w:lang w:eastAsia="zh-CN"/>
        </w:rPr>
        <w:t>）</w:t>
      </w:r>
      <w:r>
        <w:rPr>
          <w:rFonts w:hint="eastAsia" w:ascii="宋体" w:hAnsi="宋体"/>
          <w:color w:val="auto"/>
          <w:sz w:val="24"/>
        </w:rPr>
        <w:t>；验</w:t>
      </w:r>
      <w:r>
        <w:rPr>
          <w:rFonts w:hint="eastAsia" w:ascii="宋体" w:hAnsi="宋体"/>
          <w:sz w:val="24"/>
        </w:rPr>
        <w:t>收合格须交接项目实施的全部资料，并填写政府采购项目验收报告单。验收须以合同、磋商文件及响应文件、澄清</w:t>
      </w:r>
      <w:r>
        <w:rPr>
          <w:rFonts w:hint="eastAsia" w:ascii="宋体" w:hAnsi="宋体"/>
          <w:sz w:val="24"/>
          <w:lang w:eastAsia="zh-CN"/>
        </w:rPr>
        <w:t>、以</w:t>
      </w:r>
      <w:r>
        <w:rPr>
          <w:rFonts w:hint="eastAsia" w:ascii="宋体" w:hAnsi="宋体"/>
          <w:sz w:val="24"/>
        </w:rPr>
        <w:t>及国家相应的标准、规范等为依据。</w:t>
      </w:r>
      <w:r>
        <w:rPr>
          <w:rFonts w:hint="eastAsia" w:ascii="宋体" w:hAnsi="宋体" w:cs="Times New Roman"/>
          <w:sz w:val="24"/>
          <w:lang w:val="en-US" w:eastAsia="zh-CN"/>
        </w:rPr>
        <w:t>未满足质量要求标准不予验收。</w:t>
      </w:r>
    </w:p>
    <w:p w14:paraId="24F4DFF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Times New Roman"/>
          <w:sz w:val="24"/>
          <w:lang w:val="en-US" w:eastAsia="zh-CN"/>
        </w:rPr>
      </w:pPr>
      <w:r>
        <w:rPr>
          <w:rFonts w:hint="eastAsia" w:ascii="宋体" w:hAnsi="宋体" w:cs="Times New Roman"/>
          <w:sz w:val="24"/>
          <w:lang w:val="en-US" w:eastAsia="zh-CN"/>
        </w:rPr>
        <w:t>2.验收时需提供以下交付文件：平台安装包、部署文档、技术文档、平台操作手册、平台测试报告；、平台服务证明、门户设计资料、门户技术资料、门户测试报告模块设计资料、模块技术资料、模块配套资源、版权证明；需采用1套移动硬盘拷贝交付，包含的文本文件、视频文件、动画文件等均采用无压缩原码视频（动画）文件交付，并且硬盘及光盘上附资源库内容清单（标记资源类别、学校名称、课程名称、讲次及标题、主讲教师、时长等）。</w:t>
      </w:r>
    </w:p>
    <w:p w14:paraId="1E5C53D7">
      <w:pPr>
        <w:keepNext w:val="0"/>
        <w:keepLines w:val="0"/>
        <w:pageBreakBefore w:val="0"/>
        <w:widowControl w:val="0"/>
        <w:kinsoku/>
        <w:wordWrap/>
        <w:overflowPunct/>
        <w:topLinePunct w:val="0"/>
        <w:autoSpaceDE/>
        <w:autoSpaceDN/>
        <w:bidi w:val="0"/>
        <w:adjustRightInd/>
        <w:snapToGrid/>
        <w:spacing w:line="360" w:lineRule="auto"/>
        <w:ind w:left="35" w:right="36" w:firstLine="480" w:firstLineChars="200"/>
        <w:textAlignment w:val="auto"/>
        <w:rPr>
          <w:rFonts w:hint="eastAsia" w:ascii="宋体" w:hAnsi="宋体" w:cs="Times New Roman"/>
          <w:sz w:val="24"/>
          <w:lang w:val="en-US" w:eastAsia="zh-CN"/>
        </w:rPr>
      </w:pPr>
      <w:r>
        <w:rPr>
          <w:rFonts w:hint="eastAsia" w:ascii="宋体" w:hAnsi="宋体" w:cs="Times New Roman"/>
          <w:sz w:val="24"/>
          <w:lang w:val="en-US" w:eastAsia="zh-CN"/>
        </w:rPr>
        <w:t>3.交付物为完整可直接投入运行的专业资源库，必须满足甲方的各项技术指标要求和制作风格要求，</w:t>
      </w:r>
      <w:r>
        <w:rPr>
          <w:rFonts w:hint="eastAsia" w:ascii="宋体" w:hAnsi="宋体"/>
          <w:sz w:val="24"/>
        </w:rPr>
        <w:t>未满足质量要求标准不予验收。</w:t>
      </w:r>
    </w:p>
    <w:p w14:paraId="1CEAF4B3">
      <w:pPr>
        <w:pStyle w:val="4"/>
        <w:bidi w:val="0"/>
        <w:ind w:left="0" w:leftChars="0" w:firstLine="0" w:firstLineChars="0"/>
        <w:rPr>
          <w:rFonts w:hint="eastAsia"/>
          <w:sz w:val="32"/>
          <w:szCs w:val="36"/>
        </w:rPr>
      </w:pPr>
      <w:r>
        <w:rPr>
          <w:rFonts w:hint="eastAsia"/>
          <w:sz w:val="32"/>
          <w:szCs w:val="36"/>
          <w:lang w:val="en-US" w:eastAsia="zh-CN"/>
        </w:rPr>
        <w:t>九</w:t>
      </w:r>
      <w:r>
        <w:rPr>
          <w:rFonts w:hint="eastAsia"/>
          <w:sz w:val="32"/>
          <w:szCs w:val="36"/>
        </w:rPr>
        <w:t>、知识产权要求</w:t>
      </w:r>
    </w:p>
    <w:p w14:paraId="311C527E">
      <w:pPr>
        <w:keepNext w:val="0"/>
        <w:keepLines w:val="0"/>
        <w:pageBreakBefore w:val="0"/>
        <w:widowControl w:val="0"/>
        <w:kinsoku/>
        <w:wordWrap/>
        <w:overflowPunct/>
        <w:topLinePunct w:val="0"/>
        <w:autoSpaceDE/>
        <w:autoSpaceDN/>
        <w:bidi w:val="0"/>
        <w:adjustRightInd/>
        <w:snapToGrid/>
        <w:spacing w:line="360" w:lineRule="auto"/>
        <w:ind w:left="34" w:right="34" w:firstLine="480" w:firstLineChars="200"/>
        <w:textAlignment w:val="auto"/>
        <w:rPr>
          <w:rFonts w:hint="eastAsia" w:ascii="宋体" w:hAnsi="宋体" w:eastAsia="宋体" w:cs="Times New Roman"/>
          <w:color w:val="auto"/>
          <w:sz w:val="24"/>
        </w:rPr>
      </w:pPr>
      <w:r>
        <w:rPr>
          <w:rFonts w:hint="eastAsia" w:ascii="宋体" w:hAnsi="宋体" w:eastAsia="宋体" w:cs="Times New Roman"/>
          <w:sz w:val="24"/>
        </w:rPr>
        <w:t>本项目一切知识产权归</w:t>
      </w:r>
      <w:r>
        <w:rPr>
          <w:rFonts w:hint="eastAsia" w:ascii="宋体" w:hAnsi="宋体" w:eastAsia="宋体" w:cs="Times New Roman"/>
          <w:sz w:val="24"/>
          <w:lang w:val="en-US" w:eastAsia="zh-CN"/>
        </w:rPr>
        <w:t>甲方</w:t>
      </w:r>
      <w:r>
        <w:rPr>
          <w:rFonts w:hint="eastAsia" w:ascii="宋体" w:hAnsi="宋体" w:eastAsia="宋体" w:cs="Times New Roman"/>
          <w:sz w:val="24"/>
        </w:rPr>
        <w:t>所有，在完成建设后</w:t>
      </w:r>
      <w:r>
        <w:rPr>
          <w:rFonts w:hint="eastAsia" w:ascii="宋体" w:hAnsi="宋体" w:eastAsia="宋体" w:cs="Times New Roman"/>
          <w:sz w:val="24"/>
          <w:lang w:val="en-US" w:eastAsia="zh-CN"/>
        </w:rPr>
        <w:t>乙方</w:t>
      </w:r>
      <w:r>
        <w:rPr>
          <w:rFonts w:hint="eastAsia" w:ascii="宋体" w:hAnsi="宋体" w:eastAsia="宋体" w:cs="Times New Roman"/>
          <w:sz w:val="24"/>
        </w:rPr>
        <w:t>需向</w:t>
      </w:r>
      <w:r>
        <w:rPr>
          <w:rFonts w:hint="eastAsia" w:ascii="宋体" w:hAnsi="宋体" w:eastAsia="宋体" w:cs="Times New Roman"/>
          <w:sz w:val="24"/>
          <w:lang w:val="en-US" w:eastAsia="zh-CN"/>
        </w:rPr>
        <w:t>甲方</w:t>
      </w:r>
      <w:r>
        <w:rPr>
          <w:rFonts w:hint="eastAsia" w:ascii="宋体" w:hAnsi="宋体" w:eastAsia="宋体" w:cs="Times New Roman"/>
          <w:sz w:val="24"/>
        </w:rPr>
        <w:t>提供全部的课程视频资料，制作团队需有版权意识，包括脚本文档、视频源文件、PPT 教案等</w:t>
      </w:r>
      <w:r>
        <w:rPr>
          <w:rFonts w:hint="eastAsia" w:ascii="宋体" w:hAnsi="宋体" w:eastAsia="宋体" w:cs="Times New Roman"/>
          <w:color w:val="auto"/>
          <w:sz w:val="24"/>
        </w:rPr>
        <w:t>文档材料。所有课程素材母带（或素材数据硬盘）、动画素材、课程成品版权归属</w:t>
      </w:r>
      <w:r>
        <w:rPr>
          <w:rFonts w:hint="eastAsia" w:ascii="宋体" w:hAnsi="宋体" w:eastAsia="宋体" w:cs="Times New Roman"/>
          <w:color w:val="auto"/>
          <w:sz w:val="24"/>
          <w:lang w:val="en-US" w:eastAsia="zh-CN"/>
        </w:rPr>
        <w:t>甲方</w:t>
      </w:r>
      <w:r>
        <w:rPr>
          <w:rFonts w:hint="eastAsia" w:ascii="宋体" w:hAnsi="宋体" w:eastAsia="宋体" w:cs="Times New Roman"/>
          <w:color w:val="auto"/>
          <w:sz w:val="24"/>
        </w:rPr>
        <w:t>。</w:t>
      </w:r>
    </w:p>
    <w:p w14:paraId="0877C558">
      <w:pPr>
        <w:keepNext w:val="0"/>
        <w:keepLines w:val="0"/>
        <w:pageBreakBefore w:val="0"/>
        <w:widowControl w:val="0"/>
        <w:kinsoku/>
        <w:wordWrap/>
        <w:overflowPunct/>
        <w:topLinePunct w:val="0"/>
        <w:autoSpaceDE/>
        <w:autoSpaceDN/>
        <w:bidi w:val="0"/>
        <w:adjustRightInd/>
        <w:snapToGrid/>
        <w:spacing w:line="360" w:lineRule="auto"/>
        <w:ind w:left="34" w:right="34" w:firstLine="480" w:firstLineChars="200"/>
        <w:textAlignment w:val="auto"/>
        <w:rPr>
          <w:rFonts w:hint="default" w:ascii="宋体" w:hAnsi="宋体" w:eastAsia="宋体"/>
          <w:sz w:val="24"/>
          <w:lang w:val="en-US" w:eastAsia="zh-CN"/>
        </w:rPr>
      </w:pPr>
      <w:r>
        <w:rPr>
          <w:rFonts w:hint="eastAsia" w:ascii="宋体" w:hAnsi="宋体"/>
          <w:color w:val="auto"/>
          <w:sz w:val="24"/>
        </w:rPr>
        <w:t>乙方须承诺：</w:t>
      </w:r>
      <w:r>
        <w:rPr>
          <w:rFonts w:hint="eastAsia" w:ascii="宋体" w:hAnsi="宋体" w:eastAsia="宋体" w:cs="Times New Roman"/>
          <w:color w:val="auto"/>
          <w:sz w:val="24"/>
          <w:lang w:val="en-US" w:eastAsia="zh-CN"/>
        </w:rPr>
        <w:t>乙方</w:t>
      </w:r>
      <w:r>
        <w:rPr>
          <w:rFonts w:hint="eastAsia" w:ascii="宋体" w:hAnsi="宋体" w:eastAsia="宋体" w:cs="Times New Roman"/>
          <w:sz w:val="24"/>
          <w:lang w:val="en-US" w:eastAsia="zh-CN"/>
        </w:rPr>
        <w:t>仅是本项目的建设方，建设过程中产生的所有资料、文件等等，皆属甲方所有，甲方有绝对所有权和处置权，乙方无任何版权争议。</w:t>
      </w:r>
    </w:p>
    <w:p w14:paraId="02EAF5BD">
      <w:pPr>
        <w:pStyle w:val="4"/>
        <w:bidi w:val="0"/>
        <w:ind w:left="0" w:leftChars="0" w:firstLine="0" w:firstLineChars="0"/>
        <w:rPr>
          <w:rFonts w:hint="eastAsia"/>
          <w:sz w:val="32"/>
          <w:szCs w:val="36"/>
        </w:rPr>
      </w:pPr>
      <w:r>
        <w:rPr>
          <w:rFonts w:hint="eastAsia"/>
          <w:sz w:val="32"/>
          <w:szCs w:val="36"/>
        </w:rPr>
        <w:t>十、其他事项</w:t>
      </w:r>
    </w:p>
    <w:p w14:paraId="0C26EA9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sz w:val="24"/>
        </w:rPr>
      </w:pPr>
      <w:r>
        <w:rPr>
          <w:rFonts w:hint="eastAsia" w:ascii="宋体" w:hAnsi="宋体"/>
          <w:sz w:val="24"/>
          <w:lang w:val="en-US" w:eastAsia="zh-CN"/>
        </w:rPr>
        <w:t>1.甲方</w:t>
      </w:r>
      <w:r>
        <w:rPr>
          <w:rFonts w:hint="eastAsia" w:ascii="宋体" w:hAnsi="宋体"/>
          <w:sz w:val="24"/>
        </w:rPr>
        <w:t>在合同的履行期间以及履行期后，可以随时检查项目的执行情况，对采购标准、采购内容进行调查核实，并对发现的问题进行处理。</w:t>
      </w:r>
    </w:p>
    <w:p w14:paraId="5066BD98">
      <w:pPr>
        <w:keepNext w:val="0"/>
        <w:keepLines w:val="0"/>
        <w:pageBreakBefore w:val="0"/>
        <w:widowControl w:val="0"/>
        <w:kinsoku/>
        <w:wordWrap/>
        <w:overflowPunct/>
        <w:topLinePunct w:val="0"/>
        <w:autoSpaceDE/>
        <w:autoSpaceDN/>
        <w:bidi w:val="0"/>
        <w:adjustRightInd/>
        <w:snapToGrid/>
        <w:spacing w:line="360" w:lineRule="auto"/>
        <w:ind w:left="35" w:right="36" w:firstLine="480" w:firstLineChars="200"/>
        <w:textAlignment w:val="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2</w:t>
      </w:r>
      <w:r>
        <w:rPr>
          <w:rFonts w:hint="eastAsia" w:ascii="宋体" w:hAnsi="宋体" w:cs="Times New Roman"/>
          <w:sz w:val="24"/>
          <w:lang w:val="en-US" w:eastAsia="zh-CN"/>
        </w:rPr>
        <w:t>.</w:t>
      </w:r>
      <w:r>
        <w:rPr>
          <w:rFonts w:hint="eastAsia" w:ascii="宋体" w:hAnsi="宋体" w:eastAsia="宋体" w:cs="Times New Roman"/>
          <w:sz w:val="24"/>
          <w:lang w:val="en-US" w:eastAsia="zh-CN"/>
        </w:rPr>
        <w:t>甲方指派项目负责人</w:t>
      </w:r>
      <w:r>
        <w:rPr>
          <w:rFonts w:hint="eastAsia" w:ascii="宋体" w:hAnsi="宋体" w:eastAsia="宋体" w:cs="Times New Roman"/>
          <w:sz w:val="24"/>
          <w:u w:val="none"/>
          <w:lang w:val="en-US" w:eastAsia="zh-CN"/>
        </w:rPr>
        <w:t>：</w:t>
      </w:r>
      <w:r>
        <w:rPr>
          <w:rFonts w:hint="eastAsia" w:ascii="宋体" w:hAnsi="宋体" w:cs="Times New Roman"/>
          <w:sz w:val="24"/>
          <w:u w:val="single"/>
          <w:lang w:val="en-US" w:eastAsia="zh-CN"/>
        </w:rPr>
        <w:t>XX</w:t>
      </w:r>
      <w:r>
        <w:rPr>
          <w:rFonts w:hint="eastAsia" w:ascii="宋体" w:hAnsi="宋体" w:eastAsia="宋体" w:cs="Times New Roman"/>
          <w:sz w:val="24"/>
          <w:lang w:val="en-US" w:eastAsia="zh-CN"/>
        </w:rPr>
        <w:t>，联系电话：</w:t>
      </w:r>
      <w:r>
        <w:rPr>
          <w:rFonts w:hint="eastAsia" w:ascii="宋体" w:hAnsi="宋体" w:cs="Times New Roman"/>
          <w:sz w:val="24"/>
          <w:u w:val="single"/>
          <w:lang w:val="en-US" w:eastAsia="zh-CN"/>
        </w:rPr>
        <w:t>XX</w:t>
      </w:r>
      <w:r>
        <w:rPr>
          <w:rFonts w:hint="eastAsia" w:ascii="宋体" w:hAnsi="宋体" w:eastAsia="宋体" w:cs="Times New Roman"/>
          <w:sz w:val="24"/>
          <w:lang w:val="en-US" w:eastAsia="zh-CN"/>
        </w:rPr>
        <w:t>。</w:t>
      </w:r>
    </w:p>
    <w:p w14:paraId="43A6FEB6">
      <w:pPr>
        <w:keepNext w:val="0"/>
        <w:keepLines w:val="0"/>
        <w:pageBreakBefore w:val="0"/>
        <w:widowControl w:val="0"/>
        <w:kinsoku/>
        <w:wordWrap/>
        <w:overflowPunct/>
        <w:topLinePunct w:val="0"/>
        <w:autoSpaceDE/>
        <w:autoSpaceDN/>
        <w:bidi w:val="0"/>
        <w:adjustRightInd/>
        <w:snapToGrid/>
        <w:spacing w:line="360" w:lineRule="auto"/>
        <w:ind w:left="35" w:right="36" w:firstLine="480" w:firstLineChars="200"/>
        <w:textAlignment w:val="auto"/>
        <w:rPr>
          <w:rFonts w:hint="default" w:ascii="宋体" w:hAnsi="宋体" w:eastAsia="宋体" w:cs="Times New Roman"/>
          <w:sz w:val="24"/>
          <w:lang w:val="en-US" w:eastAsia="zh-CN"/>
        </w:rPr>
      </w:pPr>
      <w:r>
        <w:rPr>
          <w:rFonts w:hint="eastAsia" w:ascii="宋体" w:hAnsi="宋体" w:eastAsia="宋体" w:cs="Times New Roman"/>
          <w:sz w:val="24"/>
          <w:lang w:val="en-US" w:eastAsia="zh-CN"/>
        </w:rPr>
        <w:t>3</w:t>
      </w:r>
      <w:r>
        <w:rPr>
          <w:rFonts w:hint="eastAsia" w:ascii="宋体" w:hAnsi="宋体" w:cs="Times New Roman"/>
          <w:sz w:val="24"/>
          <w:lang w:val="en-US" w:eastAsia="zh-CN"/>
        </w:rPr>
        <w:t>.</w:t>
      </w:r>
      <w:r>
        <w:rPr>
          <w:rFonts w:hint="eastAsia" w:ascii="宋体" w:hAnsi="宋体" w:eastAsia="宋体" w:cs="Times New Roman"/>
          <w:sz w:val="24"/>
          <w:lang w:val="en-US" w:eastAsia="zh-CN"/>
        </w:rPr>
        <w:t>乙方指派项目负责人：</w:t>
      </w:r>
      <w:r>
        <w:rPr>
          <w:rFonts w:hint="eastAsia" w:ascii="宋体" w:hAnsi="宋体" w:cs="Times New Roman"/>
          <w:sz w:val="24"/>
          <w:lang w:val="en-US" w:eastAsia="zh-CN"/>
        </w:rPr>
        <w:t>XX</w:t>
      </w:r>
      <w:r>
        <w:rPr>
          <w:rFonts w:hint="eastAsia" w:ascii="宋体" w:hAnsi="宋体" w:eastAsia="宋体" w:cs="Times New Roman"/>
          <w:sz w:val="24"/>
          <w:lang w:val="en-US" w:eastAsia="zh-CN"/>
        </w:rPr>
        <w:t>，联系电话：</w:t>
      </w:r>
      <w:r>
        <w:rPr>
          <w:rFonts w:hint="eastAsia" w:ascii="宋体" w:hAnsi="宋体" w:cs="Times New Roman"/>
          <w:sz w:val="24"/>
          <w:lang w:val="en-US" w:eastAsia="zh-CN"/>
        </w:rPr>
        <w:t>XX</w:t>
      </w:r>
      <w:r>
        <w:rPr>
          <w:rFonts w:hint="eastAsia" w:ascii="宋体" w:hAnsi="宋体" w:eastAsia="宋体" w:cs="Times New Roman"/>
          <w:sz w:val="24"/>
          <w:lang w:val="en-US" w:eastAsia="zh-CN"/>
        </w:rPr>
        <w:t>；</w:t>
      </w:r>
      <w:r>
        <w:rPr>
          <w:rFonts w:hint="default" w:ascii="宋体" w:hAnsi="宋体" w:eastAsia="宋体" w:cs="Times New Roman"/>
          <w:sz w:val="24"/>
          <w:lang w:val="en-US" w:eastAsia="zh-CN"/>
        </w:rPr>
        <w:t>全面负责项目推进中的所有事项，在项目推进过程中，乙方应严格遵守招标文件的规定和合同的约定，为甲方提供优质的服务。</w:t>
      </w:r>
    </w:p>
    <w:p w14:paraId="054D21F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sz w:val="24"/>
          <w:lang w:val="en-US" w:eastAsia="zh-CN"/>
        </w:rPr>
      </w:pPr>
      <w:r>
        <w:rPr>
          <w:rFonts w:hint="eastAsia" w:ascii="宋体" w:hAnsi="宋体"/>
          <w:sz w:val="24"/>
          <w:lang w:val="en-US" w:eastAsia="zh-CN"/>
        </w:rPr>
        <w:t>4.</w:t>
      </w:r>
      <w:r>
        <w:rPr>
          <w:rFonts w:hint="eastAsia" w:ascii="宋体" w:hAnsi="宋体"/>
          <w:sz w:val="24"/>
        </w:rPr>
        <w:t>本合同一式六份</w:t>
      </w:r>
      <w:r>
        <w:rPr>
          <w:rFonts w:hint="eastAsia" w:ascii="宋体" w:hAnsi="宋体"/>
          <w:sz w:val="24"/>
          <w:shd w:val="clear"/>
        </w:rPr>
        <w:t>，甲方四份，乙方一份</w:t>
      </w:r>
      <w:r>
        <w:rPr>
          <w:rFonts w:hint="eastAsia" w:ascii="宋体" w:hAnsi="宋体"/>
          <w:sz w:val="24"/>
        </w:rPr>
        <w:t>，</w:t>
      </w:r>
      <w:r>
        <w:rPr>
          <w:rFonts w:hint="eastAsia" w:ascii="宋体" w:hAnsi="宋体"/>
          <w:sz w:val="24"/>
          <w:u w:val="none"/>
        </w:rPr>
        <w:t>采购代理机构</w:t>
      </w:r>
      <w:r>
        <w:rPr>
          <w:rFonts w:hint="eastAsia" w:ascii="宋体" w:hAnsi="宋体"/>
          <w:sz w:val="24"/>
        </w:rPr>
        <w:t>一份，甲乙双方签字盖章后生效。</w:t>
      </w:r>
    </w:p>
    <w:p w14:paraId="721676F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rPr>
      </w:pPr>
      <w:r>
        <w:rPr>
          <w:rFonts w:hint="eastAsia" w:ascii="宋体" w:hAnsi="宋体"/>
          <w:bCs/>
          <w:sz w:val="24"/>
          <w:lang w:val="en-US" w:eastAsia="zh-CN"/>
        </w:rPr>
        <w:t>5.</w:t>
      </w:r>
      <w:r>
        <w:rPr>
          <w:rFonts w:hint="eastAsia" w:ascii="宋体" w:hAnsi="宋体" w:eastAsia="宋体" w:cs="Times New Roman"/>
          <w:sz w:val="24"/>
          <w:lang w:val="en-US" w:eastAsia="zh-CN"/>
        </w:rPr>
        <w:t>甲、乙双方对本合同的所有条款进行了充分、友好协商，如有未尽事宜，双方可另行签订书面协议作为补充合同，与本合同具有同等法律效力。</w:t>
      </w:r>
    </w:p>
    <w:p w14:paraId="2A6B9B37">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rPr>
      </w:pPr>
      <w:r>
        <w:rPr>
          <w:rFonts w:hint="eastAsia" w:ascii="宋体" w:hAnsi="宋体" w:eastAsia="宋体" w:cs="宋体"/>
          <w:sz w:val="22"/>
          <w:szCs w:val="22"/>
          <w:lang w:val="en-US" w:eastAsia="zh-CN"/>
        </w:rPr>
        <w:t>6</w:t>
      </w:r>
      <w:r>
        <w:rPr>
          <w:rFonts w:hint="eastAsia" w:ascii="宋体" w:hAnsi="宋体" w:cs="宋体"/>
          <w:sz w:val="22"/>
          <w:szCs w:val="22"/>
          <w:lang w:eastAsia="zh-CN"/>
        </w:rPr>
        <w:t>.</w:t>
      </w:r>
      <w:r>
        <w:rPr>
          <w:rFonts w:hint="eastAsia" w:ascii="宋体" w:hAnsi="宋体"/>
          <w:bCs/>
          <w:sz w:val="24"/>
        </w:rPr>
        <w:t>磋商文件、响应文件</w:t>
      </w:r>
      <w:r>
        <w:rPr>
          <w:rFonts w:hint="eastAsia" w:ascii="宋体" w:hAnsi="宋体"/>
          <w:bCs/>
          <w:sz w:val="24"/>
          <w:lang w:eastAsia="zh-CN"/>
        </w:rPr>
        <w:t>、</w:t>
      </w:r>
      <w:r>
        <w:rPr>
          <w:rFonts w:hint="eastAsia" w:ascii="宋体" w:hAnsi="宋体"/>
          <w:bCs/>
          <w:sz w:val="24"/>
          <w:lang w:val="en-US" w:eastAsia="zh-CN"/>
        </w:rPr>
        <w:t>项目补充协议与项目</w:t>
      </w:r>
      <w:r>
        <w:rPr>
          <w:rFonts w:hint="eastAsia" w:ascii="宋体" w:hAnsi="宋体"/>
          <w:bCs/>
          <w:sz w:val="24"/>
        </w:rPr>
        <w:t>合同</w:t>
      </w:r>
      <w:r>
        <w:rPr>
          <w:rFonts w:hint="eastAsia" w:ascii="宋体" w:hAnsi="宋体"/>
          <w:bCs/>
          <w:sz w:val="24"/>
          <w:lang w:val="en-US" w:eastAsia="zh-CN"/>
        </w:rPr>
        <w:t>具备同等法律效力</w:t>
      </w:r>
      <w:r>
        <w:rPr>
          <w:rFonts w:hint="eastAsia" w:ascii="宋体" w:hAnsi="宋体"/>
          <w:bCs/>
          <w:sz w:val="24"/>
        </w:rPr>
        <w:t>，合同中未约定</w:t>
      </w:r>
      <w:r>
        <w:rPr>
          <w:rFonts w:hint="eastAsia" w:ascii="宋体" w:hAnsi="宋体"/>
          <w:bCs/>
          <w:sz w:val="24"/>
          <w:lang w:val="en-US" w:eastAsia="zh-CN"/>
        </w:rPr>
        <w:t>事宜可直接参照</w:t>
      </w:r>
      <w:r>
        <w:rPr>
          <w:rFonts w:hint="eastAsia" w:ascii="宋体" w:hAnsi="宋体"/>
          <w:bCs/>
          <w:sz w:val="24"/>
        </w:rPr>
        <w:t>磋商文件、响应文件</w:t>
      </w:r>
      <w:r>
        <w:rPr>
          <w:rFonts w:hint="eastAsia" w:ascii="宋体" w:hAnsi="宋体"/>
          <w:bCs/>
          <w:sz w:val="24"/>
          <w:lang w:eastAsia="zh-CN"/>
        </w:rPr>
        <w:t>、</w:t>
      </w:r>
      <w:r>
        <w:rPr>
          <w:rFonts w:hint="eastAsia" w:ascii="宋体" w:hAnsi="宋体"/>
          <w:bCs/>
          <w:sz w:val="24"/>
          <w:lang w:val="en-US" w:eastAsia="zh-CN"/>
        </w:rPr>
        <w:t>补充协议</w:t>
      </w:r>
      <w:r>
        <w:rPr>
          <w:rFonts w:hint="eastAsia" w:ascii="宋体" w:hAnsi="宋体"/>
          <w:bCs/>
          <w:sz w:val="24"/>
        </w:rPr>
        <w:t>。</w:t>
      </w:r>
    </w:p>
    <w:p w14:paraId="20070C00">
      <w:pPr>
        <w:bidi w:val="0"/>
        <w:rPr>
          <w:rFonts w:hint="eastAsia"/>
        </w:rPr>
      </w:pPr>
    </w:p>
    <w:tbl>
      <w:tblPr>
        <w:tblStyle w:val="25"/>
        <w:tblW w:w="88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21"/>
        <w:gridCol w:w="4439"/>
      </w:tblGrid>
      <w:tr w14:paraId="674B9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1" w:hRule="atLeast"/>
        </w:trPr>
        <w:tc>
          <w:tcPr>
            <w:tcW w:w="4421" w:type="dxa"/>
            <w:noWrap w:val="0"/>
            <w:vAlign w:val="center"/>
          </w:tcPr>
          <w:p w14:paraId="58A9B87A">
            <w:pPr>
              <w:spacing w:line="480" w:lineRule="auto"/>
              <w:jc w:val="center"/>
              <w:rPr>
                <w:rFonts w:hint="eastAsia" w:ascii="宋体" w:hAnsi="宋体" w:eastAsia="宋体" w:cs="宋体"/>
                <w:bCs/>
                <w:sz w:val="24"/>
                <w:vertAlign w:val="baseline"/>
                <w:lang w:val="en-US" w:eastAsia="zh-CN"/>
              </w:rPr>
            </w:pPr>
            <w:r>
              <w:rPr>
                <w:rFonts w:hint="eastAsia" w:ascii="宋体" w:hAnsi="宋体" w:eastAsia="宋体" w:cs="宋体"/>
                <w:bCs/>
                <w:sz w:val="24"/>
                <w:vertAlign w:val="baseline"/>
                <w:lang w:val="en-US" w:eastAsia="zh-CN"/>
              </w:rPr>
              <w:t>甲方</w:t>
            </w:r>
          </w:p>
        </w:tc>
        <w:tc>
          <w:tcPr>
            <w:tcW w:w="4439" w:type="dxa"/>
            <w:noWrap w:val="0"/>
            <w:vAlign w:val="center"/>
          </w:tcPr>
          <w:p w14:paraId="45AC7BFD">
            <w:pPr>
              <w:spacing w:line="480" w:lineRule="auto"/>
              <w:jc w:val="center"/>
              <w:rPr>
                <w:rFonts w:hint="eastAsia" w:ascii="宋体" w:hAnsi="宋体" w:eastAsia="宋体" w:cs="宋体"/>
                <w:bCs/>
                <w:sz w:val="24"/>
                <w:vertAlign w:val="baseline"/>
                <w:lang w:val="en-US" w:eastAsia="zh-CN"/>
              </w:rPr>
            </w:pPr>
            <w:r>
              <w:rPr>
                <w:rFonts w:hint="eastAsia" w:ascii="宋体" w:hAnsi="宋体" w:eastAsia="宋体" w:cs="宋体"/>
                <w:bCs/>
                <w:sz w:val="24"/>
                <w:vertAlign w:val="baseline"/>
                <w:lang w:val="en-US" w:eastAsia="zh-CN"/>
              </w:rPr>
              <w:t>乙方</w:t>
            </w:r>
          </w:p>
        </w:tc>
      </w:tr>
      <w:tr w14:paraId="0A2D1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trPr>
        <w:tc>
          <w:tcPr>
            <w:tcW w:w="4421" w:type="dxa"/>
            <w:noWrap w:val="0"/>
            <w:vAlign w:val="center"/>
          </w:tcPr>
          <w:p w14:paraId="0680C5A9">
            <w:pPr>
              <w:spacing w:line="480" w:lineRule="auto"/>
              <w:jc w:val="both"/>
              <w:rPr>
                <w:rFonts w:hint="eastAsia" w:ascii="宋体" w:hAnsi="宋体" w:eastAsia="宋体" w:cs="宋体"/>
                <w:sz w:val="24"/>
              </w:rPr>
            </w:pPr>
            <w:r>
              <w:rPr>
                <w:rFonts w:hint="eastAsia" w:ascii="宋体" w:hAnsi="宋体" w:eastAsia="宋体" w:cs="宋体"/>
                <w:sz w:val="24"/>
              </w:rPr>
              <w:t>单位名称：</w:t>
            </w:r>
          </w:p>
          <w:p w14:paraId="772EA5BA">
            <w:pPr>
              <w:spacing w:line="480" w:lineRule="auto"/>
              <w:ind w:firstLine="1680" w:firstLineChars="700"/>
              <w:jc w:val="center"/>
              <w:rPr>
                <w:rFonts w:hint="eastAsia" w:ascii="宋体" w:hAnsi="宋体" w:eastAsia="宋体" w:cs="宋体"/>
                <w:sz w:val="24"/>
                <w:lang w:eastAsia="zh-CN"/>
              </w:rPr>
            </w:pPr>
          </w:p>
          <w:p w14:paraId="25B4937F">
            <w:pPr>
              <w:spacing w:line="480" w:lineRule="auto"/>
              <w:ind w:firstLine="1680" w:firstLineChars="700"/>
              <w:jc w:val="center"/>
              <w:rPr>
                <w:rFonts w:hint="eastAsia" w:ascii="宋体" w:hAnsi="宋体" w:eastAsia="宋体" w:cs="宋体"/>
                <w:bCs/>
                <w:sz w:val="24"/>
                <w:vertAlign w:val="baseline"/>
                <w:lang w:val="en-US" w:eastAsia="zh-CN"/>
              </w:rPr>
            </w:pPr>
            <w:r>
              <w:rPr>
                <w:rFonts w:hint="eastAsia" w:ascii="宋体" w:hAnsi="宋体" w:eastAsia="宋体" w:cs="宋体"/>
                <w:sz w:val="24"/>
                <w:lang w:val="en-US" w:eastAsia="zh-CN"/>
              </w:rPr>
              <w:t xml:space="preserve">         </w:t>
            </w:r>
            <w:r>
              <w:rPr>
                <w:rFonts w:hint="eastAsia" w:ascii="宋体" w:hAnsi="宋体" w:eastAsia="宋体" w:cs="宋体"/>
                <w:sz w:val="24"/>
                <w:lang w:eastAsia="zh-CN"/>
              </w:rPr>
              <w:t>（</w:t>
            </w:r>
            <w:r>
              <w:rPr>
                <w:rFonts w:hint="eastAsia" w:ascii="宋体" w:hAnsi="宋体" w:eastAsia="宋体" w:cs="宋体"/>
                <w:sz w:val="24"/>
                <w:lang w:val="en-US" w:eastAsia="zh-CN"/>
              </w:rPr>
              <w:t>盖章）</w:t>
            </w:r>
          </w:p>
        </w:tc>
        <w:tc>
          <w:tcPr>
            <w:tcW w:w="4439" w:type="dxa"/>
            <w:noWrap w:val="0"/>
            <w:vAlign w:val="center"/>
          </w:tcPr>
          <w:p w14:paraId="6242E814">
            <w:pPr>
              <w:spacing w:line="480" w:lineRule="auto"/>
              <w:jc w:val="center"/>
              <w:rPr>
                <w:rFonts w:hint="default" w:ascii="宋体" w:hAnsi="宋体" w:eastAsia="宋体" w:cs="宋体"/>
                <w:sz w:val="24"/>
                <w:lang w:val="en-US" w:eastAsia="zh-CN"/>
              </w:rPr>
            </w:pPr>
            <w:r>
              <w:rPr>
                <w:rFonts w:hint="eastAsia" w:ascii="宋体" w:hAnsi="宋体" w:eastAsia="宋体" w:cs="宋体"/>
                <w:sz w:val="24"/>
              </w:rPr>
              <w:t>单位名称：</w:t>
            </w:r>
          </w:p>
          <w:p w14:paraId="4D8C01ED">
            <w:pPr>
              <w:spacing w:line="480" w:lineRule="auto"/>
              <w:ind w:firstLine="1680" w:firstLineChars="700"/>
              <w:jc w:val="center"/>
              <w:rPr>
                <w:rFonts w:hint="eastAsia" w:ascii="宋体" w:hAnsi="宋体" w:eastAsia="宋体" w:cs="宋体"/>
                <w:sz w:val="24"/>
                <w:lang w:eastAsia="zh-CN"/>
              </w:rPr>
            </w:pPr>
          </w:p>
          <w:p w14:paraId="2AE4C8DE">
            <w:pPr>
              <w:spacing w:line="480" w:lineRule="auto"/>
              <w:ind w:firstLine="1680" w:firstLineChars="700"/>
              <w:jc w:val="center"/>
              <w:rPr>
                <w:rFonts w:hint="eastAsia" w:ascii="宋体" w:hAnsi="宋体" w:eastAsia="宋体" w:cs="宋体"/>
                <w:bCs/>
                <w:kern w:val="2"/>
                <w:sz w:val="24"/>
                <w:szCs w:val="24"/>
                <w:vertAlign w:val="baseline"/>
                <w:lang w:val="en-US" w:eastAsia="zh-CN" w:bidi="ar-SA"/>
              </w:rPr>
            </w:pPr>
            <w:r>
              <w:rPr>
                <w:rFonts w:hint="eastAsia" w:ascii="宋体" w:hAnsi="宋体" w:eastAsia="宋体" w:cs="宋体"/>
                <w:sz w:val="24"/>
                <w:lang w:val="en-US" w:eastAsia="zh-CN"/>
              </w:rPr>
              <w:t xml:space="preserve">            </w:t>
            </w:r>
            <w:r>
              <w:rPr>
                <w:rFonts w:hint="eastAsia" w:ascii="宋体" w:hAnsi="宋体" w:eastAsia="宋体" w:cs="宋体"/>
                <w:sz w:val="24"/>
                <w:lang w:eastAsia="zh-CN"/>
              </w:rPr>
              <w:t>（</w:t>
            </w:r>
            <w:r>
              <w:rPr>
                <w:rFonts w:hint="eastAsia" w:ascii="宋体" w:hAnsi="宋体" w:eastAsia="宋体" w:cs="宋体"/>
                <w:sz w:val="24"/>
                <w:lang w:val="en-US" w:eastAsia="zh-CN"/>
              </w:rPr>
              <w:t>盖章）</w:t>
            </w:r>
          </w:p>
        </w:tc>
      </w:tr>
      <w:tr w14:paraId="2131E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trPr>
        <w:tc>
          <w:tcPr>
            <w:tcW w:w="4421" w:type="dxa"/>
            <w:noWrap w:val="0"/>
            <w:vAlign w:val="center"/>
          </w:tcPr>
          <w:p w14:paraId="69E8025F">
            <w:pPr>
              <w:spacing w:line="480" w:lineRule="auto"/>
              <w:jc w:val="center"/>
              <w:rPr>
                <w:rFonts w:hint="eastAsia" w:ascii="宋体" w:hAnsi="宋体" w:eastAsia="宋体" w:cs="宋体"/>
                <w:bCs/>
                <w:sz w:val="24"/>
                <w:vertAlign w:val="baseline"/>
              </w:rPr>
            </w:pPr>
            <w:r>
              <w:rPr>
                <w:rFonts w:hint="eastAsia" w:ascii="宋体" w:hAnsi="宋体" w:eastAsia="宋体" w:cs="宋体"/>
                <w:sz w:val="24"/>
              </w:rPr>
              <w:t>地   址：</w:t>
            </w:r>
          </w:p>
        </w:tc>
        <w:tc>
          <w:tcPr>
            <w:tcW w:w="4439" w:type="dxa"/>
            <w:noWrap w:val="0"/>
            <w:vAlign w:val="center"/>
          </w:tcPr>
          <w:p w14:paraId="6241804B">
            <w:pPr>
              <w:spacing w:line="480" w:lineRule="auto"/>
              <w:jc w:val="center"/>
              <w:rPr>
                <w:rFonts w:hint="eastAsia" w:ascii="宋体" w:hAnsi="宋体" w:eastAsia="宋体" w:cs="宋体"/>
                <w:bCs/>
                <w:kern w:val="2"/>
                <w:sz w:val="24"/>
                <w:szCs w:val="24"/>
                <w:vertAlign w:val="baseline"/>
                <w:lang w:val="en-US" w:eastAsia="zh-CN" w:bidi="ar-SA"/>
              </w:rPr>
            </w:pPr>
            <w:r>
              <w:rPr>
                <w:rFonts w:hint="eastAsia" w:ascii="宋体" w:hAnsi="宋体" w:eastAsia="宋体" w:cs="宋体"/>
                <w:sz w:val="24"/>
              </w:rPr>
              <w:t>地   址：</w:t>
            </w:r>
          </w:p>
        </w:tc>
      </w:tr>
      <w:tr w14:paraId="293F7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4421" w:type="dxa"/>
            <w:noWrap w:val="0"/>
            <w:vAlign w:val="center"/>
          </w:tcPr>
          <w:p w14:paraId="48B12DCA">
            <w:pPr>
              <w:spacing w:line="480" w:lineRule="auto"/>
              <w:jc w:val="both"/>
              <w:rPr>
                <w:rFonts w:hint="eastAsia" w:ascii="宋体" w:hAnsi="宋体" w:eastAsia="宋体" w:cs="宋体"/>
                <w:bCs/>
                <w:sz w:val="24"/>
                <w:vertAlign w:val="baseline"/>
              </w:rPr>
            </w:pPr>
            <w:r>
              <w:rPr>
                <w:rFonts w:hint="eastAsia" w:ascii="宋体" w:hAnsi="宋体" w:eastAsia="宋体" w:cs="宋体"/>
                <w:sz w:val="24"/>
              </w:rPr>
              <w:t>法人</w:t>
            </w:r>
            <w:r>
              <w:rPr>
                <w:rFonts w:hint="eastAsia" w:ascii="宋体" w:hAnsi="宋体" w:eastAsia="宋体" w:cs="宋体"/>
                <w:sz w:val="24"/>
                <w:lang w:val="en-US" w:eastAsia="zh-CN"/>
              </w:rPr>
              <w:t>/授权</w:t>
            </w:r>
            <w:r>
              <w:rPr>
                <w:rFonts w:hint="eastAsia" w:ascii="宋体" w:hAnsi="宋体" w:eastAsia="宋体" w:cs="宋体"/>
                <w:sz w:val="24"/>
              </w:rPr>
              <w:t>代表</w:t>
            </w:r>
            <w:r>
              <w:rPr>
                <w:rFonts w:hint="eastAsia" w:ascii="宋体" w:hAnsi="宋体" w:eastAsia="宋体" w:cs="宋体"/>
                <w:sz w:val="24"/>
                <w:lang w:val="en-US" w:eastAsia="zh-CN"/>
              </w:rPr>
              <w:t>签字</w:t>
            </w:r>
            <w:r>
              <w:rPr>
                <w:rFonts w:hint="eastAsia" w:ascii="宋体" w:hAnsi="宋体" w:eastAsia="宋体" w:cs="宋体"/>
                <w:sz w:val="24"/>
              </w:rPr>
              <w:t>：</w:t>
            </w:r>
          </w:p>
        </w:tc>
        <w:tc>
          <w:tcPr>
            <w:tcW w:w="4439" w:type="dxa"/>
            <w:noWrap w:val="0"/>
            <w:vAlign w:val="center"/>
          </w:tcPr>
          <w:p w14:paraId="3325EF07">
            <w:pPr>
              <w:spacing w:line="480" w:lineRule="auto"/>
              <w:jc w:val="both"/>
              <w:rPr>
                <w:rFonts w:hint="eastAsia" w:ascii="宋体" w:hAnsi="宋体" w:eastAsia="宋体" w:cs="宋体"/>
                <w:bCs/>
                <w:kern w:val="2"/>
                <w:sz w:val="24"/>
                <w:szCs w:val="24"/>
                <w:vertAlign w:val="baseline"/>
                <w:lang w:val="en-US" w:eastAsia="zh-CN" w:bidi="ar-SA"/>
              </w:rPr>
            </w:pPr>
            <w:r>
              <w:rPr>
                <w:rFonts w:hint="eastAsia" w:ascii="宋体" w:hAnsi="宋体" w:eastAsia="宋体" w:cs="宋体"/>
                <w:sz w:val="24"/>
              </w:rPr>
              <w:t>法人</w:t>
            </w:r>
            <w:r>
              <w:rPr>
                <w:rFonts w:hint="eastAsia" w:ascii="宋体" w:hAnsi="宋体" w:eastAsia="宋体" w:cs="宋体"/>
                <w:sz w:val="24"/>
                <w:lang w:val="en-US" w:eastAsia="zh-CN"/>
              </w:rPr>
              <w:t>/授权</w:t>
            </w:r>
            <w:r>
              <w:rPr>
                <w:rFonts w:hint="eastAsia" w:ascii="宋体" w:hAnsi="宋体" w:eastAsia="宋体" w:cs="宋体"/>
                <w:sz w:val="24"/>
              </w:rPr>
              <w:t>代表</w:t>
            </w:r>
            <w:r>
              <w:rPr>
                <w:rFonts w:hint="eastAsia" w:ascii="宋体" w:hAnsi="宋体" w:eastAsia="宋体" w:cs="宋体"/>
                <w:sz w:val="24"/>
                <w:lang w:val="en-US" w:eastAsia="zh-CN"/>
              </w:rPr>
              <w:t>签字</w:t>
            </w:r>
            <w:r>
              <w:rPr>
                <w:rFonts w:hint="eastAsia" w:ascii="宋体" w:hAnsi="宋体" w:eastAsia="宋体" w:cs="宋体"/>
                <w:sz w:val="24"/>
              </w:rPr>
              <w:t>：</w:t>
            </w:r>
          </w:p>
        </w:tc>
      </w:tr>
      <w:tr w14:paraId="1CF6C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4421" w:type="dxa"/>
            <w:noWrap w:val="0"/>
            <w:vAlign w:val="center"/>
          </w:tcPr>
          <w:p w14:paraId="149D3D2F">
            <w:pPr>
              <w:spacing w:line="480" w:lineRule="auto"/>
              <w:jc w:val="both"/>
              <w:rPr>
                <w:rFonts w:hint="eastAsia" w:ascii="宋体" w:hAnsi="宋体" w:eastAsia="宋体" w:cs="宋体"/>
                <w:sz w:val="24"/>
              </w:rPr>
            </w:pPr>
            <w:r>
              <w:rPr>
                <w:rFonts w:hint="eastAsia" w:ascii="宋体" w:hAnsi="宋体" w:eastAsia="宋体" w:cs="宋体"/>
                <w:sz w:val="24"/>
              </w:rPr>
              <w:t>联系电话：</w:t>
            </w:r>
          </w:p>
        </w:tc>
        <w:tc>
          <w:tcPr>
            <w:tcW w:w="4439" w:type="dxa"/>
            <w:noWrap w:val="0"/>
            <w:vAlign w:val="center"/>
          </w:tcPr>
          <w:p w14:paraId="3087C7A6">
            <w:pPr>
              <w:spacing w:line="480" w:lineRule="auto"/>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联系电话：</w:t>
            </w:r>
          </w:p>
        </w:tc>
      </w:tr>
      <w:tr w14:paraId="717AF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trPr>
        <w:tc>
          <w:tcPr>
            <w:tcW w:w="4421" w:type="dxa"/>
            <w:noWrap w:val="0"/>
            <w:vAlign w:val="center"/>
          </w:tcPr>
          <w:p w14:paraId="0EDF0666">
            <w:pPr>
              <w:spacing w:line="480" w:lineRule="auto"/>
              <w:jc w:val="both"/>
              <w:rPr>
                <w:rFonts w:hint="eastAsia" w:ascii="宋体" w:hAnsi="宋体" w:eastAsia="宋体" w:cs="宋体"/>
                <w:sz w:val="24"/>
              </w:rPr>
            </w:pPr>
            <w:r>
              <w:rPr>
                <w:rFonts w:hint="eastAsia" w:ascii="宋体" w:hAnsi="宋体" w:eastAsia="宋体" w:cs="宋体"/>
                <w:sz w:val="24"/>
              </w:rPr>
              <w:t>开 户 行：</w:t>
            </w:r>
          </w:p>
        </w:tc>
        <w:tc>
          <w:tcPr>
            <w:tcW w:w="4439" w:type="dxa"/>
            <w:noWrap w:val="0"/>
            <w:vAlign w:val="center"/>
          </w:tcPr>
          <w:p w14:paraId="19EEC8BA">
            <w:pPr>
              <w:spacing w:line="480" w:lineRule="auto"/>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开 户 行：</w:t>
            </w:r>
          </w:p>
        </w:tc>
      </w:tr>
      <w:tr w14:paraId="110BD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4421" w:type="dxa"/>
            <w:noWrap w:val="0"/>
            <w:vAlign w:val="center"/>
          </w:tcPr>
          <w:p w14:paraId="235A471A">
            <w:pPr>
              <w:spacing w:line="480" w:lineRule="auto"/>
              <w:jc w:val="both"/>
              <w:rPr>
                <w:rFonts w:hint="eastAsia" w:ascii="宋体" w:hAnsi="宋体" w:eastAsia="宋体" w:cs="宋体"/>
                <w:sz w:val="24"/>
              </w:rPr>
            </w:pPr>
            <w:r>
              <w:rPr>
                <w:rFonts w:hint="eastAsia" w:ascii="宋体" w:hAnsi="宋体" w:eastAsia="宋体" w:cs="宋体"/>
                <w:sz w:val="24"/>
              </w:rPr>
              <w:t>账    号：</w:t>
            </w:r>
          </w:p>
        </w:tc>
        <w:tc>
          <w:tcPr>
            <w:tcW w:w="4439" w:type="dxa"/>
            <w:noWrap w:val="0"/>
            <w:vAlign w:val="center"/>
          </w:tcPr>
          <w:p w14:paraId="13DD114E">
            <w:pPr>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sz w:val="24"/>
              </w:rPr>
              <w:t>账    号：</w:t>
            </w:r>
          </w:p>
        </w:tc>
      </w:tr>
      <w:tr w14:paraId="70BC8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trPr>
        <w:tc>
          <w:tcPr>
            <w:tcW w:w="4421" w:type="dxa"/>
            <w:noWrap w:val="0"/>
            <w:vAlign w:val="center"/>
          </w:tcPr>
          <w:p w14:paraId="204B8F9D">
            <w:pPr>
              <w:spacing w:line="360" w:lineRule="auto"/>
              <w:jc w:val="center"/>
              <w:rPr>
                <w:rFonts w:hint="eastAsia" w:ascii="宋体" w:hAnsi="宋体" w:eastAsia="宋体" w:cs="宋体"/>
                <w:sz w:val="24"/>
              </w:rPr>
            </w:pPr>
            <w:r>
              <w:rPr>
                <w:rFonts w:hint="eastAsia" w:ascii="宋体" w:hAnsi="宋体"/>
                <w:sz w:val="24"/>
              </w:rPr>
              <w:t xml:space="preserve">合同签订时间：   </w:t>
            </w:r>
            <w:r>
              <w:rPr>
                <w:rFonts w:hint="eastAsia" w:ascii="宋体" w:hAnsi="宋体"/>
                <w:sz w:val="24"/>
                <w:lang w:val="en-US" w:eastAsia="zh-CN"/>
              </w:rPr>
              <w:t xml:space="preserve"> </w:t>
            </w:r>
            <w:r>
              <w:rPr>
                <w:rFonts w:hint="eastAsia" w:ascii="宋体" w:hAnsi="宋体"/>
                <w:sz w:val="24"/>
              </w:rPr>
              <w:t xml:space="preserve"> 年  </w:t>
            </w:r>
            <w:r>
              <w:rPr>
                <w:rFonts w:hint="eastAsia" w:ascii="宋体" w:hAnsi="宋体"/>
                <w:sz w:val="24"/>
                <w:lang w:val="en-US" w:eastAsia="zh-CN"/>
              </w:rPr>
              <w:t xml:space="preserve"> </w:t>
            </w:r>
            <w:r>
              <w:rPr>
                <w:rFonts w:hint="eastAsia" w:ascii="宋体" w:hAnsi="宋体"/>
                <w:sz w:val="24"/>
              </w:rPr>
              <w:t xml:space="preserve"> 月   </w:t>
            </w:r>
            <w:r>
              <w:rPr>
                <w:rFonts w:hint="eastAsia" w:ascii="宋体" w:hAnsi="宋体"/>
                <w:sz w:val="24"/>
                <w:lang w:val="en-US" w:eastAsia="zh-CN"/>
              </w:rPr>
              <w:t xml:space="preserve"> </w:t>
            </w:r>
            <w:r>
              <w:rPr>
                <w:rFonts w:hint="eastAsia" w:ascii="宋体" w:hAnsi="宋体"/>
                <w:sz w:val="24"/>
              </w:rPr>
              <w:t xml:space="preserve"> 日</w:t>
            </w:r>
          </w:p>
        </w:tc>
        <w:tc>
          <w:tcPr>
            <w:tcW w:w="4439" w:type="dxa"/>
            <w:noWrap w:val="0"/>
            <w:vAlign w:val="center"/>
          </w:tcPr>
          <w:p w14:paraId="75A0EE86">
            <w:pPr>
              <w:spacing w:line="360" w:lineRule="auto"/>
              <w:jc w:val="center"/>
              <w:rPr>
                <w:rFonts w:hint="eastAsia" w:ascii="宋体" w:hAnsi="宋体" w:eastAsia="宋体" w:cs="宋体"/>
                <w:sz w:val="24"/>
              </w:rPr>
            </w:pPr>
            <w:r>
              <w:rPr>
                <w:rFonts w:hint="eastAsia" w:ascii="宋体" w:hAnsi="宋体"/>
                <w:sz w:val="24"/>
              </w:rPr>
              <w:t xml:space="preserve">合同签订时间： </w:t>
            </w:r>
            <w:r>
              <w:rPr>
                <w:rFonts w:hint="eastAsia" w:ascii="宋体" w:hAnsi="宋体"/>
                <w:sz w:val="24"/>
                <w:lang w:val="en-US" w:eastAsia="zh-CN"/>
              </w:rPr>
              <w:t xml:space="preserve"> </w:t>
            </w:r>
            <w:r>
              <w:rPr>
                <w:rFonts w:hint="eastAsia" w:ascii="宋体" w:hAnsi="宋体"/>
                <w:sz w:val="24"/>
              </w:rPr>
              <w:t xml:space="preserve">   年 </w:t>
            </w:r>
            <w:r>
              <w:rPr>
                <w:rFonts w:hint="eastAsia" w:ascii="宋体" w:hAnsi="宋体"/>
                <w:sz w:val="24"/>
                <w:lang w:val="en-US" w:eastAsia="zh-CN"/>
              </w:rPr>
              <w:t xml:space="preserve"> </w:t>
            </w: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 xml:space="preserve"> 月  </w:t>
            </w:r>
            <w:r>
              <w:rPr>
                <w:rFonts w:hint="eastAsia" w:ascii="宋体" w:hAnsi="宋体"/>
                <w:sz w:val="24"/>
                <w:lang w:val="en-US" w:eastAsia="zh-CN"/>
              </w:rPr>
              <w:t xml:space="preserve"> </w:t>
            </w:r>
            <w:r>
              <w:rPr>
                <w:rFonts w:hint="eastAsia" w:ascii="宋体" w:hAnsi="宋体"/>
                <w:sz w:val="24"/>
              </w:rPr>
              <w:t xml:space="preserve">  日</w:t>
            </w:r>
          </w:p>
        </w:tc>
      </w:tr>
    </w:tbl>
    <w:p w14:paraId="7568D97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ascii="宋体" w:hAnsi="宋体" w:eastAsia="宋体" w:cs="宋体"/>
          <w:sz w:val="24"/>
          <w:szCs w:val="24"/>
        </w:rPr>
        <w:sectPr>
          <w:pgSz w:w="11906" w:h="16838"/>
          <w:pgMar w:top="1440" w:right="1800" w:bottom="1440" w:left="1800" w:header="851" w:footer="992" w:gutter="0"/>
          <w:cols w:space="720" w:num="1"/>
          <w:docGrid w:type="lines" w:linePitch="312" w:charSpace="0"/>
        </w:sectPr>
      </w:pPr>
    </w:p>
    <w:p w14:paraId="69347525">
      <w:pPr>
        <w:pStyle w:val="9"/>
        <w:rPr>
          <w:rFonts w:hint="eastAsia"/>
          <w:lang w:val="zh-CN"/>
        </w:rPr>
      </w:pPr>
    </w:p>
    <w:bookmarkEnd w:id="3"/>
    <w:bookmarkEnd w:id="164"/>
    <w:bookmarkEnd w:id="165"/>
    <w:p w14:paraId="2B90D84B">
      <w:pPr>
        <w:pStyle w:val="2"/>
        <w:pageBreakBefore w:val="0"/>
        <w:kinsoku/>
        <w:wordWrap w:val="0"/>
        <w:overflowPunct/>
        <w:topLinePunct w:val="0"/>
        <w:autoSpaceDE/>
        <w:autoSpaceDN/>
        <w:bidi w:val="0"/>
        <w:jc w:val="center"/>
        <w:outlineLvl w:val="0"/>
        <w:rPr>
          <w:rFonts w:hint="eastAsia" w:ascii="宋体" w:hAnsi="宋体" w:eastAsia="宋体" w:cs="宋体"/>
          <w:color w:val="auto"/>
          <w:lang w:val="en-US" w:eastAsia="zh-CN"/>
        </w:rPr>
      </w:pPr>
      <w:r>
        <w:rPr>
          <w:rFonts w:hint="eastAsia" w:ascii="宋体" w:hAnsi="宋体" w:eastAsia="宋体" w:cs="宋体"/>
          <w:color w:val="auto"/>
          <w:lang w:val="en-US" w:eastAsia="zh-CN"/>
        </w:rPr>
        <w:t>第六章  投标文件构成及格式</w:t>
      </w:r>
    </w:p>
    <w:tbl>
      <w:tblPr>
        <w:tblStyle w:val="24"/>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80"/>
      </w:tblGrid>
      <w:tr w14:paraId="15A32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6" w:hRule="atLeast"/>
          <w:jc w:val="center"/>
        </w:trPr>
        <w:tc>
          <w:tcPr>
            <w:tcW w:w="9180" w:type="dxa"/>
            <w:noWrap w:val="0"/>
            <w:vAlign w:val="top"/>
          </w:tcPr>
          <w:p w14:paraId="70615835">
            <w:pPr>
              <w:keepNext w:val="0"/>
              <w:keepLines w:val="0"/>
              <w:suppressLineNumbers w:val="0"/>
              <w:spacing w:before="0" w:beforeAutospacing="0" w:after="0" w:afterAutospacing="0" w:line="288" w:lineRule="auto"/>
              <w:ind w:left="0" w:right="0"/>
              <w:rPr>
                <w:rFonts w:hint="default" w:hAnsi="宋体" w:cs="宋体"/>
                <w:color w:val="auto"/>
                <w:sz w:val="21"/>
                <w:szCs w:val="21"/>
              </w:rPr>
            </w:pPr>
            <w:r>
              <w:rPr>
                <w:rFonts w:hint="eastAsia" w:hAnsi="宋体" w:cs="宋体"/>
                <w:color w:val="auto"/>
                <w:sz w:val="21"/>
                <w:szCs w:val="21"/>
              </w:rPr>
              <w:t xml:space="preserve">注释： </w:t>
            </w:r>
          </w:p>
          <w:p w14:paraId="4F84F237">
            <w:pPr>
              <w:keepNext w:val="0"/>
              <w:keepLines w:val="0"/>
              <w:suppressLineNumbers w:val="0"/>
              <w:spacing w:before="0" w:beforeAutospacing="0" w:after="0" w:afterAutospacing="0" w:line="288" w:lineRule="auto"/>
              <w:ind w:left="0" w:right="0" w:firstLine="420" w:firstLineChars="200"/>
              <w:rPr>
                <w:rFonts w:hint="default" w:hAnsi="宋体" w:cs="宋体"/>
                <w:color w:val="auto"/>
                <w:sz w:val="21"/>
                <w:szCs w:val="21"/>
              </w:rPr>
            </w:pPr>
            <w:r>
              <w:rPr>
                <w:rFonts w:hint="eastAsia" w:hAnsi="宋体" w:cs="宋体"/>
                <w:color w:val="auto"/>
                <w:sz w:val="21"/>
                <w:szCs w:val="21"/>
              </w:rPr>
              <w:t>1.本章分为六部分，是为方便投标人制作投标文件设计。第一、二、三、四、五部分应按要求或给定格式填报。</w:t>
            </w:r>
          </w:p>
          <w:p w14:paraId="3B8278FF">
            <w:pPr>
              <w:keepNext w:val="0"/>
              <w:keepLines w:val="0"/>
              <w:suppressLineNumbers w:val="0"/>
              <w:spacing w:before="0" w:beforeAutospacing="0" w:after="0" w:afterAutospacing="0" w:line="288" w:lineRule="auto"/>
              <w:ind w:left="0" w:right="0" w:firstLine="420" w:firstLineChars="200"/>
              <w:rPr>
                <w:rFonts w:hint="default" w:hAnsi="宋体" w:cs="宋体"/>
                <w:color w:val="auto"/>
                <w:sz w:val="21"/>
                <w:szCs w:val="21"/>
              </w:rPr>
            </w:pPr>
            <w:r>
              <w:rPr>
                <w:rFonts w:hint="eastAsia" w:hAnsi="宋体" w:cs="宋体"/>
                <w:color w:val="auto"/>
                <w:sz w:val="21"/>
                <w:szCs w:val="21"/>
              </w:rPr>
              <w:t>2.第六部分投标响应方案部分格式仅供参考，投标人应根据项目特点，结合本次采购要求，对有关表格进行补充或修改。但不得对实质性文件的相关条款做出变动。</w:t>
            </w:r>
          </w:p>
        </w:tc>
      </w:tr>
    </w:tbl>
    <w:p w14:paraId="16A4CFDC">
      <w:pPr>
        <w:jc w:val="center"/>
        <w:rPr>
          <w:rFonts w:hint="eastAsia" w:ascii="Times New Roman" w:hAnsi="Times New Roman" w:eastAsia="宋体" w:cs="Times New Roman"/>
          <w:color w:val="auto"/>
          <w:sz w:val="32"/>
          <w:szCs w:val="32"/>
        </w:rPr>
      </w:pPr>
      <w:r>
        <w:rPr>
          <w:color w:val="auto"/>
        </w:rPr>
        <w:br w:type="page"/>
      </w:r>
      <w:bookmarkStart w:id="166" w:name="_Toc13182"/>
      <w:bookmarkStart w:id="167" w:name="OLE_LINK44"/>
      <w:r>
        <w:rPr>
          <w:rFonts w:hint="eastAsia" w:ascii="Times New Roman" w:hAnsi="Times New Roman" w:eastAsia="宋体" w:cs="Times New Roman"/>
          <w:b/>
          <w:bCs/>
          <w:color w:val="auto"/>
          <w:kern w:val="44"/>
          <w:sz w:val="32"/>
          <w:szCs w:val="32"/>
          <w:lang w:val="en-US" w:eastAsia="zh-CN" w:bidi="ar-SA"/>
        </w:rPr>
        <w:t>封面及目录格式</w:t>
      </w:r>
      <w:bookmarkEnd w:id="166"/>
    </w:p>
    <w:p w14:paraId="0B451E80">
      <w:pPr>
        <w:pStyle w:val="33"/>
        <w:ind w:firstLine="0" w:firstLineChars="0"/>
        <w:rPr>
          <w:rFonts w:hAnsi="宋体" w:cs="宋体"/>
          <w:bCs/>
          <w:color w:val="auto"/>
          <w:sz w:val="28"/>
          <w:szCs w:val="28"/>
        </w:rPr>
      </w:pPr>
    </w:p>
    <w:p w14:paraId="5E14F290">
      <w:pPr>
        <w:pStyle w:val="33"/>
        <w:ind w:firstLine="0" w:firstLineChars="0"/>
        <w:rPr>
          <w:rFonts w:hint="eastAsia" w:hAnsi="宋体" w:cs="宋体"/>
          <w:bCs/>
          <w:color w:val="auto"/>
          <w:sz w:val="28"/>
          <w:szCs w:val="28"/>
        </w:rPr>
      </w:pPr>
      <w:r>
        <w:rPr>
          <w:rFonts w:hint="eastAsia" w:hAnsi="宋体" w:cs="宋体"/>
          <w:bCs/>
          <w:color w:val="auto"/>
          <w:sz w:val="28"/>
          <w:szCs w:val="28"/>
        </w:rPr>
        <w:t>项目名称：</w:t>
      </w:r>
    </w:p>
    <w:p w14:paraId="13FB2CD2">
      <w:pPr>
        <w:pStyle w:val="33"/>
        <w:ind w:firstLine="0" w:firstLineChars="0"/>
        <w:rPr>
          <w:rFonts w:hAnsi="宋体" w:cs="宋体"/>
          <w:color w:val="auto"/>
          <w:sz w:val="28"/>
          <w:szCs w:val="28"/>
        </w:rPr>
      </w:pPr>
      <w:r>
        <w:rPr>
          <w:rFonts w:hint="eastAsia" w:hAnsi="宋体" w:cs="宋体"/>
          <w:color w:val="auto"/>
          <w:sz w:val="28"/>
          <w:szCs w:val="28"/>
        </w:rPr>
        <w:t>项目编号：</w:t>
      </w:r>
    </w:p>
    <w:p w14:paraId="6547F378">
      <w:pPr>
        <w:pStyle w:val="33"/>
        <w:ind w:firstLine="0" w:firstLineChars="0"/>
        <w:rPr>
          <w:rFonts w:hAnsi="宋体" w:cs="宋体"/>
          <w:color w:val="auto"/>
          <w:sz w:val="28"/>
          <w:szCs w:val="28"/>
        </w:rPr>
      </w:pPr>
    </w:p>
    <w:p w14:paraId="698C2069">
      <w:pPr>
        <w:jc w:val="center"/>
        <w:rPr>
          <w:rFonts w:hAnsi="宋体" w:cs="宋体"/>
          <w:color w:val="auto"/>
          <w:sz w:val="52"/>
          <w:szCs w:val="52"/>
        </w:rPr>
      </w:pPr>
    </w:p>
    <w:p w14:paraId="51572A02">
      <w:pPr>
        <w:jc w:val="center"/>
        <w:rPr>
          <w:rFonts w:hAnsi="宋体" w:cs="宋体"/>
          <w:color w:val="auto"/>
          <w:sz w:val="52"/>
          <w:szCs w:val="52"/>
        </w:rPr>
      </w:pPr>
    </w:p>
    <w:p w14:paraId="75784DC8">
      <w:pPr>
        <w:pStyle w:val="9"/>
        <w:rPr>
          <w:color w:val="auto"/>
        </w:rPr>
      </w:pPr>
    </w:p>
    <w:p w14:paraId="72E6968F">
      <w:pPr>
        <w:jc w:val="center"/>
        <w:rPr>
          <w:b/>
          <w:bCs/>
          <w:color w:val="auto"/>
          <w:sz w:val="32"/>
          <w:szCs w:val="22"/>
        </w:rPr>
      </w:pPr>
      <w:r>
        <w:rPr>
          <w:rFonts w:hint="eastAsia" w:hAnsi="宋体" w:cs="宋体"/>
          <w:b/>
          <w:bCs/>
          <w:color w:val="auto"/>
          <w:sz w:val="96"/>
          <w:szCs w:val="96"/>
          <w:lang w:val="en-US" w:eastAsia="zh-CN"/>
        </w:rPr>
        <w:t>磋商</w:t>
      </w:r>
      <w:r>
        <w:rPr>
          <w:rFonts w:hint="eastAsia" w:hAnsi="宋体" w:cs="宋体"/>
          <w:b/>
          <w:bCs/>
          <w:color w:val="auto"/>
          <w:sz w:val="96"/>
          <w:szCs w:val="96"/>
        </w:rPr>
        <w:t>文件</w:t>
      </w:r>
    </w:p>
    <w:p w14:paraId="3678F76A">
      <w:pPr>
        <w:pStyle w:val="33"/>
        <w:ind w:firstLine="0" w:firstLineChars="0"/>
        <w:rPr>
          <w:rFonts w:ascii="仿宋" w:hAnsi="仿宋" w:eastAsia="仿宋"/>
          <w:color w:val="auto"/>
          <w:sz w:val="36"/>
        </w:rPr>
      </w:pPr>
    </w:p>
    <w:p w14:paraId="69C2E32C">
      <w:pPr>
        <w:pStyle w:val="33"/>
        <w:ind w:firstLine="0" w:firstLineChars="0"/>
        <w:rPr>
          <w:rFonts w:ascii="仿宋" w:hAnsi="仿宋" w:eastAsia="仿宋"/>
          <w:color w:val="auto"/>
          <w:sz w:val="36"/>
        </w:rPr>
      </w:pPr>
    </w:p>
    <w:p w14:paraId="3771655A">
      <w:pPr>
        <w:pStyle w:val="33"/>
        <w:ind w:firstLine="0" w:firstLineChars="0"/>
        <w:rPr>
          <w:rFonts w:ascii="仿宋" w:hAnsi="仿宋" w:eastAsia="仿宋"/>
          <w:color w:val="auto"/>
          <w:sz w:val="36"/>
        </w:rPr>
      </w:pPr>
    </w:p>
    <w:p w14:paraId="501C4BBB">
      <w:pPr>
        <w:pStyle w:val="33"/>
        <w:ind w:firstLine="560"/>
        <w:rPr>
          <w:rFonts w:hAnsi="宋体" w:cs="宋体"/>
          <w:color w:val="auto"/>
          <w:sz w:val="28"/>
          <w:szCs w:val="28"/>
        </w:rPr>
      </w:pPr>
    </w:p>
    <w:p w14:paraId="2249037D">
      <w:pPr>
        <w:pStyle w:val="33"/>
        <w:ind w:firstLine="0" w:firstLineChars="0"/>
        <w:rPr>
          <w:rFonts w:hAnsi="宋体" w:cs="宋体"/>
          <w:color w:val="auto"/>
          <w:sz w:val="28"/>
          <w:szCs w:val="28"/>
        </w:rPr>
      </w:pPr>
    </w:p>
    <w:p w14:paraId="10318F64">
      <w:pPr>
        <w:pStyle w:val="33"/>
        <w:ind w:firstLine="560"/>
        <w:rPr>
          <w:rFonts w:hAnsi="宋体" w:cs="宋体"/>
          <w:color w:val="auto"/>
          <w:sz w:val="28"/>
          <w:szCs w:val="28"/>
        </w:rPr>
      </w:pPr>
    </w:p>
    <w:p w14:paraId="23679C58">
      <w:pPr>
        <w:pStyle w:val="33"/>
        <w:ind w:firstLine="1400" w:firstLineChars="500"/>
        <w:rPr>
          <w:rFonts w:hAnsi="宋体" w:cs="宋体"/>
          <w:color w:val="auto"/>
          <w:sz w:val="28"/>
          <w:szCs w:val="28"/>
        </w:rPr>
      </w:pPr>
      <w:r>
        <w:rPr>
          <w:rFonts w:hint="eastAsia" w:hAnsi="宋体" w:cs="宋体"/>
          <w:color w:val="auto"/>
          <w:sz w:val="28"/>
          <w:szCs w:val="28"/>
          <w:lang w:eastAsia="zh-CN"/>
        </w:rPr>
        <w:t>服务商</w:t>
      </w:r>
      <w:r>
        <w:rPr>
          <w:rFonts w:hint="eastAsia" w:hAnsi="宋体" w:cs="宋体"/>
          <w:color w:val="auto"/>
          <w:sz w:val="28"/>
          <w:szCs w:val="28"/>
        </w:rPr>
        <w:t>全称：</w:t>
      </w:r>
      <w:r>
        <w:rPr>
          <w:rFonts w:hint="eastAsia" w:hAnsi="宋体" w:cs="宋体"/>
          <w:color w:val="auto"/>
          <w:sz w:val="28"/>
          <w:szCs w:val="28"/>
          <w:u w:val="single"/>
        </w:rPr>
        <w:t xml:space="preserve">                        </w:t>
      </w:r>
      <w:r>
        <w:rPr>
          <w:rFonts w:hint="eastAsia" w:hAnsi="宋体" w:cs="宋体"/>
          <w:color w:val="auto"/>
          <w:sz w:val="28"/>
          <w:szCs w:val="28"/>
        </w:rPr>
        <w:t>（盖章）</w:t>
      </w:r>
    </w:p>
    <w:p w14:paraId="10733A23">
      <w:pPr>
        <w:pStyle w:val="9"/>
        <w:ind w:firstLine="1400" w:firstLineChars="500"/>
        <w:rPr>
          <w:rFonts w:ascii="宋体" w:hAnsi="宋体" w:cs="宋体"/>
          <w:color w:val="auto"/>
          <w:sz w:val="28"/>
          <w:szCs w:val="28"/>
        </w:rPr>
      </w:pPr>
      <w:r>
        <w:rPr>
          <w:rFonts w:hint="eastAsia" w:ascii="宋体" w:hAnsi="宋体" w:cs="宋体"/>
          <w:color w:val="auto"/>
          <w:sz w:val="28"/>
          <w:szCs w:val="28"/>
        </w:rPr>
        <w:t>法定代表人或其委托代理人：</w:t>
      </w:r>
      <w:r>
        <w:rPr>
          <w:rFonts w:hint="eastAsia" w:ascii="宋体" w:hAnsi="宋体" w:cs="宋体"/>
          <w:color w:val="auto"/>
          <w:sz w:val="28"/>
          <w:szCs w:val="28"/>
          <w:u w:val="single"/>
        </w:rPr>
        <w:t xml:space="preserve">          </w:t>
      </w:r>
      <w:r>
        <w:rPr>
          <w:rFonts w:hint="eastAsia" w:ascii="宋体" w:hAnsi="宋体" w:cs="宋体"/>
          <w:color w:val="auto"/>
          <w:sz w:val="28"/>
          <w:szCs w:val="28"/>
        </w:rPr>
        <w:t>（签</w:t>
      </w:r>
      <w:r>
        <w:rPr>
          <w:rFonts w:hint="eastAsia" w:ascii="宋体" w:hAnsi="宋体" w:cs="宋体"/>
          <w:color w:val="auto"/>
          <w:sz w:val="28"/>
          <w:szCs w:val="28"/>
          <w:lang w:eastAsia="zh-CN"/>
        </w:rPr>
        <w:t>字</w:t>
      </w:r>
      <w:r>
        <w:rPr>
          <w:rFonts w:hint="eastAsia" w:ascii="宋体" w:hAnsi="宋体" w:cs="宋体"/>
          <w:color w:val="auto"/>
          <w:sz w:val="28"/>
          <w:szCs w:val="28"/>
        </w:rPr>
        <w:t xml:space="preserve">）       </w:t>
      </w:r>
    </w:p>
    <w:p w14:paraId="231D305F">
      <w:pPr>
        <w:pStyle w:val="9"/>
        <w:jc w:val="center"/>
        <w:rPr>
          <w:rFonts w:hAnsi="宋体" w:cs="宋体"/>
          <w:b/>
          <w:color w:val="auto"/>
          <w:sz w:val="28"/>
          <w:szCs w:val="28"/>
        </w:rPr>
      </w:pPr>
      <w:r>
        <w:rPr>
          <w:rFonts w:hint="eastAsia" w:ascii="宋体" w:hAnsi="宋体" w:cs="宋体"/>
          <w:color w:val="auto"/>
          <w:sz w:val="28"/>
          <w:szCs w:val="28"/>
        </w:rPr>
        <w:t>日    期：     年     月     日</w:t>
      </w:r>
      <w:r>
        <w:rPr>
          <w:rFonts w:hint="eastAsia" w:hAnsi="宋体" w:cs="宋体"/>
          <w:color w:val="auto"/>
          <w:sz w:val="28"/>
          <w:szCs w:val="28"/>
        </w:rPr>
        <w:br w:type="page"/>
      </w:r>
      <w:r>
        <w:rPr>
          <w:rFonts w:hint="eastAsia" w:hAnsi="宋体" w:cs="宋体"/>
          <w:b/>
          <w:color w:val="auto"/>
          <w:sz w:val="28"/>
          <w:szCs w:val="28"/>
        </w:rPr>
        <w:t>目 录</w:t>
      </w:r>
    </w:p>
    <w:p w14:paraId="44F5B678">
      <w:pPr>
        <w:tabs>
          <w:tab w:val="right" w:leader="hyphen" w:pos="9120"/>
        </w:tabs>
        <w:spacing w:line="500" w:lineRule="exact"/>
        <w:ind w:right="630" w:rightChars="300"/>
        <w:rPr>
          <w:rFonts w:hAnsi="宋体" w:cs="宋体"/>
          <w:color w:val="auto"/>
          <w:sz w:val="21"/>
          <w:szCs w:val="21"/>
        </w:rPr>
      </w:pPr>
      <w:r>
        <w:rPr>
          <w:rFonts w:hint="eastAsia" w:hAnsi="宋体" w:cs="宋体"/>
          <w:color w:val="auto"/>
          <w:sz w:val="21"/>
          <w:szCs w:val="21"/>
        </w:rPr>
        <w:t>第一部分  投标函</w:t>
      </w:r>
      <w:r>
        <w:rPr>
          <w:rFonts w:hint="eastAsia" w:hAnsi="宋体" w:cs="宋体"/>
          <w:color w:val="auto"/>
          <w:sz w:val="21"/>
          <w:szCs w:val="21"/>
        </w:rPr>
        <w:tab/>
      </w:r>
      <w:r>
        <w:rPr>
          <w:rFonts w:hint="eastAsia" w:hAnsi="宋体" w:cs="宋体"/>
          <w:color w:val="auto"/>
          <w:sz w:val="21"/>
          <w:szCs w:val="21"/>
        </w:rPr>
        <w:t>X</w:t>
      </w:r>
    </w:p>
    <w:p w14:paraId="30198343">
      <w:pPr>
        <w:tabs>
          <w:tab w:val="right" w:leader="hyphen" w:pos="9120"/>
        </w:tabs>
        <w:spacing w:line="500" w:lineRule="exact"/>
        <w:ind w:right="630" w:rightChars="300"/>
        <w:rPr>
          <w:rFonts w:hAnsi="宋体" w:cs="宋体"/>
          <w:color w:val="auto"/>
          <w:sz w:val="21"/>
          <w:szCs w:val="21"/>
        </w:rPr>
      </w:pPr>
      <w:r>
        <w:rPr>
          <w:rFonts w:hint="eastAsia" w:hAnsi="宋体" w:cs="宋体"/>
          <w:color w:val="auto"/>
          <w:sz w:val="21"/>
          <w:szCs w:val="21"/>
        </w:rPr>
        <w:t>第二部分  开标一览表</w:t>
      </w:r>
      <w:r>
        <w:rPr>
          <w:rFonts w:hint="eastAsia" w:hAnsi="宋体" w:cs="宋体"/>
          <w:color w:val="auto"/>
          <w:sz w:val="21"/>
          <w:szCs w:val="21"/>
        </w:rPr>
        <w:tab/>
      </w:r>
      <w:r>
        <w:rPr>
          <w:rFonts w:hint="eastAsia" w:hAnsi="宋体" w:cs="宋体"/>
          <w:color w:val="auto"/>
          <w:sz w:val="21"/>
          <w:szCs w:val="21"/>
        </w:rPr>
        <w:t>X</w:t>
      </w:r>
    </w:p>
    <w:p w14:paraId="061FD721">
      <w:pPr>
        <w:tabs>
          <w:tab w:val="right" w:leader="hyphen" w:pos="9120"/>
        </w:tabs>
        <w:spacing w:line="500" w:lineRule="exact"/>
        <w:ind w:right="630" w:rightChars="300" w:firstLine="630" w:firstLineChars="300"/>
        <w:rPr>
          <w:rFonts w:hAnsi="宋体" w:cs="宋体"/>
          <w:color w:val="auto"/>
          <w:sz w:val="21"/>
          <w:szCs w:val="21"/>
        </w:rPr>
      </w:pPr>
      <w:r>
        <w:rPr>
          <w:rFonts w:hint="eastAsia" w:hAnsi="宋体" w:cs="宋体"/>
          <w:color w:val="auto"/>
          <w:sz w:val="21"/>
          <w:szCs w:val="21"/>
        </w:rPr>
        <w:t>一、开标一览表</w:t>
      </w:r>
      <w:r>
        <w:rPr>
          <w:rFonts w:hint="eastAsia" w:hAnsi="宋体" w:cs="宋体"/>
          <w:color w:val="auto"/>
          <w:sz w:val="21"/>
          <w:szCs w:val="21"/>
        </w:rPr>
        <w:tab/>
      </w:r>
      <w:r>
        <w:rPr>
          <w:rFonts w:hint="eastAsia" w:hAnsi="宋体" w:cs="宋体"/>
          <w:color w:val="auto"/>
          <w:sz w:val="21"/>
          <w:szCs w:val="21"/>
        </w:rPr>
        <w:t>X</w:t>
      </w:r>
    </w:p>
    <w:p w14:paraId="5AB271D0">
      <w:pPr>
        <w:tabs>
          <w:tab w:val="right" w:leader="hyphen" w:pos="9120"/>
        </w:tabs>
        <w:spacing w:line="500" w:lineRule="exact"/>
        <w:ind w:right="630" w:rightChars="300" w:firstLine="630" w:firstLineChars="300"/>
        <w:rPr>
          <w:rFonts w:hAnsi="宋体" w:cs="宋体"/>
          <w:color w:val="auto"/>
          <w:sz w:val="21"/>
          <w:szCs w:val="21"/>
        </w:rPr>
      </w:pPr>
      <w:r>
        <w:rPr>
          <w:rFonts w:hint="eastAsia" w:hAnsi="宋体" w:cs="宋体"/>
          <w:color w:val="auto"/>
          <w:sz w:val="21"/>
          <w:szCs w:val="21"/>
        </w:rPr>
        <w:t>二、分项报价</w:t>
      </w:r>
      <w:r>
        <w:rPr>
          <w:rFonts w:hint="eastAsia" w:hAnsi="宋体" w:cs="宋体"/>
          <w:color w:val="auto"/>
          <w:sz w:val="21"/>
          <w:szCs w:val="21"/>
        </w:rPr>
        <w:tab/>
      </w:r>
      <w:r>
        <w:rPr>
          <w:rFonts w:hint="eastAsia" w:hAnsi="宋体" w:cs="宋体"/>
          <w:color w:val="auto"/>
          <w:sz w:val="21"/>
          <w:szCs w:val="21"/>
        </w:rPr>
        <w:t>X</w:t>
      </w:r>
    </w:p>
    <w:p w14:paraId="6F3ACB87">
      <w:pPr>
        <w:tabs>
          <w:tab w:val="right" w:leader="hyphen" w:pos="9120"/>
        </w:tabs>
        <w:spacing w:line="500" w:lineRule="exact"/>
        <w:ind w:right="630" w:rightChars="300"/>
        <w:rPr>
          <w:rFonts w:hAnsi="宋体" w:cs="宋体"/>
          <w:color w:val="auto"/>
          <w:sz w:val="21"/>
          <w:szCs w:val="21"/>
        </w:rPr>
      </w:pPr>
      <w:r>
        <w:rPr>
          <w:rFonts w:hint="eastAsia" w:hAnsi="宋体" w:cs="宋体"/>
          <w:color w:val="auto"/>
          <w:sz w:val="21"/>
          <w:szCs w:val="21"/>
        </w:rPr>
        <w:t>第三部分  资格证明文件</w:t>
      </w:r>
      <w:r>
        <w:rPr>
          <w:rFonts w:hint="eastAsia" w:hAnsi="宋体" w:cs="宋体"/>
          <w:color w:val="auto"/>
          <w:sz w:val="21"/>
          <w:szCs w:val="21"/>
        </w:rPr>
        <w:tab/>
      </w:r>
      <w:r>
        <w:rPr>
          <w:rFonts w:hint="eastAsia" w:hAnsi="宋体" w:cs="宋体"/>
          <w:color w:val="auto"/>
          <w:sz w:val="21"/>
          <w:szCs w:val="21"/>
        </w:rPr>
        <w:t>X</w:t>
      </w:r>
    </w:p>
    <w:p w14:paraId="45FEBCB7">
      <w:pPr>
        <w:tabs>
          <w:tab w:val="right" w:leader="hyphen" w:pos="9120"/>
        </w:tabs>
        <w:spacing w:line="500" w:lineRule="exact"/>
        <w:ind w:right="630" w:rightChars="300"/>
        <w:rPr>
          <w:rFonts w:hAnsi="宋体" w:cs="宋体"/>
          <w:color w:val="auto"/>
          <w:sz w:val="21"/>
          <w:szCs w:val="21"/>
        </w:rPr>
      </w:pPr>
      <w:r>
        <w:rPr>
          <w:rFonts w:hint="eastAsia" w:hAnsi="宋体" w:cs="宋体"/>
          <w:color w:val="auto"/>
          <w:sz w:val="21"/>
          <w:szCs w:val="21"/>
        </w:rPr>
        <w:t>第四部分  投标人基本信息及其概况</w:t>
      </w:r>
      <w:r>
        <w:rPr>
          <w:rFonts w:hint="eastAsia" w:hAnsi="宋体" w:cs="宋体"/>
          <w:color w:val="auto"/>
          <w:sz w:val="21"/>
          <w:szCs w:val="21"/>
        </w:rPr>
        <w:tab/>
      </w:r>
      <w:r>
        <w:rPr>
          <w:rFonts w:hint="eastAsia" w:hAnsi="宋体" w:cs="宋体"/>
          <w:color w:val="auto"/>
          <w:sz w:val="21"/>
          <w:szCs w:val="21"/>
        </w:rPr>
        <w:t>X</w:t>
      </w:r>
    </w:p>
    <w:p w14:paraId="723B8614">
      <w:pPr>
        <w:tabs>
          <w:tab w:val="right" w:leader="hyphen" w:pos="9120"/>
        </w:tabs>
        <w:spacing w:line="500" w:lineRule="exact"/>
        <w:ind w:right="630" w:rightChars="300" w:firstLine="630" w:firstLineChars="300"/>
        <w:rPr>
          <w:rFonts w:hAnsi="宋体" w:cs="宋体"/>
          <w:color w:val="auto"/>
          <w:sz w:val="21"/>
          <w:szCs w:val="21"/>
        </w:rPr>
      </w:pPr>
      <w:r>
        <w:rPr>
          <w:rFonts w:hint="eastAsia" w:hAnsi="宋体" w:cs="宋体"/>
          <w:color w:val="auto"/>
          <w:sz w:val="21"/>
          <w:szCs w:val="21"/>
        </w:rPr>
        <w:t>一、投标人基本信息</w:t>
      </w:r>
      <w:r>
        <w:rPr>
          <w:rFonts w:hint="eastAsia" w:hAnsi="宋体" w:cs="宋体"/>
          <w:color w:val="auto"/>
          <w:sz w:val="21"/>
          <w:szCs w:val="21"/>
        </w:rPr>
        <w:tab/>
      </w:r>
      <w:r>
        <w:rPr>
          <w:rFonts w:hint="eastAsia" w:hAnsi="宋体" w:cs="宋体"/>
          <w:color w:val="auto"/>
          <w:sz w:val="21"/>
          <w:szCs w:val="21"/>
        </w:rPr>
        <w:t>X</w:t>
      </w:r>
    </w:p>
    <w:p w14:paraId="3F03F98C">
      <w:pPr>
        <w:tabs>
          <w:tab w:val="right" w:leader="hyphen" w:pos="9120"/>
        </w:tabs>
        <w:spacing w:line="500" w:lineRule="exact"/>
        <w:ind w:right="630" w:rightChars="300" w:firstLine="630" w:firstLineChars="300"/>
        <w:rPr>
          <w:rFonts w:hAnsi="宋体" w:cs="宋体"/>
          <w:color w:val="auto"/>
          <w:sz w:val="21"/>
          <w:szCs w:val="21"/>
        </w:rPr>
      </w:pPr>
      <w:r>
        <w:rPr>
          <w:rFonts w:hint="eastAsia" w:hAnsi="宋体" w:cs="宋体"/>
          <w:color w:val="auto"/>
          <w:sz w:val="21"/>
          <w:szCs w:val="21"/>
        </w:rPr>
        <w:t>二、</w:t>
      </w:r>
      <w:r>
        <w:rPr>
          <w:rFonts w:hint="eastAsia" w:hAnsi="宋体" w:cs="宋体"/>
          <w:color w:val="auto"/>
          <w:sz w:val="21"/>
          <w:szCs w:val="21"/>
          <w:lang w:val="zh-CN"/>
        </w:rPr>
        <w:t>企业关系关联</w:t>
      </w:r>
      <w:r>
        <w:rPr>
          <w:rFonts w:hint="eastAsia" w:hAnsi="宋体" w:cs="宋体"/>
          <w:color w:val="auto"/>
          <w:sz w:val="21"/>
          <w:szCs w:val="21"/>
        </w:rPr>
        <w:t>说明</w:t>
      </w:r>
      <w:r>
        <w:rPr>
          <w:rFonts w:hint="eastAsia" w:hAnsi="宋体" w:cs="宋体"/>
          <w:color w:val="auto"/>
          <w:sz w:val="21"/>
          <w:szCs w:val="21"/>
        </w:rPr>
        <w:tab/>
      </w:r>
      <w:r>
        <w:rPr>
          <w:rFonts w:hint="eastAsia" w:hAnsi="宋体" w:cs="宋体"/>
          <w:color w:val="auto"/>
          <w:sz w:val="21"/>
          <w:szCs w:val="21"/>
        </w:rPr>
        <w:t>X</w:t>
      </w:r>
    </w:p>
    <w:p w14:paraId="0035AAF7">
      <w:pPr>
        <w:tabs>
          <w:tab w:val="right" w:leader="hyphen" w:pos="9120"/>
        </w:tabs>
        <w:spacing w:line="500" w:lineRule="exact"/>
        <w:ind w:right="630" w:rightChars="300" w:firstLine="630" w:firstLineChars="300"/>
        <w:rPr>
          <w:rFonts w:hAnsi="宋体" w:cs="宋体"/>
          <w:color w:val="auto"/>
          <w:sz w:val="21"/>
          <w:szCs w:val="21"/>
        </w:rPr>
      </w:pPr>
      <w:r>
        <w:rPr>
          <w:rFonts w:hint="eastAsia" w:hAnsi="宋体" w:cs="宋体"/>
          <w:color w:val="auto"/>
          <w:sz w:val="21"/>
          <w:szCs w:val="21"/>
        </w:rPr>
        <w:t>三、投标人性质</w:t>
      </w:r>
      <w:r>
        <w:rPr>
          <w:rFonts w:hint="eastAsia" w:hAnsi="宋体" w:cs="宋体"/>
          <w:color w:val="auto"/>
          <w:sz w:val="21"/>
          <w:szCs w:val="21"/>
        </w:rPr>
        <w:tab/>
      </w:r>
      <w:r>
        <w:rPr>
          <w:rFonts w:hint="eastAsia" w:hAnsi="宋体" w:cs="宋体"/>
          <w:color w:val="auto"/>
          <w:sz w:val="21"/>
          <w:szCs w:val="21"/>
        </w:rPr>
        <w:t>X</w:t>
      </w:r>
    </w:p>
    <w:p w14:paraId="1237718D">
      <w:pPr>
        <w:tabs>
          <w:tab w:val="right" w:leader="hyphen" w:pos="9120"/>
        </w:tabs>
        <w:spacing w:line="500" w:lineRule="exact"/>
        <w:ind w:right="630" w:rightChars="300" w:firstLine="630" w:firstLineChars="300"/>
        <w:rPr>
          <w:rFonts w:hAnsi="宋体" w:cs="宋体"/>
          <w:color w:val="auto"/>
          <w:sz w:val="21"/>
          <w:szCs w:val="21"/>
        </w:rPr>
      </w:pPr>
      <w:r>
        <w:rPr>
          <w:rFonts w:hint="eastAsia" w:hAnsi="宋体" w:cs="宋体"/>
          <w:color w:val="auto"/>
          <w:sz w:val="21"/>
          <w:szCs w:val="21"/>
        </w:rPr>
        <w:t>四、其他</w:t>
      </w:r>
      <w:r>
        <w:rPr>
          <w:rFonts w:hint="eastAsia" w:hAnsi="宋体" w:cs="宋体"/>
          <w:color w:val="auto"/>
          <w:sz w:val="21"/>
          <w:szCs w:val="21"/>
        </w:rPr>
        <w:tab/>
      </w:r>
      <w:r>
        <w:rPr>
          <w:rFonts w:hint="eastAsia" w:hAnsi="宋体" w:cs="宋体"/>
          <w:color w:val="auto"/>
          <w:sz w:val="21"/>
          <w:szCs w:val="21"/>
        </w:rPr>
        <w:t>X</w:t>
      </w:r>
    </w:p>
    <w:p w14:paraId="03BF6ECF">
      <w:pPr>
        <w:tabs>
          <w:tab w:val="right" w:leader="hyphen" w:pos="9120"/>
        </w:tabs>
        <w:spacing w:line="500" w:lineRule="exact"/>
        <w:ind w:right="630" w:rightChars="300"/>
        <w:rPr>
          <w:rFonts w:hAnsi="宋体" w:cs="宋体"/>
          <w:color w:val="auto"/>
          <w:sz w:val="21"/>
          <w:szCs w:val="21"/>
        </w:rPr>
      </w:pPr>
      <w:r>
        <w:rPr>
          <w:rFonts w:hint="eastAsia" w:hAnsi="宋体" w:cs="宋体"/>
          <w:color w:val="auto"/>
          <w:sz w:val="21"/>
          <w:szCs w:val="21"/>
        </w:rPr>
        <w:t>第五部分  投标人参加政府采购活动承诺书</w:t>
      </w:r>
      <w:r>
        <w:rPr>
          <w:rFonts w:hint="eastAsia" w:hAnsi="宋体" w:cs="宋体"/>
          <w:color w:val="auto"/>
          <w:sz w:val="21"/>
          <w:szCs w:val="21"/>
        </w:rPr>
        <w:tab/>
      </w:r>
      <w:r>
        <w:rPr>
          <w:rFonts w:hint="eastAsia" w:hAnsi="宋体" w:cs="宋体"/>
          <w:color w:val="auto"/>
          <w:sz w:val="21"/>
          <w:szCs w:val="21"/>
        </w:rPr>
        <w:t>X</w:t>
      </w:r>
    </w:p>
    <w:p w14:paraId="05CC72B9">
      <w:pPr>
        <w:tabs>
          <w:tab w:val="right" w:leader="hyphen" w:pos="9120"/>
        </w:tabs>
        <w:spacing w:line="500" w:lineRule="exact"/>
        <w:ind w:right="630" w:rightChars="300"/>
        <w:rPr>
          <w:rFonts w:hAnsi="宋体" w:cs="宋体"/>
          <w:color w:val="auto"/>
          <w:sz w:val="21"/>
          <w:szCs w:val="21"/>
        </w:rPr>
      </w:pPr>
      <w:r>
        <w:rPr>
          <w:rFonts w:hint="eastAsia" w:hAnsi="宋体" w:cs="宋体"/>
          <w:color w:val="auto"/>
          <w:sz w:val="21"/>
          <w:szCs w:val="21"/>
        </w:rPr>
        <w:t>第六部分  投标响应方案</w:t>
      </w:r>
      <w:r>
        <w:rPr>
          <w:rFonts w:hint="eastAsia" w:hAnsi="宋体" w:cs="宋体"/>
          <w:color w:val="auto"/>
          <w:sz w:val="21"/>
          <w:szCs w:val="21"/>
        </w:rPr>
        <w:tab/>
      </w:r>
      <w:r>
        <w:rPr>
          <w:rFonts w:hint="eastAsia" w:hAnsi="宋体" w:cs="宋体"/>
          <w:color w:val="auto"/>
          <w:sz w:val="21"/>
          <w:szCs w:val="21"/>
        </w:rPr>
        <w:t>X</w:t>
      </w:r>
    </w:p>
    <w:p w14:paraId="2127349B">
      <w:pPr>
        <w:tabs>
          <w:tab w:val="right" w:leader="hyphen" w:pos="9120"/>
        </w:tabs>
        <w:spacing w:line="500" w:lineRule="exact"/>
        <w:ind w:right="630" w:rightChars="300" w:firstLine="630" w:firstLineChars="300"/>
        <w:rPr>
          <w:rFonts w:hAnsi="宋体" w:cs="宋体"/>
          <w:color w:val="auto"/>
          <w:sz w:val="21"/>
          <w:szCs w:val="21"/>
        </w:rPr>
      </w:pPr>
      <w:r>
        <w:rPr>
          <w:rFonts w:hint="eastAsia" w:hAnsi="宋体" w:cs="宋体"/>
          <w:color w:val="auto"/>
          <w:sz w:val="21"/>
          <w:szCs w:val="21"/>
        </w:rPr>
        <w:t>一、</w:t>
      </w:r>
      <w:r>
        <w:rPr>
          <w:rFonts w:hint="eastAsia" w:hAnsi="宋体" w:cs="宋体"/>
          <w:color w:val="auto"/>
          <w:sz w:val="21"/>
          <w:szCs w:val="21"/>
          <w:lang w:eastAsia="zh-CN"/>
        </w:rPr>
        <w:t>商务</w:t>
      </w:r>
      <w:r>
        <w:rPr>
          <w:rFonts w:hint="eastAsia" w:hAnsi="宋体" w:cs="宋体"/>
          <w:color w:val="auto"/>
          <w:sz w:val="21"/>
          <w:szCs w:val="21"/>
        </w:rPr>
        <w:t>偏离表</w:t>
      </w:r>
      <w:r>
        <w:rPr>
          <w:rFonts w:hint="eastAsia" w:hAnsi="宋体" w:cs="宋体"/>
          <w:color w:val="auto"/>
          <w:sz w:val="21"/>
          <w:szCs w:val="21"/>
        </w:rPr>
        <w:tab/>
      </w:r>
      <w:r>
        <w:rPr>
          <w:rFonts w:hint="eastAsia" w:hAnsi="宋体" w:cs="宋体"/>
          <w:color w:val="auto"/>
          <w:sz w:val="21"/>
          <w:szCs w:val="21"/>
        </w:rPr>
        <w:t>X</w:t>
      </w:r>
    </w:p>
    <w:p w14:paraId="210F9482">
      <w:pPr>
        <w:tabs>
          <w:tab w:val="right" w:leader="hyphen" w:pos="9120"/>
        </w:tabs>
        <w:spacing w:line="500" w:lineRule="exact"/>
        <w:ind w:right="630" w:rightChars="300" w:firstLine="630" w:firstLineChars="300"/>
        <w:rPr>
          <w:rFonts w:hAnsi="宋体" w:cs="宋体"/>
          <w:color w:val="auto"/>
          <w:sz w:val="21"/>
          <w:szCs w:val="21"/>
        </w:rPr>
      </w:pPr>
      <w:r>
        <w:rPr>
          <w:rFonts w:hint="eastAsia" w:hAnsi="宋体" w:cs="宋体"/>
          <w:color w:val="auto"/>
          <w:sz w:val="21"/>
          <w:szCs w:val="21"/>
        </w:rPr>
        <w:t>二、合同基本条款及格式响应</w:t>
      </w:r>
      <w:r>
        <w:rPr>
          <w:rFonts w:hint="eastAsia" w:hAnsi="宋体" w:cs="宋体"/>
          <w:color w:val="auto"/>
          <w:sz w:val="21"/>
          <w:szCs w:val="21"/>
        </w:rPr>
        <w:tab/>
      </w:r>
      <w:r>
        <w:rPr>
          <w:rFonts w:hint="eastAsia" w:hAnsi="宋体" w:cs="宋体"/>
          <w:color w:val="auto"/>
          <w:sz w:val="21"/>
          <w:szCs w:val="21"/>
        </w:rPr>
        <w:t>X</w:t>
      </w:r>
    </w:p>
    <w:p w14:paraId="29ED2451">
      <w:pPr>
        <w:tabs>
          <w:tab w:val="right" w:leader="hyphen" w:pos="9120"/>
        </w:tabs>
        <w:spacing w:line="500" w:lineRule="exact"/>
        <w:ind w:right="630" w:rightChars="300" w:firstLine="630" w:firstLineChars="300"/>
        <w:rPr>
          <w:rFonts w:hAnsi="宋体" w:cs="宋体"/>
          <w:color w:val="auto"/>
          <w:sz w:val="21"/>
          <w:szCs w:val="21"/>
        </w:rPr>
      </w:pPr>
      <w:r>
        <w:rPr>
          <w:rFonts w:hint="eastAsia" w:hAnsi="宋体" w:cs="宋体"/>
          <w:color w:val="auto"/>
          <w:sz w:val="21"/>
          <w:szCs w:val="21"/>
        </w:rPr>
        <w:t>三、投标方案</w:t>
      </w:r>
      <w:r>
        <w:rPr>
          <w:rFonts w:hint="eastAsia" w:hAnsi="宋体" w:cs="宋体"/>
          <w:color w:val="auto"/>
          <w:sz w:val="21"/>
          <w:szCs w:val="21"/>
        </w:rPr>
        <w:tab/>
      </w:r>
      <w:r>
        <w:rPr>
          <w:rFonts w:hint="eastAsia" w:hAnsi="宋体" w:cs="宋体"/>
          <w:color w:val="auto"/>
          <w:sz w:val="21"/>
          <w:szCs w:val="21"/>
        </w:rPr>
        <w:t>X</w:t>
      </w:r>
    </w:p>
    <w:p w14:paraId="185EE982">
      <w:pPr>
        <w:tabs>
          <w:tab w:val="right" w:leader="hyphen" w:pos="9120"/>
        </w:tabs>
        <w:spacing w:line="500" w:lineRule="exact"/>
        <w:ind w:right="630" w:rightChars="300" w:firstLine="630" w:firstLineChars="300"/>
        <w:rPr>
          <w:rFonts w:hAnsi="宋体" w:cs="宋体"/>
          <w:color w:val="auto"/>
          <w:sz w:val="21"/>
          <w:szCs w:val="21"/>
        </w:rPr>
      </w:pPr>
      <w:r>
        <w:rPr>
          <w:rFonts w:hint="eastAsia" w:hAnsi="宋体" w:cs="宋体"/>
          <w:color w:val="auto"/>
          <w:sz w:val="21"/>
          <w:szCs w:val="21"/>
        </w:rPr>
        <w:t>四、同类业绩统计样表（仅供参考）</w:t>
      </w:r>
      <w:r>
        <w:rPr>
          <w:rFonts w:hint="eastAsia" w:hAnsi="宋体" w:cs="宋体"/>
          <w:color w:val="auto"/>
          <w:sz w:val="21"/>
          <w:szCs w:val="21"/>
        </w:rPr>
        <w:tab/>
      </w:r>
      <w:r>
        <w:rPr>
          <w:rFonts w:hint="eastAsia" w:hAnsi="宋体" w:cs="宋体"/>
          <w:color w:val="auto"/>
          <w:sz w:val="21"/>
          <w:szCs w:val="21"/>
        </w:rPr>
        <w:t>X</w:t>
      </w:r>
    </w:p>
    <w:p w14:paraId="64F704DE">
      <w:pPr>
        <w:tabs>
          <w:tab w:val="right" w:leader="hyphen" w:pos="9120"/>
        </w:tabs>
        <w:spacing w:line="500" w:lineRule="exact"/>
        <w:ind w:right="630" w:rightChars="300" w:firstLine="630" w:firstLineChars="300"/>
        <w:rPr>
          <w:rFonts w:hAnsi="宋体" w:cs="宋体"/>
          <w:color w:val="auto"/>
          <w:sz w:val="21"/>
          <w:szCs w:val="21"/>
        </w:rPr>
      </w:pPr>
      <w:r>
        <w:rPr>
          <w:rFonts w:hint="eastAsia" w:hAnsi="宋体" w:cs="宋体"/>
          <w:color w:val="auto"/>
          <w:sz w:val="21"/>
          <w:szCs w:val="21"/>
        </w:rPr>
        <w:t>五、投标人认为有利于成交的其他情况说明</w:t>
      </w:r>
      <w:r>
        <w:rPr>
          <w:rFonts w:hint="eastAsia" w:hAnsi="宋体" w:cs="宋体"/>
          <w:color w:val="auto"/>
          <w:sz w:val="21"/>
          <w:szCs w:val="21"/>
        </w:rPr>
        <w:tab/>
      </w:r>
      <w:r>
        <w:rPr>
          <w:rFonts w:hint="eastAsia" w:hAnsi="宋体" w:cs="宋体"/>
          <w:color w:val="auto"/>
          <w:sz w:val="21"/>
          <w:szCs w:val="21"/>
        </w:rPr>
        <w:t>X</w:t>
      </w:r>
    </w:p>
    <w:p w14:paraId="0FA7101B">
      <w:pPr>
        <w:rPr>
          <w:rFonts w:hAnsi="宋体" w:cs="宋体"/>
          <w:b/>
          <w:bCs/>
          <w:color w:val="auto"/>
          <w:sz w:val="21"/>
          <w:szCs w:val="21"/>
        </w:rPr>
      </w:pPr>
      <w:bookmarkStart w:id="168" w:name="_Toc22764"/>
      <w:bookmarkStart w:id="169" w:name="_Toc29110"/>
      <w:bookmarkStart w:id="170" w:name="_Toc9369"/>
      <w:bookmarkStart w:id="171" w:name="_Toc17094"/>
      <w:bookmarkStart w:id="172" w:name="_Toc5071"/>
      <w:bookmarkStart w:id="173" w:name="_Toc7762"/>
    </w:p>
    <w:p w14:paraId="6F62869A">
      <w:pPr>
        <w:pStyle w:val="29"/>
        <w:rPr>
          <w:rFonts w:hAnsi="宋体" w:cs="宋体"/>
          <w:b/>
          <w:bCs/>
          <w:color w:val="auto"/>
          <w:sz w:val="21"/>
          <w:szCs w:val="21"/>
        </w:rPr>
      </w:pPr>
    </w:p>
    <w:p w14:paraId="42554840">
      <w:pPr>
        <w:pStyle w:val="29"/>
        <w:rPr>
          <w:rFonts w:hAnsi="宋体" w:cs="宋体"/>
          <w:b/>
          <w:bCs/>
          <w:color w:val="auto"/>
          <w:sz w:val="21"/>
          <w:szCs w:val="21"/>
        </w:rPr>
      </w:pPr>
    </w:p>
    <w:bookmarkEnd w:id="167"/>
    <w:p w14:paraId="67526D1F">
      <w:pPr>
        <w:pStyle w:val="29"/>
        <w:rPr>
          <w:rFonts w:hAnsi="宋体" w:cs="宋体"/>
          <w:b/>
          <w:bCs/>
          <w:color w:val="auto"/>
          <w:sz w:val="21"/>
          <w:szCs w:val="21"/>
        </w:rPr>
      </w:pPr>
    </w:p>
    <w:p w14:paraId="45F30426">
      <w:pPr>
        <w:pStyle w:val="29"/>
        <w:rPr>
          <w:rFonts w:hAnsi="宋体" w:cs="宋体"/>
          <w:b/>
          <w:bCs/>
          <w:color w:val="auto"/>
          <w:sz w:val="21"/>
          <w:szCs w:val="21"/>
        </w:rPr>
      </w:pPr>
    </w:p>
    <w:p w14:paraId="64C982BD">
      <w:pPr>
        <w:pStyle w:val="29"/>
        <w:rPr>
          <w:rFonts w:hAnsi="宋体" w:cs="宋体"/>
          <w:b/>
          <w:bCs/>
          <w:color w:val="auto"/>
          <w:sz w:val="21"/>
          <w:szCs w:val="21"/>
        </w:rPr>
      </w:pPr>
    </w:p>
    <w:p w14:paraId="0E3EF2E9">
      <w:pPr>
        <w:pStyle w:val="29"/>
        <w:rPr>
          <w:rFonts w:hAnsi="宋体" w:cs="宋体"/>
          <w:b/>
          <w:bCs/>
          <w:color w:val="auto"/>
          <w:sz w:val="21"/>
          <w:szCs w:val="21"/>
        </w:rPr>
      </w:pPr>
    </w:p>
    <w:p w14:paraId="2FCB7B19">
      <w:pPr>
        <w:pStyle w:val="29"/>
        <w:rPr>
          <w:rFonts w:hAnsi="宋体" w:cs="宋体"/>
          <w:b/>
          <w:bCs/>
          <w:color w:val="auto"/>
          <w:sz w:val="21"/>
          <w:szCs w:val="21"/>
        </w:rPr>
      </w:pPr>
    </w:p>
    <w:p w14:paraId="05C21E4A">
      <w:pPr>
        <w:pStyle w:val="29"/>
        <w:rPr>
          <w:rFonts w:hAnsi="宋体" w:cs="宋体"/>
          <w:b/>
          <w:bCs/>
          <w:color w:val="auto"/>
          <w:sz w:val="21"/>
          <w:szCs w:val="21"/>
        </w:rPr>
      </w:pPr>
    </w:p>
    <w:p w14:paraId="5A1284D6">
      <w:pPr>
        <w:pStyle w:val="29"/>
        <w:rPr>
          <w:rFonts w:hAnsi="宋体" w:cs="宋体"/>
          <w:b/>
          <w:bCs/>
          <w:color w:val="auto"/>
          <w:sz w:val="21"/>
          <w:szCs w:val="21"/>
        </w:rPr>
      </w:pPr>
    </w:p>
    <w:p w14:paraId="3AC900F3">
      <w:pPr>
        <w:pStyle w:val="29"/>
        <w:rPr>
          <w:rFonts w:hAnsi="宋体" w:cs="宋体"/>
          <w:b/>
          <w:bCs/>
          <w:color w:val="auto"/>
          <w:sz w:val="21"/>
          <w:szCs w:val="21"/>
        </w:rPr>
      </w:pPr>
    </w:p>
    <w:p w14:paraId="5FFBD557">
      <w:pPr>
        <w:pStyle w:val="29"/>
        <w:rPr>
          <w:rFonts w:hAnsi="宋体" w:cs="宋体"/>
          <w:b/>
          <w:bCs/>
          <w:color w:val="auto"/>
          <w:sz w:val="21"/>
          <w:szCs w:val="21"/>
        </w:rPr>
      </w:pPr>
    </w:p>
    <w:p w14:paraId="7A1A7366">
      <w:pPr>
        <w:pStyle w:val="29"/>
        <w:rPr>
          <w:rFonts w:hAnsi="宋体" w:cs="宋体"/>
          <w:b/>
          <w:bCs/>
          <w:color w:val="auto"/>
          <w:sz w:val="21"/>
          <w:szCs w:val="21"/>
        </w:rPr>
      </w:pPr>
    </w:p>
    <w:p w14:paraId="2E3CD27A">
      <w:pPr>
        <w:jc w:val="center"/>
        <w:rPr>
          <w:rFonts w:hAnsi="宋体" w:cs="宋体"/>
          <w:b/>
          <w:bCs/>
          <w:color w:val="auto"/>
          <w:sz w:val="21"/>
          <w:szCs w:val="21"/>
        </w:rPr>
      </w:pPr>
      <w:bookmarkStart w:id="174" w:name="OLE_LINK45"/>
      <w:r>
        <w:rPr>
          <w:rFonts w:hint="eastAsia" w:hAnsi="宋体" w:cs="宋体"/>
          <w:b/>
          <w:bCs/>
          <w:color w:val="auto"/>
          <w:sz w:val="32"/>
          <w:szCs w:val="32"/>
        </w:rPr>
        <w:t xml:space="preserve">第一部分 </w:t>
      </w:r>
      <w:bookmarkEnd w:id="168"/>
      <w:bookmarkEnd w:id="169"/>
      <w:bookmarkEnd w:id="170"/>
      <w:bookmarkEnd w:id="171"/>
      <w:bookmarkEnd w:id="172"/>
      <w:bookmarkEnd w:id="173"/>
      <w:r>
        <w:rPr>
          <w:rFonts w:hint="eastAsia" w:hAnsi="宋体" w:cs="宋体"/>
          <w:b/>
          <w:bCs/>
          <w:color w:val="auto"/>
          <w:sz w:val="32"/>
          <w:szCs w:val="32"/>
        </w:rPr>
        <w:t>投标函</w:t>
      </w:r>
      <w:bookmarkStart w:id="175" w:name="_Toc48834119"/>
      <w:bookmarkStart w:id="176" w:name="_Toc4366"/>
      <w:bookmarkStart w:id="177" w:name="_Toc48834189"/>
      <w:bookmarkStart w:id="178" w:name="_Toc20063"/>
      <w:bookmarkStart w:id="179" w:name="_Toc48834316"/>
      <w:bookmarkStart w:id="180" w:name="_Toc4834"/>
      <w:bookmarkStart w:id="181" w:name="_Toc1167"/>
      <w:bookmarkStart w:id="182" w:name="_Toc17687"/>
      <w:bookmarkStart w:id="183" w:name="_Toc23035"/>
    </w:p>
    <w:bookmarkEnd w:id="175"/>
    <w:bookmarkEnd w:id="176"/>
    <w:bookmarkEnd w:id="177"/>
    <w:bookmarkEnd w:id="178"/>
    <w:bookmarkEnd w:id="179"/>
    <w:bookmarkEnd w:id="180"/>
    <w:bookmarkEnd w:id="181"/>
    <w:bookmarkEnd w:id="182"/>
    <w:bookmarkEnd w:id="183"/>
    <w:p w14:paraId="050BD9DA">
      <w:pPr>
        <w:pStyle w:val="33"/>
        <w:spacing w:line="500" w:lineRule="exact"/>
        <w:ind w:firstLine="0" w:firstLineChars="0"/>
        <w:rPr>
          <w:rFonts w:hAnsi="宋体" w:cs="宋体"/>
          <w:color w:val="auto"/>
          <w:sz w:val="24"/>
          <w:szCs w:val="24"/>
          <w:highlight w:val="none"/>
          <w:lang w:val="zh-CN"/>
        </w:rPr>
      </w:pPr>
      <w:r>
        <w:rPr>
          <w:rFonts w:hint="eastAsia" w:hAnsi="宋体" w:cs="宋体"/>
          <w:color w:val="auto"/>
          <w:sz w:val="24"/>
          <w:szCs w:val="24"/>
          <w:highlight w:val="none"/>
          <w:lang w:val="en-US" w:eastAsia="zh-CN"/>
        </w:rPr>
        <w:t>致</w:t>
      </w:r>
      <w:r>
        <w:rPr>
          <w:rFonts w:hint="eastAsia" w:hAnsi="宋体" w:cs="宋体"/>
          <w:color w:val="auto"/>
          <w:sz w:val="24"/>
          <w:szCs w:val="24"/>
          <w:highlight w:val="none"/>
          <w:u w:val="single"/>
          <w:lang w:val="en-US" w:eastAsia="zh-CN"/>
        </w:rPr>
        <w:t xml:space="preserve">               </w:t>
      </w:r>
      <w:r>
        <w:rPr>
          <w:rFonts w:hint="eastAsia" w:hAnsi="宋体" w:cs="宋体"/>
          <w:color w:val="auto"/>
          <w:sz w:val="24"/>
          <w:szCs w:val="24"/>
          <w:highlight w:val="none"/>
          <w:lang w:val="en-US" w:eastAsia="zh-CN"/>
        </w:rPr>
        <w:t>（代理机构、采购人）</w:t>
      </w:r>
      <w:r>
        <w:rPr>
          <w:rFonts w:hint="eastAsia" w:hAnsi="宋体" w:cs="宋体"/>
          <w:color w:val="auto"/>
          <w:sz w:val="24"/>
          <w:szCs w:val="24"/>
          <w:highlight w:val="none"/>
          <w:lang w:val="zh-CN"/>
        </w:rPr>
        <w:t>：</w:t>
      </w:r>
    </w:p>
    <w:p w14:paraId="0B486E85">
      <w:pPr>
        <w:spacing w:line="500" w:lineRule="exact"/>
        <w:ind w:right="11" w:firstLine="480" w:firstLineChars="200"/>
        <w:rPr>
          <w:rFonts w:hAnsi="宋体" w:cs="宋体"/>
          <w:color w:val="auto"/>
          <w:sz w:val="24"/>
          <w:szCs w:val="24"/>
        </w:rPr>
      </w:pPr>
      <w:r>
        <w:rPr>
          <w:rFonts w:hint="eastAsia" w:hAnsi="宋体" w:cs="宋体"/>
          <w:color w:val="auto"/>
          <w:sz w:val="24"/>
          <w:szCs w:val="24"/>
          <w:highlight w:val="none"/>
        </w:rPr>
        <w:t>我方收到贵公司发布的</w:t>
      </w:r>
      <w:r>
        <w:rPr>
          <w:rFonts w:hint="eastAsia" w:hAnsi="宋体" w:cs="宋体"/>
          <w:color w:val="auto"/>
          <w:sz w:val="24"/>
          <w:szCs w:val="24"/>
          <w:highlight w:val="none"/>
          <w:u w:val="single"/>
          <w:lang w:val="en-US" w:eastAsia="zh-CN"/>
        </w:rPr>
        <w:t xml:space="preserve">                </w:t>
      </w:r>
      <w:r>
        <w:rPr>
          <w:rFonts w:hint="eastAsia" w:hAnsi="宋体" w:cs="宋体"/>
          <w:color w:val="auto"/>
          <w:sz w:val="24"/>
          <w:szCs w:val="24"/>
          <w:highlight w:val="none"/>
        </w:rPr>
        <w:t>（</w:t>
      </w:r>
      <w:r>
        <w:rPr>
          <w:rFonts w:hint="eastAsia" w:hAnsi="宋体" w:cs="宋体"/>
          <w:color w:val="auto"/>
          <w:sz w:val="24"/>
          <w:szCs w:val="24"/>
          <w:highlight w:val="none"/>
          <w:u w:val="none"/>
        </w:rPr>
        <w:t>项目编号</w:t>
      </w:r>
      <w:r>
        <w:rPr>
          <w:rFonts w:hint="eastAsia" w:hAnsi="宋体" w:cs="宋体"/>
          <w:color w:val="auto"/>
          <w:sz w:val="24"/>
          <w:szCs w:val="24"/>
          <w:highlight w:val="none"/>
        </w:rPr>
        <w:t>）招标文件，</w:t>
      </w:r>
      <w:r>
        <w:rPr>
          <w:rFonts w:hint="eastAsia" w:hAnsi="宋体" w:cs="宋体"/>
          <w:color w:val="auto"/>
          <w:sz w:val="24"/>
          <w:szCs w:val="24"/>
        </w:rPr>
        <w:t>经详细研究，我方决定参加该项目招标活动。为此，我方郑重声明以下诸点，并负法律责任。</w:t>
      </w:r>
    </w:p>
    <w:p w14:paraId="6EF887F8">
      <w:pPr>
        <w:pStyle w:val="33"/>
        <w:spacing w:line="500" w:lineRule="exact"/>
        <w:ind w:firstLine="420"/>
        <w:rPr>
          <w:rFonts w:hAnsi="宋体" w:cs="宋体"/>
          <w:color w:val="auto"/>
          <w:sz w:val="24"/>
          <w:szCs w:val="24"/>
        </w:rPr>
      </w:pPr>
      <w:r>
        <w:rPr>
          <w:rFonts w:hint="eastAsia" w:hAnsi="宋体" w:cs="宋体"/>
          <w:color w:val="auto"/>
          <w:sz w:val="24"/>
          <w:szCs w:val="24"/>
        </w:rPr>
        <w:t>一、我方已详细阅读了</w:t>
      </w:r>
      <w:r>
        <w:rPr>
          <w:rFonts w:hint="eastAsia" w:hAnsi="宋体" w:cs="宋体"/>
          <w:color w:val="auto"/>
          <w:sz w:val="24"/>
          <w:szCs w:val="24"/>
          <w:lang w:eastAsia="zh-CN"/>
        </w:rPr>
        <w:t>采购文件</w:t>
      </w:r>
      <w:r>
        <w:rPr>
          <w:rFonts w:hint="eastAsia" w:hAnsi="宋体" w:cs="宋体"/>
          <w:color w:val="auto"/>
          <w:sz w:val="24"/>
          <w:szCs w:val="24"/>
        </w:rPr>
        <w:t>，完全理解并同意</w:t>
      </w:r>
      <w:r>
        <w:rPr>
          <w:rFonts w:hint="eastAsia" w:hAnsi="宋体" w:cs="宋体"/>
          <w:color w:val="auto"/>
          <w:sz w:val="24"/>
          <w:szCs w:val="24"/>
          <w:lang w:eastAsia="zh-CN"/>
        </w:rPr>
        <w:t>采购</w:t>
      </w:r>
      <w:r>
        <w:rPr>
          <w:rFonts w:hint="eastAsia" w:hAnsi="宋体" w:cs="宋体"/>
          <w:color w:val="auto"/>
          <w:sz w:val="24"/>
          <w:szCs w:val="24"/>
        </w:rPr>
        <w:t>文件的所有事项及内容。</w:t>
      </w:r>
    </w:p>
    <w:p w14:paraId="772C8785">
      <w:pPr>
        <w:pStyle w:val="33"/>
        <w:spacing w:line="500" w:lineRule="exact"/>
        <w:ind w:firstLine="420"/>
        <w:rPr>
          <w:rFonts w:hAnsi="宋体" w:cs="宋体"/>
          <w:color w:val="auto"/>
          <w:sz w:val="24"/>
          <w:szCs w:val="24"/>
        </w:rPr>
      </w:pPr>
      <w:r>
        <w:rPr>
          <w:rFonts w:hint="eastAsia" w:hAnsi="宋体" w:cs="宋体"/>
          <w:color w:val="auto"/>
          <w:sz w:val="24"/>
          <w:szCs w:val="24"/>
        </w:rPr>
        <w:t>二、我方已悉知并关注了贵方在政府采购信息发布媒体上发布的关于本项目的有关变更公告（包括但不限于对招标文件做出的修改或澄清、答疑纪要，以及项目暂停、重启、延期、终止等）。</w:t>
      </w:r>
    </w:p>
    <w:p w14:paraId="1D545268">
      <w:pPr>
        <w:pStyle w:val="33"/>
        <w:spacing w:line="500" w:lineRule="exact"/>
        <w:ind w:firstLine="420"/>
        <w:rPr>
          <w:rFonts w:hAnsi="宋体" w:cs="宋体"/>
          <w:color w:val="auto"/>
          <w:sz w:val="24"/>
          <w:szCs w:val="24"/>
        </w:rPr>
      </w:pPr>
      <w:r>
        <w:rPr>
          <w:rFonts w:hint="eastAsia" w:hAnsi="宋体" w:cs="宋体"/>
          <w:color w:val="auto"/>
          <w:sz w:val="24"/>
          <w:szCs w:val="24"/>
        </w:rPr>
        <w:t>三、我方同意向贵方提供与本投标有关的任何证明材料，保证所提交的证明材料真实、合法、有效。我方理解</w:t>
      </w:r>
      <w:r>
        <w:rPr>
          <w:rFonts w:hint="eastAsia" w:hAnsi="宋体" w:cs="宋体"/>
          <w:b w:val="0"/>
          <w:bCs w:val="0"/>
          <w:color w:val="auto"/>
          <w:sz w:val="24"/>
          <w:szCs w:val="24"/>
        </w:rPr>
        <w:t>最低价不是</w:t>
      </w:r>
      <w:r>
        <w:rPr>
          <w:rFonts w:hint="eastAsia" w:hAnsi="宋体" w:cs="宋体"/>
          <w:color w:val="auto"/>
          <w:sz w:val="24"/>
          <w:szCs w:val="24"/>
        </w:rPr>
        <w:t>中标的唯一条件，并尊重评标委员会的评审结果。</w:t>
      </w:r>
    </w:p>
    <w:p w14:paraId="6F26862E">
      <w:pPr>
        <w:pStyle w:val="33"/>
        <w:spacing w:line="500" w:lineRule="exact"/>
        <w:ind w:firstLine="420"/>
        <w:rPr>
          <w:rFonts w:hAnsi="宋体" w:cs="宋体"/>
          <w:color w:val="auto"/>
          <w:sz w:val="24"/>
          <w:szCs w:val="24"/>
        </w:rPr>
      </w:pPr>
      <w:r>
        <w:rPr>
          <w:rFonts w:hint="eastAsia" w:hAnsi="宋体" w:cs="宋体"/>
          <w:color w:val="auto"/>
          <w:sz w:val="24"/>
          <w:szCs w:val="24"/>
        </w:rPr>
        <w:t>四、我方愿意按照招标文件中的一切要求，完成本项目合同责任和义务。</w:t>
      </w:r>
    </w:p>
    <w:p w14:paraId="4D20ADF6">
      <w:pPr>
        <w:pStyle w:val="20"/>
        <w:spacing w:beforeAutospacing="0" w:afterAutospacing="0" w:line="500" w:lineRule="exact"/>
        <w:ind w:firstLine="480" w:firstLineChars="200"/>
        <w:jc w:val="both"/>
        <w:rPr>
          <w:rFonts w:hAnsi="宋体" w:cs="宋体"/>
          <w:color w:val="auto"/>
          <w:kern w:val="2"/>
          <w:sz w:val="24"/>
          <w:szCs w:val="24"/>
        </w:rPr>
      </w:pPr>
      <w:r>
        <w:rPr>
          <w:rFonts w:hint="eastAsia" w:hAnsi="宋体" w:cs="宋体"/>
          <w:color w:val="auto"/>
          <w:kern w:val="2"/>
          <w:sz w:val="24"/>
          <w:szCs w:val="24"/>
        </w:rPr>
        <w:t>五、我方上传提交</w:t>
      </w:r>
      <w:r>
        <w:rPr>
          <w:rFonts w:hint="eastAsia" w:hAnsi="宋体" w:cs="宋体"/>
          <w:b w:val="0"/>
          <w:bCs w:val="0"/>
          <w:color w:val="auto"/>
          <w:kern w:val="2"/>
          <w:sz w:val="24"/>
          <w:szCs w:val="24"/>
        </w:rPr>
        <w:t>电子投标文件壹份。</w:t>
      </w:r>
    </w:p>
    <w:p w14:paraId="5752DE0E">
      <w:pPr>
        <w:pStyle w:val="33"/>
        <w:spacing w:line="500" w:lineRule="exact"/>
        <w:ind w:firstLine="420"/>
        <w:rPr>
          <w:rFonts w:hAnsi="宋体" w:cs="宋体"/>
          <w:color w:val="auto"/>
          <w:sz w:val="24"/>
          <w:szCs w:val="24"/>
        </w:rPr>
      </w:pPr>
      <w:r>
        <w:rPr>
          <w:rFonts w:hint="eastAsia" w:hAnsi="宋体" w:cs="宋体"/>
          <w:color w:val="auto"/>
          <w:sz w:val="24"/>
          <w:szCs w:val="24"/>
        </w:rPr>
        <w:t>六、</w:t>
      </w:r>
      <w:r>
        <w:rPr>
          <w:rFonts w:hint="eastAsia" w:hAnsi="宋体" w:cs="宋体"/>
          <w:color w:val="auto"/>
          <w:sz w:val="24"/>
          <w:szCs w:val="24"/>
          <w:lang w:val="zh-CN"/>
        </w:rPr>
        <w:t>开标后在规定的投标有效期内撤回投标，我们愿接受政府采购的有关处罚决定。</w:t>
      </w:r>
    </w:p>
    <w:p w14:paraId="5293F480">
      <w:pPr>
        <w:autoSpaceDE w:val="0"/>
        <w:autoSpaceDN w:val="0"/>
        <w:adjustRightInd w:val="0"/>
        <w:spacing w:line="500" w:lineRule="exact"/>
        <w:ind w:firstLine="480" w:firstLineChars="200"/>
        <w:rPr>
          <w:rFonts w:hAnsi="宋体" w:cs="宋体"/>
          <w:color w:val="auto"/>
          <w:sz w:val="24"/>
          <w:szCs w:val="24"/>
        </w:rPr>
      </w:pPr>
      <w:r>
        <w:rPr>
          <w:rFonts w:hint="eastAsia" w:hAnsi="宋体" w:cs="宋体"/>
          <w:color w:val="auto"/>
          <w:sz w:val="24"/>
          <w:szCs w:val="24"/>
        </w:rPr>
        <w:t>七、我方的投标文件在开标之日起</w:t>
      </w:r>
      <w:r>
        <w:rPr>
          <w:rFonts w:hint="eastAsia" w:hAnsi="宋体" w:cs="宋体"/>
          <w:color w:val="auto"/>
          <w:sz w:val="24"/>
          <w:szCs w:val="24"/>
          <w:u w:val="single"/>
          <w:lang w:val="en-US" w:eastAsia="zh-CN"/>
        </w:rPr>
        <w:t xml:space="preserve"> </w:t>
      </w:r>
      <w:r>
        <w:rPr>
          <w:rFonts w:hint="eastAsia" w:hAnsi="宋体" w:cs="宋体"/>
          <w:color w:val="auto"/>
          <w:sz w:val="24"/>
          <w:szCs w:val="24"/>
          <w:u w:val="single"/>
          <w:lang w:val="en-US" w:eastAsia="zh-CN"/>
        </w:rPr>
        <w:t xml:space="preserve"> </w:t>
      </w:r>
      <w:r>
        <w:rPr>
          <w:rFonts w:hint="eastAsia" w:hAnsi="宋体" w:cs="宋体"/>
          <w:color w:val="auto"/>
          <w:sz w:val="24"/>
          <w:szCs w:val="24"/>
        </w:rPr>
        <w:t>个日历日内有效，如中标，延长至合同执行完毕时止。</w:t>
      </w:r>
    </w:p>
    <w:p w14:paraId="1333AB6F">
      <w:pPr>
        <w:pStyle w:val="33"/>
        <w:spacing w:line="500" w:lineRule="exact"/>
        <w:ind w:firstLine="420"/>
        <w:rPr>
          <w:rFonts w:hint="eastAsia" w:hAnsi="宋体" w:cs="宋体"/>
          <w:color w:val="auto"/>
          <w:sz w:val="24"/>
          <w:szCs w:val="24"/>
        </w:rPr>
      </w:pPr>
      <w:r>
        <w:rPr>
          <w:rFonts w:hint="eastAsia" w:hAnsi="宋体" w:cs="宋体"/>
          <w:color w:val="auto"/>
          <w:sz w:val="24"/>
          <w:szCs w:val="24"/>
        </w:rPr>
        <w:t>八、所有关于此次招标活动的函电，请按下列地址联系：</w:t>
      </w:r>
    </w:p>
    <w:p w14:paraId="1EBAC156">
      <w:pPr>
        <w:pStyle w:val="33"/>
        <w:spacing w:line="500" w:lineRule="exact"/>
        <w:ind w:firstLine="420"/>
        <w:rPr>
          <w:rFonts w:hAnsi="宋体" w:cs="宋体"/>
          <w:color w:val="auto"/>
          <w:sz w:val="24"/>
          <w:szCs w:val="24"/>
        </w:rPr>
      </w:pPr>
      <w:r>
        <w:rPr>
          <w:rFonts w:hint="eastAsia" w:hAnsi="宋体" w:cs="宋体"/>
          <w:color w:val="auto"/>
          <w:sz w:val="24"/>
          <w:szCs w:val="24"/>
        </w:rPr>
        <w:t>投标人：</w:t>
      </w:r>
      <w:r>
        <w:rPr>
          <w:rFonts w:hint="eastAsia" w:hAnsi="宋体" w:cs="宋体"/>
          <w:color w:val="auto"/>
          <w:spacing w:val="-10"/>
          <w:sz w:val="24"/>
          <w:szCs w:val="24"/>
          <w:highlight w:val="none"/>
          <w:u w:val="single"/>
          <w:lang w:eastAsia="zh-CN"/>
        </w:rPr>
        <w:t>服务商名称</w:t>
      </w:r>
      <w:r>
        <w:rPr>
          <w:rFonts w:hint="eastAsia" w:hAnsi="宋体" w:cs="宋体"/>
          <w:color w:val="auto"/>
          <w:sz w:val="24"/>
          <w:szCs w:val="24"/>
        </w:rPr>
        <w:t>（加盖公章）</w:t>
      </w:r>
    </w:p>
    <w:p w14:paraId="3AC7FDA1">
      <w:pPr>
        <w:pStyle w:val="33"/>
        <w:spacing w:line="500" w:lineRule="exact"/>
        <w:ind w:firstLine="420"/>
        <w:rPr>
          <w:rFonts w:hAnsi="宋体" w:cs="宋体"/>
          <w:color w:val="auto"/>
          <w:sz w:val="24"/>
          <w:szCs w:val="24"/>
        </w:rPr>
      </w:pPr>
      <w:r>
        <w:rPr>
          <w:rFonts w:hint="eastAsia" w:hAnsi="宋体" w:cs="宋体"/>
          <w:color w:val="auto"/>
          <w:sz w:val="24"/>
          <w:szCs w:val="24"/>
        </w:rPr>
        <w:t>地址：</w:t>
      </w:r>
    </w:p>
    <w:p w14:paraId="234F6C6F">
      <w:pPr>
        <w:pStyle w:val="33"/>
        <w:spacing w:line="500" w:lineRule="exact"/>
        <w:ind w:firstLine="420"/>
        <w:rPr>
          <w:rFonts w:hAnsi="宋体" w:cs="宋体"/>
          <w:color w:val="auto"/>
          <w:sz w:val="24"/>
          <w:szCs w:val="24"/>
        </w:rPr>
      </w:pPr>
      <w:r>
        <w:rPr>
          <w:rFonts w:hint="eastAsia" w:hAnsi="宋体" w:cs="宋体"/>
          <w:color w:val="auto"/>
          <w:sz w:val="24"/>
          <w:szCs w:val="24"/>
        </w:rPr>
        <w:t>开户银行：</w:t>
      </w:r>
    </w:p>
    <w:p w14:paraId="69636684">
      <w:pPr>
        <w:pStyle w:val="33"/>
        <w:spacing w:line="500" w:lineRule="exact"/>
        <w:ind w:firstLine="420"/>
        <w:rPr>
          <w:rFonts w:hAnsi="宋体" w:cs="宋体"/>
          <w:color w:val="auto"/>
          <w:sz w:val="24"/>
          <w:szCs w:val="24"/>
        </w:rPr>
      </w:pPr>
      <w:r>
        <w:rPr>
          <w:rFonts w:hint="eastAsia" w:hAnsi="宋体" w:cs="宋体"/>
          <w:color w:val="auto"/>
          <w:sz w:val="24"/>
          <w:szCs w:val="24"/>
        </w:rPr>
        <w:t>账号：</w:t>
      </w:r>
    </w:p>
    <w:p w14:paraId="24184F26">
      <w:pPr>
        <w:pStyle w:val="33"/>
        <w:spacing w:line="500" w:lineRule="exact"/>
        <w:ind w:firstLine="420"/>
        <w:rPr>
          <w:rFonts w:hAnsi="宋体" w:cs="宋体"/>
          <w:color w:val="auto"/>
          <w:sz w:val="24"/>
          <w:szCs w:val="24"/>
        </w:rPr>
      </w:pPr>
      <w:r>
        <w:rPr>
          <w:rFonts w:hint="eastAsia" w:hAnsi="宋体" w:cs="宋体"/>
          <w:color w:val="auto"/>
          <w:sz w:val="24"/>
          <w:szCs w:val="24"/>
        </w:rPr>
        <w:t>电话：</w:t>
      </w:r>
    </w:p>
    <w:p w14:paraId="26853032">
      <w:pPr>
        <w:pStyle w:val="33"/>
        <w:spacing w:line="500" w:lineRule="exact"/>
        <w:ind w:firstLine="420"/>
        <w:rPr>
          <w:rFonts w:hAnsi="宋体" w:cs="宋体"/>
          <w:color w:val="auto"/>
          <w:sz w:val="24"/>
          <w:szCs w:val="24"/>
        </w:rPr>
      </w:pPr>
      <w:r>
        <w:rPr>
          <w:rFonts w:hint="eastAsia" w:hAnsi="宋体" w:cs="宋体"/>
          <w:color w:val="auto"/>
          <w:sz w:val="24"/>
          <w:szCs w:val="24"/>
        </w:rPr>
        <w:t>传真：</w:t>
      </w:r>
    </w:p>
    <w:p w14:paraId="1BE4C7FD">
      <w:pPr>
        <w:pStyle w:val="33"/>
        <w:spacing w:line="500" w:lineRule="exact"/>
        <w:ind w:firstLine="420"/>
        <w:rPr>
          <w:rFonts w:hAnsi="宋体" w:cs="宋体"/>
          <w:color w:val="auto"/>
          <w:sz w:val="24"/>
          <w:szCs w:val="24"/>
        </w:rPr>
      </w:pPr>
      <w:r>
        <w:rPr>
          <w:rFonts w:hint="eastAsia" w:hAnsi="宋体" w:cs="宋体"/>
          <w:color w:val="auto"/>
          <w:sz w:val="24"/>
          <w:szCs w:val="24"/>
        </w:rPr>
        <w:t>邮编：</w:t>
      </w:r>
    </w:p>
    <w:p w14:paraId="208A3B02">
      <w:pPr>
        <w:pStyle w:val="33"/>
        <w:spacing w:line="500" w:lineRule="exact"/>
        <w:ind w:firstLine="420"/>
        <w:rPr>
          <w:rFonts w:hAnsi="宋体" w:cs="宋体"/>
          <w:color w:val="auto"/>
          <w:sz w:val="24"/>
          <w:szCs w:val="24"/>
        </w:rPr>
      </w:pPr>
      <w:r>
        <w:rPr>
          <w:rFonts w:hint="eastAsia" w:hAnsi="宋体" w:cs="宋体"/>
          <w:color w:val="auto"/>
          <w:sz w:val="24"/>
          <w:szCs w:val="24"/>
        </w:rPr>
        <w:t xml:space="preserve">电子邮箱：        </w:t>
      </w:r>
    </w:p>
    <w:p w14:paraId="3243F3C2">
      <w:pPr>
        <w:pStyle w:val="33"/>
        <w:spacing w:line="500" w:lineRule="exact"/>
        <w:ind w:firstLine="420"/>
        <w:rPr>
          <w:rFonts w:ascii="宋体" w:hAnsi="宋体" w:cs="宋体"/>
          <w:color w:val="auto"/>
          <w:szCs w:val="21"/>
        </w:rPr>
      </w:pPr>
      <w:r>
        <w:rPr>
          <w:rFonts w:hint="eastAsia" w:hAnsi="宋体" w:cs="宋体"/>
          <w:color w:val="auto"/>
          <w:sz w:val="24"/>
          <w:szCs w:val="24"/>
        </w:rPr>
        <w:t>日期：　　年　月　日</w:t>
      </w:r>
    </w:p>
    <w:p w14:paraId="43E0338D">
      <w:pPr>
        <w:pStyle w:val="9"/>
        <w:ind w:firstLine="480" w:firstLineChars="200"/>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注：1.除可填报项目外，对本投标函的任何实质性内容修改将被视为非实质性响应，在评审时将视其为无效投标。</w:t>
      </w:r>
    </w:p>
    <w:p w14:paraId="279DB6EB">
      <w:pPr>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br w:type="page"/>
      </w:r>
    </w:p>
    <w:bookmarkEnd w:id="174"/>
    <w:p w14:paraId="2799BCCE">
      <w:pPr>
        <w:pStyle w:val="9"/>
        <w:ind w:firstLine="420" w:firstLineChars="200"/>
        <w:rPr>
          <w:color w:val="auto"/>
        </w:rPr>
      </w:pPr>
    </w:p>
    <w:p w14:paraId="718319C1">
      <w:pPr>
        <w:jc w:val="center"/>
        <w:rPr>
          <w:b/>
          <w:bCs/>
          <w:color w:val="auto"/>
          <w:sz w:val="21"/>
          <w:szCs w:val="16"/>
        </w:rPr>
      </w:pPr>
      <w:r>
        <w:rPr>
          <w:rFonts w:hint="eastAsia"/>
          <w:b/>
          <w:bCs/>
          <w:color w:val="auto"/>
          <w:sz w:val="32"/>
          <w:szCs w:val="32"/>
        </w:rPr>
        <w:t>第二部分 开标一览表</w:t>
      </w:r>
    </w:p>
    <w:p w14:paraId="160A2D57">
      <w:pPr>
        <w:spacing w:line="288" w:lineRule="auto"/>
        <w:jc w:val="left"/>
        <w:rPr>
          <w:rFonts w:hAnsi="宋体" w:cs="宋体"/>
          <w:b/>
          <w:color w:val="auto"/>
          <w:sz w:val="24"/>
          <w:szCs w:val="24"/>
        </w:rPr>
      </w:pPr>
      <w:r>
        <w:rPr>
          <w:rFonts w:hint="eastAsia" w:hAnsi="宋体" w:cs="宋体"/>
          <w:b/>
          <w:color w:val="auto"/>
          <w:sz w:val="28"/>
          <w:szCs w:val="28"/>
        </w:rPr>
        <w:t>一、开标一览表</w:t>
      </w:r>
    </w:p>
    <w:p w14:paraId="36C60528">
      <w:pPr>
        <w:spacing w:line="288" w:lineRule="auto"/>
        <w:ind w:firstLine="480" w:firstLineChars="200"/>
        <w:rPr>
          <w:rFonts w:hint="eastAsia" w:hAnsi="宋体" w:eastAsia="宋体" w:cs="宋体"/>
          <w:color w:val="auto"/>
          <w:sz w:val="24"/>
          <w:szCs w:val="24"/>
          <w:lang w:eastAsia="zh-CN"/>
        </w:rPr>
      </w:pPr>
      <w:r>
        <w:rPr>
          <w:rFonts w:hint="eastAsia" w:hAnsi="宋体" w:cs="宋体"/>
          <w:color w:val="auto"/>
          <w:sz w:val="24"/>
          <w:szCs w:val="24"/>
        </w:rPr>
        <w:t>项目名称：</w:t>
      </w:r>
    </w:p>
    <w:p w14:paraId="1A080C02">
      <w:pPr>
        <w:spacing w:line="288" w:lineRule="auto"/>
        <w:ind w:firstLine="480" w:firstLineChars="200"/>
        <w:rPr>
          <w:rFonts w:hint="eastAsia"/>
          <w:color w:val="auto"/>
        </w:rPr>
      </w:pPr>
      <w:r>
        <w:rPr>
          <w:rFonts w:hint="eastAsia" w:hAnsi="宋体" w:cs="宋体"/>
          <w:color w:val="auto"/>
          <w:sz w:val="24"/>
          <w:szCs w:val="24"/>
        </w:rPr>
        <w:t>项目编号：</w:t>
      </w:r>
    </w:p>
    <w:tbl>
      <w:tblPr>
        <w:tblStyle w:val="24"/>
        <w:tblW w:w="10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612"/>
        <w:gridCol w:w="3802"/>
        <w:gridCol w:w="1702"/>
        <w:gridCol w:w="1702"/>
        <w:gridCol w:w="1702"/>
      </w:tblGrid>
      <w:tr w14:paraId="70D18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06" w:hRule="atLeast"/>
          <w:jc w:val="center"/>
        </w:trPr>
        <w:tc>
          <w:tcPr>
            <w:tcW w:w="1612" w:type="dxa"/>
            <w:vMerge w:val="restart"/>
            <w:noWrap w:val="0"/>
            <w:vAlign w:val="center"/>
          </w:tcPr>
          <w:p w14:paraId="5E811356">
            <w:pPr>
              <w:keepNext w:val="0"/>
              <w:keepLines w:val="0"/>
              <w:pageBreakBefore w:val="0"/>
              <w:widowControl w:val="0"/>
              <w:kinsoku/>
              <w:wordWrap/>
              <w:overflowPunct/>
              <w:topLinePunct w:val="0"/>
              <w:autoSpaceDE/>
              <w:autoSpaceDN/>
              <w:bidi w:val="0"/>
              <w:adjustRightInd/>
              <w:snapToGrid/>
              <w:spacing w:line="288" w:lineRule="auto"/>
              <w:ind w:firstLine="0" w:firstLineChars="0"/>
              <w:textAlignment w:val="auto"/>
              <w:rPr>
                <w:rFonts w:hint="default" w:hAnsi="宋体" w:cs="宋体"/>
                <w:color w:val="auto"/>
                <w:sz w:val="24"/>
                <w:szCs w:val="24"/>
              </w:rPr>
            </w:pPr>
            <w:r>
              <w:rPr>
                <w:rFonts w:hint="eastAsia" w:hAnsi="宋体" w:cs="宋体"/>
                <w:color w:val="auto"/>
                <w:sz w:val="21"/>
                <w:szCs w:val="21"/>
              </w:rPr>
              <w:t xml:space="preserve"> </w:t>
            </w:r>
            <w:r>
              <w:rPr>
                <w:rFonts w:hint="eastAsia" w:hAnsi="宋体" w:cs="宋体"/>
                <w:color w:val="auto"/>
                <w:sz w:val="24"/>
                <w:szCs w:val="24"/>
              </w:rPr>
              <w:t>投标报价（元）</w:t>
            </w:r>
          </w:p>
        </w:tc>
        <w:tc>
          <w:tcPr>
            <w:tcW w:w="3802" w:type="dxa"/>
            <w:noWrap w:val="0"/>
            <w:vAlign w:val="center"/>
          </w:tcPr>
          <w:p w14:paraId="01CD61D9">
            <w:pPr>
              <w:keepNext w:val="0"/>
              <w:keepLines w:val="0"/>
              <w:suppressLineNumbers w:val="0"/>
              <w:autoSpaceDE w:val="0"/>
              <w:autoSpaceDN w:val="0"/>
              <w:spacing w:before="0" w:beforeAutospacing="0" w:after="0" w:afterAutospacing="0" w:line="360" w:lineRule="auto"/>
              <w:ind w:left="0" w:right="0"/>
              <w:jc w:val="center"/>
              <w:rPr>
                <w:rFonts w:hint="default" w:hAnsi="宋体" w:cs="宋体"/>
                <w:color w:val="auto"/>
                <w:sz w:val="24"/>
                <w:szCs w:val="24"/>
                <w:lang w:val="zh-CN"/>
              </w:rPr>
            </w:pPr>
            <w:r>
              <w:rPr>
                <w:rFonts w:hint="eastAsia" w:hAnsi="宋体" w:cs="宋体"/>
                <w:color w:val="auto"/>
                <w:sz w:val="24"/>
                <w:szCs w:val="24"/>
                <w:lang w:val="zh-CN"/>
              </w:rPr>
              <w:t>内容</w:t>
            </w:r>
          </w:p>
        </w:tc>
        <w:tc>
          <w:tcPr>
            <w:tcW w:w="1702" w:type="dxa"/>
            <w:noWrap w:val="0"/>
            <w:vAlign w:val="center"/>
          </w:tcPr>
          <w:p w14:paraId="6C2316BF">
            <w:pPr>
              <w:keepNext w:val="0"/>
              <w:keepLines w:val="0"/>
              <w:suppressLineNumbers w:val="0"/>
              <w:autoSpaceDE w:val="0"/>
              <w:autoSpaceDN w:val="0"/>
              <w:spacing w:before="0" w:beforeAutospacing="0" w:after="0" w:afterAutospacing="0" w:line="360" w:lineRule="auto"/>
              <w:ind w:left="0" w:right="0"/>
              <w:jc w:val="center"/>
              <w:rPr>
                <w:rFonts w:hint="eastAsia" w:hAnsi="宋体" w:eastAsia="宋体" w:cs="宋体"/>
                <w:color w:val="auto"/>
                <w:sz w:val="24"/>
                <w:szCs w:val="24"/>
                <w:lang w:eastAsia="zh-CN"/>
              </w:rPr>
            </w:pPr>
            <w:r>
              <w:rPr>
                <w:rFonts w:hint="eastAsia" w:hAnsi="宋体" w:cs="宋体"/>
                <w:color w:val="auto"/>
                <w:sz w:val="24"/>
                <w:szCs w:val="24"/>
                <w:lang w:eastAsia="zh-CN"/>
              </w:rPr>
              <w:t>服务期</w:t>
            </w:r>
          </w:p>
        </w:tc>
        <w:tc>
          <w:tcPr>
            <w:tcW w:w="1702" w:type="dxa"/>
            <w:noWrap w:val="0"/>
            <w:vAlign w:val="center"/>
          </w:tcPr>
          <w:p w14:paraId="4E54AB7C">
            <w:pPr>
              <w:keepNext w:val="0"/>
              <w:keepLines w:val="0"/>
              <w:suppressLineNumbers w:val="0"/>
              <w:autoSpaceDE w:val="0"/>
              <w:autoSpaceDN w:val="0"/>
              <w:spacing w:before="0" w:beforeAutospacing="0" w:after="0" w:afterAutospacing="0" w:line="360" w:lineRule="auto"/>
              <w:ind w:left="0" w:right="0"/>
              <w:jc w:val="center"/>
              <w:rPr>
                <w:rFonts w:hint="default" w:hAnsi="宋体" w:cs="宋体"/>
                <w:color w:val="auto"/>
                <w:sz w:val="24"/>
                <w:szCs w:val="24"/>
                <w:lang w:val="en-US" w:eastAsia="zh-CN"/>
              </w:rPr>
            </w:pPr>
            <w:r>
              <w:rPr>
                <w:rFonts w:hint="eastAsia" w:hAnsi="宋体" w:cs="宋体"/>
                <w:color w:val="auto"/>
                <w:sz w:val="24"/>
                <w:szCs w:val="24"/>
                <w:lang w:val="en-US" w:eastAsia="zh-CN"/>
              </w:rPr>
              <w:t>质量标准</w:t>
            </w:r>
          </w:p>
        </w:tc>
        <w:tc>
          <w:tcPr>
            <w:tcW w:w="1702" w:type="dxa"/>
            <w:noWrap w:val="0"/>
            <w:vAlign w:val="center"/>
          </w:tcPr>
          <w:p w14:paraId="0A94AC07">
            <w:pPr>
              <w:keepNext w:val="0"/>
              <w:keepLines w:val="0"/>
              <w:suppressLineNumbers w:val="0"/>
              <w:autoSpaceDE w:val="0"/>
              <w:autoSpaceDN w:val="0"/>
              <w:spacing w:before="0" w:beforeAutospacing="0" w:after="0" w:afterAutospacing="0" w:line="360" w:lineRule="auto"/>
              <w:ind w:left="0" w:right="0"/>
              <w:jc w:val="center"/>
              <w:rPr>
                <w:rFonts w:hint="default" w:hAnsi="宋体" w:cs="宋体"/>
                <w:color w:val="auto"/>
                <w:sz w:val="24"/>
                <w:szCs w:val="24"/>
              </w:rPr>
            </w:pPr>
            <w:r>
              <w:rPr>
                <w:rFonts w:hint="eastAsia" w:hAnsi="宋体" w:cs="宋体"/>
                <w:color w:val="auto"/>
                <w:sz w:val="24"/>
                <w:szCs w:val="24"/>
              </w:rPr>
              <w:t>备注</w:t>
            </w:r>
          </w:p>
        </w:tc>
      </w:tr>
      <w:tr w14:paraId="4C6C4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979" w:hRule="atLeast"/>
          <w:jc w:val="center"/>
        </w:trPr>
        <w:tc>
          <w:tcPr>
            <w:tcW w:w="1612" w:type="dxa"/>
            <w:vMerge w:val="continue"/>
            <w:noWrap w:val="0"/>
            <w:vAlign w:val="center"/>
          </w:tcPr>
          <w:p w14:paraId="6433DD89">
            <w:pPr>
              <w:pStyle w:val="7"/>
              <w:keepNext w:val="0"/>
              <w:keepLines w:val="0"/>
              <w:suppressLineNumbers w:val="0"/>
              <w:spacing w:before="0" w:beforeAutospacing="0" w:after="0" w:afterAutospacing="0" w:line="360" w:lineRule="auto"/>
              <w:ind w:left="0" w:right="0" w:firstLine="0"/>
              <w:jc w:val="center"/>
              <w:rPr>
                <w:rFonts w:hint="default" w:hAnsi="宋体" w:cs="宋体"/>
                <w:color w:val="auto"/>
                <w:sz w:val="24"/>
                <w:szCs w:val="24"/>
              </w:rPr>
            </w:pPr>
          </w:p>
        </w:tc>
        <w:tc>
          <w:tcPr>
            <w:tcW w:w="3802" w:type="dxa"/>
            <w:noWrap w:val="0"/>
            <w:vAlign w:val="center"/>
          </w:tcPr>
          <w:p w14:paraId="44A71C43">
            <w:pPr>
              <w:keepNext w:val="0"/>
              <w:keepLines w:val="0"/>
              <w:suppressLineNumbers w:val="0"/>
              <w:autoSpaceDE w:val="0"/>
              <w:autoSpaceDN w:val="0"/>
              <w:spacing w:before="0" w:beforeAutospacing="0" w:after="0" w:afterAutospacing="0" w:line="360" w:lineRule="auto"/>
              <w:ind w:left="0" w:right="0"/>
              <w:rPr>
                <w:rFonts w:hint="default" w:hAnsi="宋体" w:cs="宋体"/>
                <w:color w:val="auto"/>
                <w:sz w:val="24"/>
                <w:szCs w:val="24"/>
                <w:lang w:val="zh-CN"/>
              </w:rPr>
            </w:pPr>
            <w:r>
              <w:rPr>
                <w:rFonts w:hint="eastAsia" w:hAnsi="宋体" w:cs="宋体"/>
                <w:color w:val="auto"/>
                <w:sz w:val="24"/>
                <w:szCs w:val="24"/>
                <w:lang w:val="zh-CN"/>
              </w:rPr>
              <w:t>小写：</w:t>
            </w:r>
          </w:p>
          <w:p w14:paraId="60515E39">
            <w:pPr>
              <w:keepNext w:val="0"/>
              <w:keepLines w:val="0"/>
              <w:suppressLineNumbers w:val="0"/>
              <w:autoSpaceDE w:val="0"/>
              <w:autoSpaceDN w:val="0"/>
              <w:spacing w:before="0" w:beforeAutospacing="0" w:after="0" w:afterAutospacing="0" w:line="360" w:lineRule="auto"/>
              <w:ind w:left="0" w:right="0"/>
              <w:rPr>
                <w:rFonts w:hint="default" w:hAnsi="宋体" w:cs="宋体"/>
                <w:color w:val="auto"/>
                <w:sz w:val="24"/>
                <w:szCs w:val="24"/>
                <w:lang w:val="zh-CN"/>
              </w:rPr>
            </w:pPr>
            <w:r>
              <w:rPr>
                <w:rFonts w:hint="eastAsia" w:hAnsi="宋体" w:cs="宋体"/>
                <w:color w:val="auto"/>
                <w:sz w:val="24"/>
                <w:szCs w:val="24"/>
                <w:lang w:val="zh-CN"/>
              </w:rPr>
              <w:t>大写：</w:t>
            </w:r>
          </w:p>
          <w:p w14:paraId="241D7037">
            <w:pPr>
              <w:keepNext w:val="0"/>
              <w:keepLines w:val="0"/>
              <w:suppressLineNumbers w:val="0"/>
              <w:autoSpaceDE w:val="0"/>
              <w:autoSpaceDN w:val="0"/>
              <w:spacing w:before="0" w:beforeAutospacing="0" w:after="0" w:afterAutospacing="0" w:line="360" w:lineRule="auto"/>
              <w:ind w:left="0" w:right="0"/>
              <w:rPr>
                <w:rFonts w:hint="default" w:hAnsi="宋体" w:cs="宋体"/>
                <w:color w:val="auto"/>
                <w:sz w:val="24"/>
                <w:szCs w:val="24"/>
              </w:rPr>
            </w:pPr>
            <w:r>
              <w:rPr>
                <w:rFonts w:hint="eastAsia" w:hAnsi="宋体" w:cs="宋体"/>
                <w:color w:val="auto"/>
                <w:sz w:val="24"/>
                <w:szCs w:val="24"/>
              </w:rPr>
              <w:t xml:space="preserve">              单位：元</w:t>
            </w:r>
          </w:p>
        </w:tc>
        <w:tc>
          <w:tcPr>
            <w:tcW w:w="1702" w:type="dxa"/>
            <w:noWrap w:val="0"/>
            <w:vAlign w:val="center"/>
          </w:tcPr>
          <w:p w14:paraId="544700AD">
            <w:pPr>
              <w:keepNext w:val="0"/>
              <w:keepLines w:val="0"/>
              <w:suppressLineNumbers w:val="0"/>
              <w:autoSpaceDE w:val="0"/>
              <w:autoSpaceDN w:val="0"/>
              <w:spacing w:before="0" w:beforeAutospacing="0" w:after="0" w:afterAutospacing="0" w:line="360" w:lineRule="auto"/>
              <w:ind w:left="0" w:right="0"/>
              <w:jc w:val="center"/>
              <w:rPr>
                <w:rFonts w:hint="default" w:hAnsi="宋体" w:cs="宋体"/>
                <w:color w:val="auto"/>
                <w:sz w:val="24"/>
                <w:szCs w:val="24"/>
              </w:rPr>
            </w:pPr>
          </w:p>
        </w:tc>
        <w:tc>
          <w:tcPr>
            <w:tcW w:w="1702" w:type="dxa"/>
            <w:noWrap w:val="0"/>
            <w:vAlign w:val="center"/>
          </w:tcPr>
          <w:p w14:paraId="0BC0AD13">
            <w:pPr>
              <w:keepNext w:val="0"/>
              <w:keepLines w:val="0"/>
              <w:suppressLineNumbers w:val="0"/>
              <w:autoSpaceDE w:val="0"/>
              <w:autoSpaceDN w:val="0"/>
              <w:spacing w:before="0" w:beforeAutospacing="0" w:after="0" w:afterAutospacing="0" w:line="360" w:lineRule="auto"/>
              <w:ind w:left="0" w:right="0"/>
              <w:jc w:val="center"/>
              <w:rPr>
                <w:rFonts w:hint="default" w:hAnsi="宋体" w:cs="宋体"/>
                <w:color w:val="auto"/>
                <w:sz w:val="24"/>
                <w:szCs w:val="24"/>
              </w:rPr>
            </w:pPr>
          </w:p>
        </w:tc>
        <w:tc>
          <w:tcPr>
            <w:tcW w:w="1702" w:type="dxa"/>
            <w:noWrap w:val="0"/>
            <w:vAlign w:val="center"/>
          </w:tcPr>
          <w:p w14:paraId="1ED42451">
            <w:pPr>
              <w:keepNext w:val="0"/>
              <w:keepLines w:val="0"/>
              <w:suppressLineNumbers w:val="0"/>
              <w:autoSpaceDE w:val="0"/>
              <w:autoSpaceDN w:val="0"/>
              <w:spacing w:before="0" w:beforeAutospacing="0" w:after="0" w:afterAutospacing="0" w:line="360" w:lineRule="auto"/>
              <w:ind w:left="0" w:right="0" w:firstLine="960" w:firstLineChars="400"/>
              <w:rPr>
                <w:rFonts w:hint="default" w:hAnsi="宋体" w:cs="宋体"/>
                <w:color w:val="auto"/>
                <w:sz w:val="24"/>
                <w:szCs w:val="24"/>
              </w:rPr>
            </w:pPr>
          </w:p>
        </w:tc>
      </w:tr>
    </w:tbl>
    <w:p w14:paraId="21BD1FCA">
      <w:pPr>
        <w:autoSpaceDE w:val="0"/>
        <w:autoSpaceDN w:val="0"/>
        <w:spacing w:before="163" w:beforeLines="50" w:line="500" w:lineRule="exact"/>
        <w:ind w:firstLine="3610" w:firstLineChars="1900"/>
        <w:rPr>
          <w:rFonts w:hint="eastAsia" w:hAnsi="宋体" w:cs="宋体"/>
          <w:color w:val="auto"/>
          <w:spacing w:val="-10"/>
          <w:sz w:val="21"/>
          <w:szCs w:val="21"/>
          <w:highlight w:val="none"/>
        </w:rPr>
      </w:pPr>
      <w:r>
        <w:rPr>
          <w:rFonts w:hint="eastAsia" w:hAnsi="宋体" w:cs="宋体"/>
          <w:color w:val="auto"/>
          <w:spacing w:val="-10"/>
          <w:szCs w:val="24"/>
          <w:highlight w:val="none"/>
        </w:rPr>
        <w:t xml:space="preserve">    </w:t>
      </w:r>
      <w:r>
        <w:rPr>
          <w:rFonts w:hint="eastAsia" w:hAnsi="宋体" w:cs="宋体"/>
          <w:color w:val="auto"/>
          <w:spacing w:val="-10"/>
          <w:sz w:val="21"/>
          <w:szCs w:val="21"/>
          <w:highlight w:val="none"/>
        </w:rPr>
        <w:t xml:space="preserve"> </w:t>
      </w:r>
    </w:p>
    <w:p w14:paraId="5C4AFEBD">
      <w:pPr>
        <w:autoSpaceDE w:val="0"/>
        <w:autoSpaceDN w:val="0"/>
        <w:spacing w:before="163" w:beforeLines="50" w:line="500" w:lineRule="exact"/>
        <w:ind w:firstLine="3610" w:firstLineChars="1900"/>
        <w:rPr>
          <w:rFonts w:hint="eastAsia" w:hAnsi="宋体" w:cs="宋体"/>
          <w:color w:val="auto"/>
          <w:spacing w:val="-10"/>
          <w:sz w:val="21"/>
          <w:szCs w:val="21"/>
          <w:highlight w:val="none"/>
        </w:rPr>
      </w:pPr>
    </w:p>
    <w:p w14:paraId="1F327457">
      <w:pPr>
        <w:autoSpaceDE w:val="0"/>
        <w:autoSpaceDN w:val="0"/>
        <w:spacing w:before="163" w:beforeLines="50" w:line="500" w:lineRule="exact"/>
        <w:ind w:firstLine="4180" w:firstLineChars="1900"/>
        <w:rPr>
          <w:rFonts w:hAnsi="宋体" w:cs="宋体"/>
          <w:color w:val="auto"/>
          <w:sz w:val="24"/>
          <w:szCs w:val="24"/>
          <w:highlight w:val="none"/>
        </w:rPr>
      </w:pPr>
      <w:r>
        <w:rPr>
          <w:rFonts w:hint="eastAsia" w:hAnsi="宋体" w:cs="宋体"/>
          <w:color w:val="auto"/>
          <w:spacing w:val="-10"/>
          <w:sz w:val="24"/>
          <w:szCs w:val="24"/>
          <w:highlight w:val="none"/>
          <w:u w:val="single"/>
          <w:lang w:eastAsia="zh-CN"/>
        </w:rPr>
        <w:t>服务商名称</w:t>
      </w:r>
      <w:r>
        <w:rPr>
          <w:rFonts w:hint="eastAsia" w:hAnsi="宋体" w:cs="宋体"/>
          <w:color w:val="auto"/>
          <w:sz w:val="24"/>
          <w:szCs w:val="24"/>
          <w:highlight w:val="none"/>
        </w:rPr>
        <w:t>（加盖公章）</w:t>
      </w:r>
    </w:p>
    <w:p w14:paraId="0AD43DAB">
      <w:pPr>
        <w:spacing w:line="500" w:lineRule="exact"/>
        <w:ind w:firstLine="4800" w:firstLineChars="2000"/>
        <w:rPr>
          <w:rFonts w:hAnsi="宋体" w:cs="宋体"/>
          <w:color w:val="auto"/>
          <w:sz w:val="24"/>
          <w:szCs w:val="24"/>
        </w:rPr>
      </w:pPr>
      <w:r>
        <w:rPr>
          <w:rFonts w:hint="eastAsia" w:hAnsi="宋体" w:cs="宋体"/>
          <w:color w:val="auto"/>
          <w:sz w:val="24"/>
          <w:szCs w:val="24"/>
        </w:rPr>
        <w:t>法定代表人：（签章）</w:t>
      </w:r>
    </w:p>
    <w:p w14:paraId="0CE4CFBA">
      <w:pPr>
        <w:spacing w:line="500" w:lineRule="exact"/>
        <w:ind w:firstLine="5280" w:firstLineChars="2200"/>
        <w:rPr>
          <w:rFonts w:hAnsi="宋体" w:cs="宋体"/>
          <w:b/>
          <w:bCs/>
          <w:color w:val="auto"/>
          <w:sz w:val="21"/>
          <w:szCs w:val="21"/>
        </w:rPr>
      </w:pPr>
      <w:r>
        <w:rPr>
          <w:rFonts w:hint="eastAsia" w:hAnsi="宋体" w:cs="宋体"/>
          <w:color w:val="auto"/>
          <w:sz w:val="24"/>
          <w:szCs w:val="24"/>
        </w:rPr>
        <w:t>年　月　日</w:t>
      </w:r>
    </w:p>
    <w:p w14:paraId="0880C826">
      <w:pPr>
        <w:autoSpaceDE w:val="0"/>
        <w:autoSpaceDN w:val="0"/>
        <w:rPr>
          <w:rFonts w:hAnsi="宋体" w:cs="宋体"/>
          <w:b/>
          <w:bCs/>
          <w:color w:val="auto"/>
          <w:sz w:val="21"/>
          <w:szCs w:val="21"/>
        </w:rPr>
      </w:pPr>
    </w:p>
    <w:p w14:paraId="172FC12E">
      <w:pPr>
        <w:autoSpaceDE w:val="0"/>
        <w:autoSpaceDN w:val="0"/>
        <w:rPr>
          <w:rFonts w:hAnsi="宋体" w:cs="宋体"/>
          <w:b/>
          <w:bCs/>
          <w:color w:val="auto"/>
          <w:sz w:val="21"/>
          <w:szCs w:val="21"/>
        </w:rPr>
      </w:pPr>
    </w:p>
    <w:p w14:paraId="24DD4437">
      <w:pPr>
        <w:autoSpaceDE w:val="0"/>
        <w:autoSpaceDN w:val="0"/>
        <w:rPr>
          <w:rFonts w:hAnsi="宋体" w:cs="宋体"/>
          <w:b/>
          <w:bCs/>
          <w:color w:val="auto"/>
          <w:sz w:val="21"/>
          <w:szCs w:val="21"/>
        </w:rPr>
      </w:pPr>
    </w:p>
    <w:p w14:paraId="5B579AD3">
      <w:pPr>
        <w:autoSpaceDE w:val="0"/>
        <w:autoSpaceDN w:val="0"/>
        <w:rPr>
          <w:rFonts w:hAnsi="宋体" w:cs="宋体"/>
          <w:b/>
          <w:bCs/>
          <w:color w:val="auto"/>
          <w:sz w:val="21"/>
          <w:szCs w:val="21"/>
        </w:rPr>
      </w:pPr>
    </w:p>
    <w:p w14:paraId="59C57E61">
      <w:pPr>
        <w:autoSpaceDE w:val="0"/>
        <w:autoSpaceDN w:val="0"/>
        <w:rPr>
          <w:rFonts w:hAnsi="宋体" w:cs="宋体"/>
          <w:b/>
          <w:bCs/>
          <w:color w:val="auto"/>
          <w:sz w:val="21"/>
          <w:szCs w:val="21"/>
        </w:rPr>
      </w:pPr>
    </w:p>
    <w:p w14:paraId="1FEF16E4">
      <w:pPr>
        <w:autoSpaceDE w:val="0"/>
        <w:autoSpaceDN w:val="0"/>
        <w:rPr>
          <w:rFonts w:hAnsi="宋体" w:cs="宋体"/>
          <w:color w:val="auto"/>
          <w:sz w:val="21"/>
          <w:szCs w:val="21"/>
          <w:lang w:val="zh-CN"/>
        </w:rPr>
      </w:pPr>
      <w:r>
        <w:rPr>
          <w:rFonts w:hint="eastAsia" w:hAnsi="宋体" w:cs="宋体"/>
          <w:b/>
          <w:bCs/>
          <w:color w:val="auto"/>
          <w:sz w:val="21"/>
          <w:szCs w:val="21"/>
        </w:rPr>
        <w:t>注</w:t>
      </w:r>
      <w:r>
        <w:rPr>
          <w:rFonts w:hint="eastAsia" w:hAnsi="宋体" w:cs="宋体"/>
          <w:b/>
          <w:bCs/>
          <w:color w:val="auto"/>
          <w:sz w:val="21"/>
          <w:szCs w:val="21"/>
          <w:lang w:val="zh-CN"/>
        </w:rPr>
        <w:t>：</w:t>
      </w:r>
      <w:r>
        <w:rPr>
          <w:rFonts w:hint="eastAsia" w:hAnsi="宋体" w:cs="宋体"/>
          <w:color w:val="auto"/>
          <w:sz w:val="21"/>
          <w:szCs w:val="21"/>
        </w:rPr>
        <w:t>1.</w:t>
      </w:r>
      <w:r>
        <w:rPr>
          <w:rFonts w:hint="eastAsia" w:hAnsi="宋体" w:cs="宋体"/>
          <w:color w:val="auto"/>
          <w:sz w:val="21"/>
          <w:szCs w:val="21"/>
          <w:lang w:val="zh-CN"/>
        </w:rPr>
        <w:t>“投标报价”为投标总价。投标报价必须包括：</w:t>
      </w:r>
      <w:bookmarkStart w:id="184" w:name="_Hlk48720282"/>
      <w:r>
        <w:rPr>
          <w:rFonts w:hint="eastAsia" w:hAnsi="宋体" w:cs="宋体"/>
          <w:color w:val="auto"/>
          <w:sz w:val="21"/>
          <w:szCs w:val="21"/>
        </w:rPr>
        <w:t>完成采购内容所需的直接费、间接费、利润、税金及其它相关的一切费用</w:t>
      </w:r>
      <w:r>
        <w:rPr>
          <w:rFonts w:hint="eastAsia" w:hAnsi="宋体" w:cs="宋体"/>
          <w:color w:val="auto"/>
          <w:sz w:val="21"/>
          <w:szCs w:val="21"/>
          <w:lang w:val="zh-CN"/>
        </w:rPr>
        <w:t>，以及合同实施过程中的应预见及不可预见费用等完成合同规定责任和义务、达到合同目的的一切费用</w:t>
      </w:r>
      <w:bookmarkEnd w:id="184"/>
      <w:r>
        <w:rPr>
          <w:rFonts w:hint="eastAsia" w:hAnsi="宋体" w:cs="宋体"/>
          <w:color w:val="auto"/>
          <w:sz w:val="21"/>
          <w:szCs w:val="21"/>
          <w:lang w:val="zh-CN"/>
        </w:rPr>
        <w:t>。</w:t>
      </w:r>
    </w:p>
    <w:p w14:paraId="03F5A07E">
      <w:pPr>
        <w:pStyle w:val="9"/>
        <w:ind w:firstLine="420" w:firstLineChars="200"/>
        <w:rPr>
          <w:b/>
          <w:bCs/>
          <w:color w:val="auto"/>
          <w:sz w:val="21"/>
          <w:szCs w:val="16"/>
        </w:rPr>
      </w:pPr>
      <w:r>
        <w:rPr>
          <w:rFonts w:hint="eastAsia" w:ascii="宋体" w:hAnsi="宋体" w:cs="宋体"/>
          <w:color w:val="auto"/>
          <w:kern w:val="0"/>
          <w:szCs w:val="21"/>
        </w:rPr>
        <w:t>2.以上费用均为含税。</w:t>
      </w:r>
      <w:r>
        <w:rPr>
          <w:rFonts w:hint="eastAsia" w:hAnsi="宋体" w:cs="宋体"/>
          <w:color w:val="auto"/>
          <w:szCs w:val="21"/>
        </w:rPr>
        <w:br w:type="page"/>
      </w:r>
      <w:r>
        <w:rPr>
          <w:rFonts w:hint="eastAsia"/>
          <w:b/>
          <w:bCs/>
          <w:color w:val="auto"/>
          <w:sz w:val="28"/>
          <w:szCs w:val="28"/>
        </w:rPr>
        <w:t>二、分项报价（</w:t>
      </w:r>
      <w:r>
        <w:rPr>
          <w:rFonts w:hint="eastAsia"/>
          <w:b/>
          <w:bCs/>
          <w:color w:val="auto"/>
          <w:sz w:val="28"/>
          <w:szCs w:val="28"/>
          <w:lang w:eastAsia="zh-CN"/>
        </w:rPr>
        <w:t>格式自拟</w:t>
      </w:r>
      <w:r>
        <w:rPr>
          <w:rFonts w:hint="eastAsia"/>
          <w:b/>
          <w:bCs/>
          <w:color w:val="auto"/>
          <w:sz w:val="28"/>
          <w:szCs w:val="28"/>
        </w:rPr>
        <w:t>）</w:t>
      </w:r>
    </w:p>
    <w:p w14:paraId="689E97D9">
      <w:pPr>
        <w:tabs>
          <w:tab w:val="right" w:pos="9072"/>
        </w:tabs>
        <w:rPr>
          <w:rFonts w:hAnsi="宋体" w:cs="宋体"/>
          <w:color w:val="auto"/>
          <w:sz w:val="21"/>
          <w:szCs w:val="21"/>
        </w:rPr>
      </w:pPr>
    </w:p>
    <w:p w14:paraId="1B0CDD67">
      <w:pPr>
        <w:pStyle w:val="13"/>
        <w:rPr>
          <w:rFonts w:hAnsi="宋体" w:cs="宋体"/>
          <w:color w:val="auto"/>
          <w:sz w:val="21"/>
          <w:szCs w:val="21"/>
        </w:rPr>
      </w:pPr>
    </w:p>
    <w:p w14:paraId="16043367">
      <w:pPr>
        <w:pStyle w:val="13"/>
        <w:rPr>
          <w:rFonts w:hAnsi="宋体" w:cs="宋体"/>
          <w:color w:val="auto"/>
          <w:sz w:val="21"/>
          <w:szCs w:val="21"/>
        </w:rPr>
      </w:pPr>
    </w:p>
    <w:p w14:paraId="53B5616E">
      <w:pPr>
        <w:tabs>
          <w:tab w:val="right" w:pos="9072"/>
        </w:tabs>
        <w:ind w:firstLine="840" w:firstLineChars="400"/>
        <w:rPr>
          <w:rFonts w:hAnsi="宋体" w:cs="宋体"/>
          <w:color w:val="auto"/>
          <w:sz w:val="21"/>
          <w:szCs w:val="21"/>
        </w:rPr>
      </w:pPr>
      <w:r>
        <w:rPr>
          <w:rFonts w:hint="eastAsia" w:hAnsi="宋体" w:cs="宋体"/>
          <w:color w:val="auto"/>
          <w:sz w:val="21"/>
          <w:szCs w:val="21"/>
        </w:rPr>
        <w:t xml:space="preserve">                                     </w:t>
      </w:r>
    </w:p>
    <w:p w14:paraId="61CC19D0">
      <w:pPr>
        <w:tabs>
          <w:tab w:val="left" w:pos="5670"/>
        </w:tabs>
        <w:spacing w:line="360" w:lineRule="auto"/>
        <w:ind w:firstLine="6960" w:firstLineChars="2900"/>
        <w:rPr>
          <w:rFonts w:hAnsi="宋体" w:cs="宋体"/>
          <w:color w:val="auto"/>
          <w:sz w:val="24"/>
          <w:szCs w:val="24"/>
        </w:rPr>
      </w:pPr>
      <w:r>
        <w:rPr>
          <w:rFonts w:hint="eastAsia" w:hAnsi="宋体" w:cs="宋体"/>
          <w:color w:val="auto"/>
          <w:sz w:val="24"/>
          <w:szCs w:val="24"/>
          <w:highlight w:val="none"/>
          <w:u w:val="single"/>
          <w:lang w:eastAsia="zh-CN"/>
        </w:rPr>
        <w:t>服务商名称</w:t>
      </w:r>
      <w:r>
        <w:rPr>
          <w:rFonts w:hint="eastAsia" w:hAnsi="宋体" w:cs="宋体"/>
          <w:color w:val="auto"/>
          <w:sz w:val="24"/>
          <w:szCs w:val="24"/>
        </w:rPr>
        <w:t>（盖章）</w:t>
      </w:r>
    </w:p>
    <w:p w14:paraId="2D768E7D">
      <w:pPr>
        <w:tabs>
          <w:tab w:val="right" w:pos="9072"/>
        </w:tabs>
        <w:spacing w:line="360" w:lineRule="auto"/>
        <w:rPr>
          <w:rFonts w:hAnsi="宋体" w:cs="宋体"/>
          <w:b/>
          <w:bCs/>
          <w:color w:val="auto"/>
          <w:sz w:val="21"/>
          <w:szCs w:val="21"/>
        </w:rPr>
      </w:pPr>
      <w:r>
        <w:rPr>
          <w:rFonts w:hint="eastAsia" w:hAnsi="宋体" w:cs="宋体"/>
          <w:color w:val="auto"/>
          <w:sz w:val="24"/>
          <w:szCs w:val="24"/>
        </w:rPr>
        <w:t xml:space="preserve">                                    　　            </w:t>
      </w:r>
      <w:r>
        <w:rPr>
          <w:rFonts w:hAnsi="宋体" w:cs="宋体"/>
          <w:color w:val="auto"/>
          <w:sz w:val="24"/>
          <w:szCs w:val="24"/>
        </w:rPr>
        <w:t xml:space="preserve">          </w:t>
      </w:r>
      <w:r>
        <w:rPr>
          <w:rFonts w:hint="eastAsia" w:hAnsi="宋体" w:cs="宋体"/>
          <w:color w:val="auto"/>
          <w:sz w:val="24"/>
          <w:szCs w:val="24"/>
        </w:rPr>
        <w:t>年　月　日</w:t>
      </w:r>
    </w:p>
    <w:p w14:paraId="6CCF7D05">
      <w:pPr>
        <w:tabs>
          <w:tab w:val="right" w:pos="9072"/>
        </w:tabs>
        <w:rPr>
          <w:rFonts w:hAnsi="宋体" w:cs="宋体"/>
          <w:b/>
          <w:bCs/>
          <w:color w:val="auto"/>
          <w:sz w:val="21"/>
          <w:szCs w:val="21"/>
        </w:rPr>
      </w:pPr>
    </w:p>
    <w:p w14:paraId="623A21B1">
      <w:pPr>
        <w:tabs>
          <w:tab w:val="right" w:pos="9072"/>
        </w:tabs>
        <w:rPr>
          <w:rFonts w:hAnsi="宋体" w:cs="宋体"/>
          <w:b/>
          <w:bCs/>
          <w:color w:val="auto"/>
          <w:sz w:val="21"/>
          <w:szCs w:val="21"/>
        </w:rPr>
      </w:pPr>
    </w:p>
    <w:p w14:paraId="22BD3ACE">
      <w:pPr>
        <w:tabs>
          <w:tab w:val="right" w:pos="9072"/>
        </w:tabs>
        <w:rPr>
          <w:rFonts w:hAnsi="宋体" w:cs="宋体"/>
          <w:b/>
          <w:bCs/>
          <w:color w:val="auto"/>
          <w:sz w:val="21"/>
          <w:szCs w:val="21"/>
        </w:rPr>
      </w:pPr>
    </w:p>
    <w:p w14:paraId="5AC9138B">
      <w:pPr>
        <w:tabs>
          <w:tab w:val="right" w:pos="9072"/>
        </w:tabs>
        <w:rPr>
          <w:rFonts w:hAnsi="宋体" w:cs="宋体"/>
          <w:b/>
          <w:bCs/>
          <w:color w:val="auto"/>
          <w:sz w:val="21"/>
          <w:szCs w:val="21"/>
        </w:rPr>
      </w:pPr>
    </w:p>
    <w:p w14:paraId="629F5E9A">
      <w:pPr>
        <w:tabs>
          <w:tab w:val="right" w:pos="9072"/>
        </w:tabs>
        <w:rPr>
          <w:rFonts w:hAnsi="宋体" w:cs="宋体"/>
          <w:b/>
          <w:bCs/>
          <w:color w:val="auto"/>
          <w:sz w:val="21"/>
          <w:szCs w:val="21"/>
        </w:rPr>
      </w:pPr>
    </w:p>
    <w:p w14:paraId="1697D8C0">
      <w:pPr>
        <w:tabs>
          <w:tab w:val="right" w:pos="9072"/>
        </w:tabs>
        <w:rPr>
          <w:rFonts w:hAnsi="宋体" w:cs="宋体"/>
          <w:b/>
          <w:bCs/>
          <w:color w:val="auto"/>
          <w:sz w:val="21"/>
          <w:szCs w:val="21"/>
        </w:rPr>
      </w:pPr>
    </w:p>
    <w:p w14:paraId="32B48536">
      <w:pPr>
        <w:tabs>
          <w:tab w:val="right" w:pos="9072"/>
        </w:tabs>
        <w:rPr>
          <w:rFonts w:hAnsi="宋体" w:cs="宋体"/>
          <w:b/>
          <w:bCs/>
          <w:color w:val="auto"/>
          <w:sz w:val="21"/>
          <w:szCs w:val="21"/>
        </w:rPr>
      </w:pPr>
    </w:p>
    <w:p w14:paraId="575034FD">
      <w:pPr>
        <w:tabs>
          <w:tab w:val="right" w:pos="9072"/>
        </w:tabs>
        <w:rPr>
          <w:rFonts w:hAnsi="宋体" w:cs="宋体"/>
          <w:b/>
          <w:bCs/>
          <w:color w:val="auto"/>
          <w:sz w:val="21"/>
          <w:szCs w:val="21"/>
        </w:rPr>
      </w:pPr>
    </w:p>
    <w:p w14:paraId="56811731">
      <w:pPr>
        <w:tabs>
          <w:tab w:val="right" w:pos="9072"/>
        </w:tabs>
        <w:rPr>
          <w:rFonts w:hAnsi="宋体" w:cs="宋体"/>
          <w:b/>
          <w:bCs/>
          <w:color w:val="auto"/>
          <w:sz w:val="21"/>
          <w:szCs w:val="21"/>
        </w:rPr>
      </w:pPr>
    </w:p>
    <w:p w14:paraId="5912C308">
      <w:pPr>
        <w:tabs>
          <w:tab w:val="right" w:pos="9072"/>
        </w:tabs>
        <w:rPr>
          <w:rFonts w:hAnsi="宋体" w:cs="宋体"/>
          <w:color w:val="auto"/>
          <w:sz w:val="21"/>
          <w:szCs w:val="21"/>
        </w:rPr>
      </w:pPr>
      <w:r>
        <w:rPr>
          <w:rFonts w:hint="eastAsia" w:hAnsi="宋体" w:cs="宋体"/>
          <w:b/>
          <w:bCs/>
          <w:color w:val="auto"/>
          <w:sz w:val="21"/>
          <w:szCs w:val="21"/>
        </w:rPr>
        <w:t>注：</w:t>
      </w:r>
      <w:r>
        <w:rPr>
          <w:rFonts w:hint="eastAsia" w:hAnsi="宋体" w:cs="宋体"/>
          <w:color w:val="auto"/>
          <w:sz w:val="21"/>
          <w:szCs w:val="21"/>
        </w:rPr>
        <w:t>1.本分项报价金额应与“开标一览表”中的“投标报价”一致。</w:t>
      </w:r>
      <w:bookmarkStart w:id="185" w:name="_Toc23725"/>
      <w:bookmarkStart w:id="186" w:name="_Toc31186"/>
      <w:bookmarkStart w:id="187" w:name="_Toc5992"/>
      <w:bookmarkStart w:id="188" w:name="_Toc23724"/>
      <w:bookmarkStart w:id="189" w:name="_Toc17145"/>
    </w:p>
    <w:p w14:paraId="42E0065F">
      <w:pPr>
        <w:numPr>
          <w:ilvl w:val="0"/>
          <w:numId w:val="0"/>
        </w:numPr>
        <w:tabs>
          <w:tab w:val="right" w:pos="9072"/>
        </w:tabs>
        <w:ind w:leftChars="0"/>
        <w:jc w:val="both"/>
        <w:rPr>
          <w:rFonts w:hint="eastAsia" w:hAnsi="宋体" w:cs="宋体"/>
          <w:color w:val="auto"/>
          <w:sz w:val="21"/>
          <w:szCs w:val="21"/>
        </w:rPr>
      </w:pPr>
      <w:r>
        <w:rPr>
          <w:rFonts w:hint="eastAsia" w:hAnsi="宋体" w:cs="宋体"/>
          <w:color w:val="auto"/>
          <w:sz w:val="21"/>
          <w:szCs w:val="21"/>
          <w:lang w:val="en-US" w:eastAsia="zh-CN"/>
        </w:rPr>
        <w:t>2.本</w:t>
      </w:r>
      <w:r>
        <w:rPr>
          <w:rFonts w:hint="eastAsia" w:hAnsi="宋体" w:cs="宋体"/>
          <w:color w:val="auto"/>
          <w:sz w:val="21"/>
          <w:szCs w:val="21"/>
        </w:rPr>
        <w:t>表为样表，仅供参考，投标人根据项目实际需求进行填写。</w:t>
      </w:r>
    </w:p>
    <w:p w14:paraId="20D41306">
      <w:pPr>
        <w:numPr>
          <w:ilvl w:val="0"/>
          <w:numId w:val="0"/>
        </w:numPr>
        <w:tabs>
          <w:tab w:val="right" w:pos="9072"/>
        </w:tabs>
        <w:ind w:leftChars="0"/>
        <w:jc w:val="center"/>
        <w:rPr>
          <w:rFonts w:hAnsi="宋体" w:cs="宋体"/>
          <w:color w:val="auto"/>
          <w:sz w:val="21"/>
          <w:szCs w:val="21"/>
        </w:rPr>
      </w:pPr>
      <w:r>
        <w:rPr>
          <w:b/>
          <w:bCs/>
          <w:color w:val="auto"/>
          <w:sz w:val="21"/>
          <w:szCs w:val="16"/>
        </w:rPr>
        <w:br w:type="page"/>
      </w:r>
      <w:bookmarkStart w:id="190" w:name="OLE_LINK46"/>
      <w:r>
        <w:rPr>
          <w:rFonts w:hint="eastAsia"/>
          <w:b/>
          <w:bCs/>
          <w:color w:val="auto"/>
          <w:sz w:val="32"/>
          <w:szCs w:val="32"/>
        </w:rPr>
        <w:t>第三部分  资格证明文件</w:t>
      </w:r>
      <w:bookmarkEnd w:id="185"/>
      <w:bookmarkEnd w:id="186"/>
      <w:bookmarkEnd w:id="187"/>
      <w:bookmarkEnd w:id="188"/>
      <w:bookmarkEnd w:id="189"/>
    </w:p>
    <w:p w14:paraId="7C3A4A8E">
      <w:pPr>
        <w:spacing w:line="288" w:lineRule="auto"/>
        <w:ind w:firstLine="480" w:firstLineChars="200"/>
        <w:rPr>
          <w:rFonts w:hAnsi="宋体" w:cs="宋体"/>
          <w:color w:val="auto"/>
          <w:sz w:val="21"/>
          <w:szCs w:val="21"/>
        </w:rPr>
      </w:pPr>
      <w:r>
        <w:rPr>
          <w:rFonts w:hint="eastAsia" w:hAnsi="宋体" w:cs="宋体"/>
          <w:color w:val="auto"/>
          <w:sz w:val="24"/>
          <w:szCs w:val="24"/>
        </w:rPr>
        <w:t>投标人按“第二章 投标人须知前附表第</w:t>
      </w:r>
      <w:r>
        <w:rPr>
          <w:rFonts w:hint="eastAsia" w:hAnsi="宋体" w:cs="宋体"/>
          <w:color w:val="auto"/>
          <w:sz w:val="24"/>
          <w:szCs w:val="24"/>
          <w:lang w:val="en-US" w:eastAsia="zh-CN"/>
        </w:rPr>
        <w:t>15</w:t>
      </w:r>
      <w:r>
        <w:rPr>
          <w:rFonts w:hint="eastAsia" w:hAnsi="宋体" w:cs="宋体"/>
          <w:color w:val="auto"/>
          <w:sz w:val="24"/>
          <w:szCs w:val="24"/>
        </w:rPr>
        <w:t>条规定”逐一提供全部资料，缺少其中任何一项，其投标文件将被视为</w:t>
      </w:r>
      <w:r>
        <w:rPr>
          <w:rFonts w:hint="eastAsia" w:hAnsi="宋体" w:cs="宋体"/>
          <w:b/>
          <w:color w:val="auto"/>
          <w:sz w:val="24"/>
          <w:szCs w:val="24"/>
        </w:rPr>
        <w:t>无效文件</w:t>
      </w:r>
      <w:r>
        <w:rPr>
          <w:rFonts w:hint="eastAsia" w:hAnsi="宋体" w:cs="宋体"/>
          <w:color w:val="auto"/>
          <w:sz w:val="24"/>
          <w:szCs w:val="24"/>
        </w:rPr>
        <w:t>。其中，《法定代表人证明书》、《法定代表人授权委托书》（如有）、《书面声明函》、《</w:t>
      </w:r>
      <w:r>
        <w:rPr>
          <w:rFonts w:hint="eastAsia" w:hAnsi="宋体" w:cs="宋体"/>
          <w:color w:val="auto"/>
          <w:sz w:val="24"/>
          <w:szCs w:val="24"/>
          <w:lang w:eastAsia="zh-CN"/>
        </w:rPr>
        <w:t>榆林市政府采购工程类/货物类/服务类</w:t>
      </w:r>
      <w:r>
        <w:rPr>
          <w:rFonts w:hint="eastAsia" w:hAnsi="宋体" w:cs="宋体"/>
          <w:color w:val="auto"/>
          <w:sz w:val="24"/>
          <w:szCs w:val="24"/>
        </w:rPr>
        <w:t>项目供应商信用承诺书》、《投标信用承诺》</w:t>
      </w:r>
      <w:r>
        <w:rPr>
          <w:rFonts w:hint="eastAsia" w:hAnsi="宋体" w:cs="宋体"/>
          <w:color w:val="auto"/>
          <w:sz w:val="24"/>
          <w:szCs w:val="24"/>
          <w:lang w:eastAsia="zh-CN"/>
        </w:rPr>
        <w:t>、</w:t>
      </w:r>
      <w:r>
        <w:rPr>
          <w:rFonts w:hint="eastAsia" w:hAnsi="宋体" w:cs="宋体"/>
          <w:color w:val="auto"/>
          <w:sz w:val="24"/>
          <w:szCs w:val="24"/>
        </w:rPr>
        <w:t>《投标人信用承诺》、《投标人委托代理人员信用承诺书》（如有）应按下文给定格式填写，否则按</w:t>
      </w:r>
      <w:r>
        <w:rPr>
          <w:rFonts w:hint="eastAsia" w:hAnsi="宋体" w:cs="宋体"/>
          <w:b/>
          <w:color w:val="auto"/>
          <w:sz w:val="24"/>
          <w:szCs w:val="24"/>
        </w:rPr>
        <w:t>无效处理</w:t>
      </w:r>
      <w:r>
        <w:rPr>
          <w:rFonts w:hint="eastAsia" w:hAnsi="宋体" w:cs="宋体"/>
          <w:color w:val="auto"/>
          <w:sz w:val="24"/>
          <w:szCs w:val="24"/>
        </w:rPr>
        <w:t>。</w:t>
      </w:r>
    </w:p>
    <w:p w14:paraId="19CFA755">
      <w:pPr>
        <w:jc w:val="center"/>
        <w:rPr>
          <w:b/>
          <w:bCs/>
          <w:color w:val="auto"/>
          <w:sz w:val="21"/>
          <w:szCs w:val="16"/>
        </w:rPr>
      </w:pPr>
      <w:r>
        <w:rPr>
          <w:rFonts w:hint="eastAsia"/>
          <w:color w:val="auto"/>
        </w:rPr>
        <w:br w:type="page"/>
      </w:r>
      <w:bookmarkStart w:id="191" w:name="_Toc32424"/>
      <w:bookmarkStart w:id="192" w:name="_Toc19809"/>
      <w:bookmarkStart w:id="193" w:name="_Toc14516"/>
      <w:bookmarkStart w:id="194" w:name="_Toc24541"/>
      <w:bookmarkStart w:id="195" w:name="_Toc12113"/>
      <w:bookmarkStart w:id="196" w:name="_Toc30545"/>
      <w:bookmarkStart w:id="197" w:name="_Toc5982"/>
      <w:bookmarkStart w:id="198" w:name="_Toc5789"/>
      <w:bookmarkStart w:id="199" w:name="_Toc20419"/>
      <w:bookmarkStart w:id="200" w:name="_Toc18338"/>
      <w:bookmarkStart w:id="201" w:name="_Toc528596085"/>
      <w:bookmarkStart w:id="202" w:name="_Toc18571"/>
      <w:bookmarkStart w:id="203" w:name="_Toc16287"/>
      <w:bookmarkStart w:id="204" w:name="_Toc9321"/>
      <w:bookmarkStart w:id="205" w:name="_Toc16358"/>
      <w:r>
        <w:rPr>
          <w:rFonts w:hint="eastAsia"/>
          <w:b/>
          <w:bCs/>
          <w:color w:val="auto"/>
          <w:sz w:val="28"/>
          <w:szCs w:val="28"/>
        </w:rPr>
        <w:t>法定代表人证明书</w:t>
      </w:r>
      <w:bookmarkEnd w:id="191"/>
      <w:bookmarkEnd w:id="192"/>
      <w:bookmarkEnd w:id="193"/>
      <w:bookmarkEnd w:id="194"/>
      <w:bookmarkEnd w:id="195"/>
      <w:bookmarkEnd w:id="196"/>
      <w:bookmarkEnd w:id="197"/>
      <w:bookmarkEnd w:id="198"/>
      <w:bookmarkEnd w:id="199"/>
    </w:p>
    <w:p w14:paraId="42C51498">
      <w:pPr>
        <w:rPr>
          <w:color w:val="auto"/>
        </w:rPr>
      </w:pP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
        <w:gridCol w:w="1904"/>
        <w:gridCol w:w="2307"/>
        <w:gridCol w:w="178"/>
        <w:gridCol w:w="2104"/>
        <w:gridCol w:w="2109"/>
      </w:tblGrid>
      <w:tr w14:paraId="1E5A0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9480" w:type="dxa"/>
            <w:gridSpan w:val="6"/>
            <w:noWrap w:val="0"/>
            <w:vAlign w:val="center"/>
          </w:tcPr>
          <w:p w14:paraId="1D1D9A8B">
            <w:pPr>
              <w:keepNext w:val="0"/>
              <w:keepLines w:val="0"/>
              <w:suppressLineNumbers w:val="0"/>
              <w:snapToGrid w:val="0"/>
              <w:spacing w:before="0" w:beforeAutospacing="0" w:after="0" w:afterAutospacing="0"/>
              <w:ind w:left="0" w:right="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致：</w:t>
            </w:r>
          </w:p>
        </w:tc>
      </w:tr>
      <w:tr w14:paraId="6B78F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878" w:type="dxa"/>
            <w:vMerge w:val="restart"/>
            <w:noWrap w:val="0"/>
            <w:vAlign w:val="center"/>
          </w:tcPr>
          <w:p w14:paraId="519EFC7E">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企</w:t>
            </w:r>
          </w:p>
          <w:p w14:paraId="47197235">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p>
          <w:p w14:paraId="0BE54DCD">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业</w:t>
            </w:r>
          </w:p>
          <w:p w14:paraId="756F5A62">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p>
          <w:p w14:paraId="4CAE12BD">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法</w:t>
            </w:r>
          </w:p>
          <w:p w14:paraId="304A0CB2">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p>
          <w:p w14:paraId="5E070AB5">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人</w:t>
            </w:r>
          </w:p>
        </w:tc>
        <w:tc>
          <w:tcPr>
            <w:tcW w:w="1904" w:type="dxa"/>
            <w:noWrap w:val="0"/>
            <w:vAlign w:val="center"/>
          </w:tcPr>
          <w:p w14:paraId="139F4554">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企业名称</w:t>
            </w:r>
          </w:p>
        </w:tc>
        <w:tc>
          <w:tcPr>
            <w:tcW w:w="6698" w:type="dxa"/>
            <w:gridSpan w:val="4"/>
            <w:noWrap w:val="0"/>
            <w:vAlign w:val="center"/>
          </w:tcPr>
          <w:p w14:paraId="6AA6D483">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p>
        </w:tc>
      </w:tr>
      <w:tr w14:paraId="03199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878" w:type="dxa"/>
            <w:vMerge w:val="continue"/>
            <w:noWrap w:val="0"/>
            <w:vAlign w:val="center"/>
          </w:tcPr>
          <w:p w14:paraId="09045404">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p>
        </w:tc>
        <w:tc>
          <w:tcPr>
            <w:tcW w:w="1904" w:type="dxa"/>
            <w:noWrap w:val="0"/>
            <w:vAlign w:val="center"/>
          </w:tcPr>
          <w:p w14:paraId="241C1A1D">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法定地址</w:t>
            </w:r>
          </w:p>
        </w:tc>
        <w:tc>
          <w:tcPr>
            <w:tcW w:w="6698" w:type="dxa"/>
            <w:gridSpan w:val="4"/>
            <w:noWrap w:val="0"/>
            <w:vAlign w:val="center"/>
          </w:tcPr>
          <w:p w14:paraId="442430CD">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p>
        </w:tc>
      </w:tr>
      <w:tr w14:paraId="02E7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878" w:type="dxa"/>
            <w:vMerge w:val="continue"/>
            <w:noWrap w:val="0"/>
            <w:vAlign w:val="center"/>
          </w:tcPr>
          <w:p w14:paraId="16262AA3">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p>
        </w:tc>
        <w:tc>
          <w:tcPr>
            <w:tcW w:w="1904" w:type="dxa"/>
            <w:noWrap w:val="0"/>
            <w:vAlign w:val="center"/>
          </w:tcPr>
          <w:p w14:paraId="243AEAED">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邮政编码</w:t>
            </w:r>
          </w:p>
        </w:tc>
        <w:tc>
          <w:tcPr>
            <w:tcW w:w="6698" w:type="dxa"/>
            <w:gridSpan w:val="4"/>
            <w:noWrap w:val="0"/>
            <w:vAlign w:val="center"/>
          </w:tcPr>
          <w:p w14:paraId="1C042DCC">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p>
        </w:tc>
      </w:tr>
      <w:tr w14:paraId="7371A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878" w:type="dxa"/>
            <w:vMerge w:val="continue"/>
            <w:noWrap w:val="0"/>
            <w:vAlign w:val="center"/>
          </w:tcPr>
          <w:p w14:paraId="5B21CAE9">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p>
        </w:tc>
        <w:tc>
          <w:tcPr>
            <w:tcW w:w="1904" w:type="dxa"/>
            <w:noWrap w:val="0"/>
            <w:vAlign w:val="center"/>
          </w:tcPr>
          <w:p w14:paraId="5126ADB7">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工商登记机关</w:t>
            </w:r>
          </w:p>
        </w:tc>
        <w:tc>
          <w:tcPr>
            <w:tcW w:w="6698" w:type="dxa"/>
            <w:gridSpan w:val="4"/>
            <w:noWrap w:val="0"/>
            <w:vAlign w:val="center"/>
          </w:tcPr>
          <w:p w14:paraId="47F35D50">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p>
        </w:tc>
      </w:tr>
      <w:tr w14:paraId="06A19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878" w:type="dxa"/>
            <w:vMerge w:val="continue"/>
            <w:noWrap w:val="0"/>
            <w:vAlign w:val="center"/>
          </w:tcPr>
          <w:p w14:paraId="23ED7EB7">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p>
        </w:tc>
        <w:tc>
          <w:tcPr>
            <w:tcW w:w="1904" w:type="dxa"/>
            <w:noWrap w:val="0"/>
            <w:vAlign w:val="center"/>
          </w:tcPr>
          <w:p w14:paraId="2126FB80">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税务登记机关</w:t>
            </w:r>
          </w:p>
        </w:tc>
        <w:tc>
          <w:tcPr>
            <w:tcW w:w="6698" w:type="dxa"/>
            <w:gridSpan w:val="4"/>
            <w:noWrap w:val="0"/>
            <w:vAlign w:val="center"/>
          </w:tcPr>
          <w:p w14:paraId="52EDC966">
            <w:pPr>
              <w:keepNext w:val="0"/>
              <w:keepLines w:val="0"/>
              <w:suppressLineNumbers w:val="0"/>
              <w:tabs>
                <w:tab w:val="left" w:pos="210"/>
              </w:tabs>
              <w:spacing w:before="0" w:beforeAutospacing="0" w:after="0" w:afterAutospacing="0" w:line="320" w:lineRule="exact"/>
              <w:ind w:left="0" w:right="0"/>
              <w:rPr>
                <w:rFonts w:hint="eastAsia" w:ascii="宋体" w:hAnsi="宋体" w:eastAsia="宋体" w:cs="宋体"/>
                <w:color w:val="auto"/>
                <w:sz w:val="24"/>
                <w:szCs w:val="24"/>
              </w:rPr>
            </w:pPr>
          </w:p>
        </w:tc>
      </w:tr>
      <w:tr w14:paraId="38FE7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878" w:type="dxa"/>
            <w:vMerge w:val="continue"/>
            <w:noWrap w:val="0"/>
            <w:vAlign w:val="center"/>
          </w:tcPr>
          <w:p w14:paraId="316B62DB">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p>
        </w:tc>
        <w:tc>
          <w:tcPr>
            <w:tcW w:w="1904" w:type="dxa"/>
            <w:noWrap w:val="0"/>
            <w:vAlign w:val="center"/>
          </w:tcPr>
          <w:p w14:paraId="4CC94A37">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机构代码证号</w:t>
            </w:r>
          </w:p>
        </w:tc>
        <w:tc>
          <w:tcPr>
            <w:tcW w:w="6698" w:type="dxa"/>
            <w:gridSpan w:val="4"/>
            <w:noWrap w:val="0"/>
            <w:vAlign w:val="center"/>
          </w:tcPr>
          <w:p w14:paraId="46489BD0">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p>
        </w:tc>
      </w:tr>
      <w:tr w14:paraId="03E4C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878" w:type="dxa"/>
            <w:vMerge w:val="restart"/>
            <w:noWrap w:val="0"/>
            <w:vAlign w:val="center"/>
          </w:tcPr>
          <w:p w14:paraId="684B940A">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tc>
        <w:tc>
          <w:tcPr>
            <w:tcW w:w="1904" w:type="dxa"/>
            <w:noWrap w:val="0"/>
            <w:vAlign w:val="center"/>
          </w:tcPr>
          <w:p w14:paraId="0B9196EC">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姓名</w:t>
            </w:r>
          </w:p>
        </w:tc>
        <w:tc>
          <w:tcPr>
            <w:tcW w:w="2485" w:type="dxa"/>
            <w:gridSpan w:val="2"/>
            <w:noWrap w:val="0"/>
            <w:vAlign w:val="center"/>
          </w:tcPr>
          <w:p w14:paraId="00EF847E">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p>
        </w:tc>
        <w:tc>
          <w:tcPr>
            <w:tcW w:w="2104" w:type="dxa"/>
            <w:noWrap w:val="0"/>
            <w:vAlign w:val="center"/>
          </w:tcPr>
          <w:p w14:paraId="678AFC16">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性别</w:t>
            </w:r>
          </w:p>
        </w:tc>
        <w:tc>
          <w:tcPr>
            <w:tcW w:w="2109" w:type="dxa"/>
            <w:noWrap w:val="0"/>
            <w:vAlign w:val="center"/>
          </w:tcPr>
          <w:p w14:paraId="5A1B4190">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p>
        </w:tc>
      </w:tr>
      <w:tr w14:paraId="45783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878" w:type="dxa"/>
            <w:vMerge w:val="continue"/>
            <w:noWrap w:val="0"/>
            <w:vAlign w:val="center"/>
          </w:tcPr>
          <w:p w14:paraId="4C64D2E1">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p>
        </w:tc>
        <w:tc>
          <w:tcPr>
            <w:tcW w:w="1904" w:type="dxa"/>
            <w:noWrap w:val="0"/>
            <w:vAlign w:val="center"/>
          </w:tcPr>
          <w:p w14:paraId="6178A4F1">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职务</w:t>
            </w:r>
          </w:p>
        </w:tc>
        <w:tc>
          <w:tcPr>
            <w:tcW w:w="2485" w:type="dxa"/>
            <w:gridSpan w:val="2"/>
            <w:noWrap w:val="0"/>
            <w:vAlign w:val="center"/>
          </w:tcPr>
          <w:p w14:paraId="1E0950FF">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p>
        </w:tc>
        <w:tc>
          <w:tcPr>
            <w:tcW w:w="2104" w:type="dxa"/>
            <w:noWrap w:val="0"/>
            <w:vAlign w:val="center"/>
          </w:tcPr>
          <w:p w14:paraId="143DB1E2">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联系电话</w:t>
            </w:r>
          </w:p>
        </w:tc>
        <w:tc>
          <w:tcPr>
            <w:tcW w:w="2109" w:type="dxa"/>
            <w:noWrap w:val="0"/>
            <w:vAlign w:val="center"/>
          </w:tcPr>
          <w:p w14:paraId="5B290C70">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p>
        </w:tc>
      </w:tr>
      <w:tr w14:paraId="6A66C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878" w:type="dxa"/>
            <w:vMerge w:val="continue"/>
            <w:noWrap w:val="0"/>
            <w:vAlign w:val="center"/>
          </w:tcPr>
          <w:p w14:paraId="75111AF8">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p>
        </w:tc>
        <w:tc>
          <w:tcPr>
            <w:tcW w:w="1904" w:type="dxa"/>
            <w:noWrap w:val="0"/>
            <w:vAlign w:val="center"/>
          </w:tcPr>
          <w:p w14:paraId="02706B32">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传真</w:t>
            </w:r>
          </w:p>
        </w:tc>
        <w:tc>
          <w:tcPr>
            <w:tcW w:w="6698" w:type="dxa"/>
            <w:gridSpan w:val="4"/>
            <w:noWrap w:val="0"/>
            <w:vAlign w:val="center"/>
          </w:tcPr>
          <w:p w14:paraId="71D720F3">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p>
        </w:tc>
      </w:tr>
      <w:tr w14:paraId="36983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9" w:hRule="atLeast"/>
          <w:jc w:val="center"/>
        </w:trPr>
        <w:tc>
          <w:tcPr>
            <w:tcW w:w="878" w:type="dxa"/>
            <w:vMerge w:val="restart"/>
            <w:noWrap w:val="0"/>
            <w:vAlign w:val="center"/>
          </w:tcPr>
          <w:p w14:paraId="28D50877">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tc>
        <w:tc>
          <w:tcPr>
            <w:tcW w:w="4211" w:type="dxa"/>
            <w:gridSpan w:val="2"/>
            <w:vMerge w:val="restart"/>
            <w:noWrap w:val="0"/>
            <w:vAlign w:val="center"/>
          </w:tcPr>
          <w:p w14:paraId="77B952B4">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（粘贴处）</w:t>
            </w:r>
          </w:p>
        </w:tc>
        <w:tc>
          <w:tcPr>
            <w:tcW w:w="4391" w:type="dxa"/>
            <w:gridSpan w:val="3"/>
            <w:noWrap w:val="0"/>
            <w:vAlign w:val="center"/>
          </w:tcPr>
          <w:p w14:paraId="08D7755C">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法定代表人（签章）</w:t>
            </w:r>
          </w:p>
        </w:tc>
      </w:tr>
      <w:tr w14:paraId="31ED6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3" w:hRule="atLeast"/>
          <w:jc w:val="center"/>
        </w:trPr>
        <w:tc>
          <w:tcPr>
            <w:tcW w:w="878" w:type="dxa"/>
            <w:vMerge w:val="continue"/>
            <w:noWrap w:val="0"/>
            <w:vAlign w:val="center"/>
          </w:tcPr>
          <w:p w14:paraId="057E1A7C">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p>
        </w:tc>
        <w:tc>
          <w:tcPr>
            <w:tcW w:w="4211" w:type="dxa"/>
            <w:gridSpan w:val="2"/>
            <w:vMerge w:val="continue"/>
            <w:noWrap w:val="0"/>
            <w:vAlign w:val="center"/>
          </w:tcPr>
          <w:p w14:paraId="63B62187">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p>
        </w:tc>
        <w:tc>
          <w:tcPr>
            <w:tcW w:w="4391" w:type="dxa"/>
            <w:gridSpan w:val="3"/>
            <w:noWrap w:val="0"/>
            <w:vAlign w:val="bottom"/>
          </w:tcPr>
          <w:p w14:paraId="2C6487A8">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（投标人公章）</w:t>
            </w:r>
          </w:p>
          <w:p w14:paraId="12E0B721">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p>
          <w:p w14:paraId="38D93FD8">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p>
          <w:p w14:paraId="692B281A">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sz w:val="24"/>
                <w:szCs w:val="24"/>
              </w:rPr>
            </w:pPr>
          </w:p>
          <w:p w14:paraId="19AF6759">
            <w:pPr>
              <w:keepNext w:val="0"/>
              <w:keepLines w:val="0"/>
              <w:suppressLineNumbers w:val="0"/>
              <w:tabs>
                <w:tab w:val="left" w:pos="210"/>
              </w:tabs>
              <w:spacing w:before="0" w:beforeAutospacing="0" w:after="0" w:afterAutospacing="0" w:line="320" w:lineRule="exact"/>
              <w:ind w:left="0" w:right="0"/>
              <w:jc w:val="right"/>
              <w:rPr>
                <w:rFonts w:hint="eastAsia" w:ascii="宋体" w:hAnsi="宋体" w:eastAsia="宋体" w:cs="宋体"/>
                <w:color w:val="auto"/>
                <w:sz w:val="24"/>
                <w:szCs w:val="24"/>
              </w:rPr>
            </w:pPr>
            <w:r>
              <w:rPr>
                <w:rFonts w:hint="eastAsia" w:ascii="宋体" w:hAnsi="宋体" w:eastAsia="宋体" w:cs="宋体"/>
                <w:color w:val="auto"/>
                <w:sz w:val="24"/>
                <w:szCs w:val="24"/>
              </w:rPr>
              <w:t xml:space="preserve">年  月  日 </w:t>
            </w:r>
          </w:p>
        </w:tc>
      </w:tr>
    </w:tbl>
    <w:p w14:paraId="3D350D7C">
      <w:pPr>
        <w:jc w:val="both"/>
        <w:rPr>
          <w:rFonts w:hint="eastAsia"/>
          <w:color w:val="auto"/>
          <w:sz w:val="21"/>
          <w:szCs w:val="16"/>
        </w:rPr>
      </w:pPr>
      <w:bookmarkStart w:id="206" w:name="_Toc9702"/>
      <w:bookmarkStart w:id="207" w:name="_Toc26339"/>
      <w:bookmarkStart w:id="208" w:name="_Toc12471"/>
      <w:bookmarkStart w:id="209" w:name="_Toc22283"/>
      <w:bookmarkStart w:id="210" w:name="_Toc8496"/>
      <w:bookmarkStart w:id="211" w:name="_Toc20051"/>
      <w:bookmarkStart w:id="212" w:name="_Toc21733"/>
      <w:bookmarkStart w:id="213" w:name="_Toc25506"/>
      <w:r>
        <w:rPr>
          <w:rFonts w:hint="eastAsia"/>
          <w:b/>
          <w:bCs/>
          <w:color w:val="auto"/>
          <w:sz w:val="21"/>
          <w:szCs w:val="16"/>
        </w:rPr>
        <w:t>注：</w:t>
      </w:r>
      <w:bookmarkEnd w:id="206"/>
      <w:bookmarkEnd w:id="207"/>
      <w:bookmarkEnd w:id="208"/>
      <w:bookmarkEnd w:id="209"/>
      <w:bookmarkEnd w:id="210"/>
      <w:bookmarkEnd w:id="211"/>
      <w:bookmarkEnd w:id="212"/>
      <w:bookmarkEnd w:id="213"/>
      <w:r>
        <w:rPr>
          <w:rFonts w:hint="eastAsia"/>
          <w:color w:val="auto"/>
          <w:sz w:val="21"/>
          <w:szCs w:val="16"/>
        </w:rPr>
        <w:t>投标人须认真填写此表，如填写不属实将被作无效处理。</w:t>
      </w:r>
    </w:p>
    <w:p w14:paraId="69327E06">
      <w:pPr>
        <w:jc w:val="center"/>
        <w:rPr>
          <w:rFonts w:hint="eastAsia"/>
          <w:color w:val="auto"/>
          <w:sz w:val="21"/>
          <w:szCs w:val="16"/>
        </w:rPr>
      </w:pPr>
    </w:p>
    <w:p w14:paraId="261C8F7C">
      <w:pPr>
        <w:jc w:val="center"/>
        <w:rPr>
          <w:rFonts w:hAnsi="宋体" w:cs="宋体"/>
          <w:b/>
          <w:bCs/>
          <w:color w:val="auto"/>
          <w:sz w:val="21"/>
          <w:szCs w:val="21"/>
        </w:rPr>
      </w:pPr>
      <w:r>
        <w:rPr>
          <w:rFonts w:hint="eastAsia" w:hAnsi="宋体" w:cs="宋体"/>
          <w:color w:val="auto"/>
          <w:szCs w:val="24"/>
        </w:rPr>
        <w:br w:type="page"/>
      </w:r>
      <w:r>
        <w:rPr>
          <w:rFonts w:hint="eastAsia" w:hAnsi="宋体" w:cs="宋体"/>
          <w:b/>
          <w:color w:val="auto"/>
          <w:sz w:val="28"/>
          <w:szCs w:val="28"/>
        </w:rPr>
        <w:t>法定代表人授权委托书</w:t>
      </w:r>
      <w:bookmarkEnd w:id="200"/>
      <w:bookmarkEnd w:id="201"/>
      <w:bookmarkEnd w:id="202"/>
      <w:bookmarkEnd w:id="203"/>
      <w:bookmarkEnd w:id="204"/>
      <w:bookmarkEnd w:id="205"/>
    </w:p>
    <w:p w14:paraId="2E676325">
      <w:pPr>
        <w:snapToGrid w:val="0"/>
        <w:spacing w:after="163" w:afterLines="50" w:line="500" w:lineRule="exact"/>
        <w:rPr>
          <w:rFonts w:hAnsi="宋体" w:cs="宋体"/>
          <w:color w:val="auto"/>
          <w:sz w:val="24"/>
          <w:szCs w:val="24"/>
        </w:rPr>
      </w:pPr>
      <w:r>
        <w:rPr>
          <w:rFonts w:hint="eastAsia" w:hAnsi="宋体" w:cs="宋体"/>
          <w:color w:val="auto"/>
          <w:sz w:val="24"/>
          <w:szCs w:val="24"/>
          <w:highlight w:val="none"/>
          <w:u w:val="single"/>
          <w:lang w:val="en-US" w:eastAsia="zh-CN"/>
        </w:rPr>
        <w:t xml:space="preserve">                （代理机构）</w:t>
      </w:r>
      <w:r>
        <w:rPr>
          <w:rFonts w:hint="eastAsia" w:hAnsi="宋体" w:cs="宋体"/>
          <w:color w:val="auto"/>
          <w:sz w:val="24"/>
          <w:szCs w:val="24"/>
        </w:rPr>
        <w:t>：</w:t>
      </w:r>
    </w:p>
    <w:p w14:paraId="65CB3735">
      <w:pPr>
        <w:spacing w:line="460" w:lineRule="exact"/>
        <w:ind w:right="11" w:firstLine="480" w:firstLineChars="200"/>
        <w:rPr>
          <w:rFonts w:hAnsi="宋体" w:cs="宋体"/>
          <w:color w:val="auto"/>
          <w:sz w:val="24"/>
          <w:szCs w:val="24"/>
        </w:rPr>
      </w:pPr>
      <w:r>
        <w:rPr>
          <w:rFonts w:hint="eastAsia" w:hAnsi="宋体" w:cs="宋体"/>
          <w:color w:val="auto"/>
          <w:sz w:val="24"/>
          <w:szCs w:val="24"/>
        </w:rPr>
        <w:t>现委派</w:t>
      </w:r>
      <w:r>
        <w:rPr>
          <w:rFonts w:hint="eastAsia" w:hAnsi="宋体" w:cs="宋体"/>
          <w:color w:val="auto"/>
          <w:sz w:val="24"/>
          <w:szCs w:val="24"/>
          <w:u w:val="single"/>
        </w:rPr>
        <w:t>（授权代表姓名）</w:t>
      </w:r>
      <w:r>
        <w:rPr>
          <w:rFonts w:hint="eastAsia" w:hAnsi="宋体" w:cs="宋体"/>
          <w:color w:val="auto"/>
          <w:sz w:val="24"/>
          <w:szCs w:val="24"/>
        </w:rPr>
        <w:t>为本公司的授权代表，参加贵公司组织的</w:t>
      </w:r>
      <w:bookmarkStart w:id="214" w:name="_top"/>
      <w:bookmarkEnd w:id="214"/>
      <w:r>
        <w:rPr>
          <w:rFonts w:hint="eastAsia" w:hAnsi="宋体" w:cs="宋体"/>
          <w:color w:val="auto"/>
          <w:sz w:val="24"/>
          <w:szCs w:val="24"/>
        </w:rPr>
        <w:t>《</w:t>
      </w:r>
      <w:r>
        <w:rPr>
          <w:rFonts w:hint="eastAsia" w:hAnsi="宋体" w:cs="宋体"/>
          <w:color w:val="auto"/>
          <w:sz w:val="24"/>
          <w:szCs w:val="24"/>
          <w:u w:val="single"/>
        </w:rPr>
        <w:t>项目名称</w:t>
      </w:r>
      <w:r>
        <w:rPr>
          <w:rFonts w:hint="eastAsia" w:hAnsi="宋体" w:cs="宋体"/>
          <w:color w:val="auto"/>
          <w:sz w:val="24"/>
          <w:szCs w:val="24"/>
        </w:rPr>
        <w:t>》（项目编号：）政府采购活动，就该项目的投标及合同的执行和完成，以本公司的名义处理一切与之有关的事宜。</w:t>
      </w:r>
    </w:p>
    <w:p w14:paraId="4957B293">
      <w:pPr>
        <w:tabs>
          <w:tab w:val="left" w:pos="5245"/>
        </w:tabs>
        <w:snapToGrid w:val="0"/>
        <w:spacing w:line="500" w:lineRule="exact"/>
        <w:ind w:firstLine="480" w:firstLineChars="200"/>
        <w:rPr>
          <w:rFonts w:hAnsi="宋体" w:cs="宋体"/>
          <w:color w:val="auto"/>
          <w:sz w:val="24"/>
          <w:szCs w:val="24"/>
        </w:rPr>
      </w:pPr>
      <w:r>
        <w:rPr>
          <w:rFonts w:hint="eastAsia" w:hAnsi="宋体" w:cs="宋体"/>
          <w:color w:val="auto"/>
          <w:sz w:val="24"/>
          <w:szCs w:val="24"/>
        </w:rPr>
        <w:t>授权代表姓名</w:t>
      </w:r>
      <w:r>
        <w:rPr>
          <w:rFonts w:hint="eastAsia" w:hAnsi="宋体" w:cs="宋体"/>
          <w:color w:val="auto"/>
          <w:sz w:val="24"/>
          <w:szCs w:val="24"/>
          <w:lang w:eastAsia="zh-CN"/>
        </w:rPr>
        <w:t>（</w:t>
      </w:r>
      <w:r>
        <w:rPr>
          <w:rFonts w:hint="eastAsia" w:hAnsi="宋体" w:cs="宋体"/>
          <w:color w:val="auto"/>
          <w:sz w:val="24"/>
          <w:szCs w:val="24"/>
          <w:lang w:val="en-US" w:eastAsia="zh-CN"/>
        </w:rPr>
        <w:t>签字）</w:t>
      </w:r>
      <w:r>
        <w:rPr>
          <w:rFonts w:hint="eastAsia" w:hAnsi="宋体" w:cs="宋体"/>
          <w:color w:val="auto"/>
          <w:sz w:val="24"/>
          <w:szCs w:val="24"/>
        </w:rPr>
        <w:t>：</w:t>
      </w:r>
      <w:r>
        <w:rPr>
          <w:rFonts w:hint="eastAsia" w:hAnsi="宋体" w:cs="宋体"/>
          <w:color w:val="auto"/>
          <w:sz w:val="24"/>
          <w:szCs w:val="24"/>
          <w:u w:val="single"/>
        </w:rPr>
        <w:t xml:space="preserve">       </w:t>
      </w:r>
      <w:r>
        <w:rPr>
          <w:rFonts w:hint="eastAsia" w:hAnsi="宋体" w:cs="宋体"/>
          <w:color w:val="auto"/>
          <w:sz w:val="24"/>
          <w:szCs w:val="24"/>
        </w:rPr>
        <w:t xml:space="preserve">   性别：</w:t>
      </w:r>
      <w:r>
        <w:rPr>
          <w:rFonts w:hint="eastAsia" w:hAnsi="宋体" w:cs="宋体"/>
          <w:color w:val="auto"/>
          <w:sz w:val="24"/>
          <w:szCs w:val="24"/>
          <w:u w:val="single"/>
        </w:rPr>
        <w:t xml:space="preserve">       </w:t>
      </w:r>
      <w:r>
        <w:rPr>
          <w:rFonts w:hint="eastAsia" w:hAnsi="宋体" w:cs="宋体"/>
          <w:color w:val="auto"/>
          <w:sz w:val="24"/>
          <w:szCs w:val="24"/>
        </w:rPr>
        <w:t xml:space="preserve">   职务：</w:t>
      </w:r>
      <w:r>
        <w:rPr>
          <w:rFonts w:hint="eastAsia" w:hAnsi="宋体" w:cs="宋体"/>
          <w:color w:val="auto"/>
          <w:sz w:val="24"/>
          <w:szCs w:val="24"/>
          <w:u w:val="single"/>
        </w:rPr>
        <w:t xml:space="preserve">       </w:t>
      </w:r>
      <w:r>
        <w:rPr>
          <w:rFonts w:hint="eastAsia" w:hAnsi="宋体" w:cs="宋体"/>
          <w:color w:val="auto"/>
          <w:sz w:val="24"/>
          <w:szCs w:val="24"/>
        </w:rPr>
        <w:t xml:space="preserve">          </w:t>
      </w:r>
    </w:p>
    <w:p w14:paraId="2817930D">
      <w:pPr>
        <w:snapToGrid w:val="0"/>
        <w:spacing w:line="500" w:lineRule="exact"/>
        <w:ind w:firstLine="480" w:firstLineChars="200"/>
        <w:rPr>
          <w:rFonts w:hAnsi="宋体" w:cs="宋体"/>
          <w:color w:val="auto"/>
          <w:sz w:val="24"/>
          <w:szCs w:val="24"/>
        </w:rPr>
      </w:pPr>
      <w:r>
        <w:rPr>
          <w:rFonts w:hint="eastAsia" w:hAnsi="宋体" w:cs="宋体"/>
          <w:color w:val="auto"/>
          <w:sz w:val="24"/>
          <w:szCs w:val="24"/>
        </w:rPr>
        <w:t>电话：</w:t>
      </w:r>
      <w:r>
        <w:rPr>
          <w:rFonts w:hint="eastAsia" w:hAnsi="宋体" w:cs="宋体"/>
          <w:color w:val="auto"/>
          <w:sz w:val="24"/>
          <w:szCs w:val="24"/>
          <w:u w:val="single"/>
        </w:rPr>
        <w:t xml:space="preserve">               </w:t>
      </w:r>
      <w:r>
        <w:rPr>
          <w:rFonts w:hint="eastAsia" w:hAnsi="宋体" w:cs="宋体"/>
          <w:color w:val="auto"/>
          <w:sz w:val="24"/>
          <w:szCs w:val="24"/>
        </w:rPr>
        <w:t xml:space="preserve">   通讯地址：</w:t>
      </w:r>
      <w:r>
        <w:rPr>
          <w:rFonts w:hint="eastAsia" w:hAnsi="宋体" w:cs="宋体"/>
          <w:color w:val="auto"/>
          <w:sz w:val="24"/>
          <w:szCs w:val="24"/>
          <w:u w:val="single"/>
        </w:rPr>
        <w:t xml:space="preserve">                   </w:t>
      </w:r>
    </w:p>
    <w:p w14:paraId="5BD4773E">
      <w:pPr>
        <w:snapToGrid w:val="0"/>
        <w:spacing w:line="500" w:lineRule="exact"/>
        <w:ind w:firstLine="480" w:firstLineChars="200"/>
        <w:rPr>
          <w:rFonts w:hAnsi="宋体" w:cs="宋体"/>
          <w:color w:val="auto"/>
          <w:sz w:val="24"/>
          <w:szCs w:val="24"/>
        </w:rPr>
      </w:pPr>
      <w:r>
        <w:rPr>
          <w:rFonts w:hint="eastAsia" w:hAnsi="宋体" w:cs="宋体"/>
          <w:color w:val="auto"/>
          <w:sz w:val="24"/>
          <w:szCs w:val="24"/>
        </w:rPr>
        <w:t>授权有效期：</w:t>
      </w:r>
      <w:r>
        <w:rPr>
          <w:rFonts w:hint="eastAsia" w:hAnsi="宋体" w:cs="宋体"/>
          <w:color w:val="auto"/>
          <w:sz w:val="24"/>
          <w:szCs w:val="24"/>
          <w:u w:val="single"/>
        </w:rPr>
        <w:t xml:space="preserve">             </w:t>
      </w:r>
    </w:p>
    <w:tbl>
      <w:tblPr>
        <w:tblStyle w:val="24"/>
        <w:tblW w:w="93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54"/>
        <w:gridCol w:w="4685"/>
      </w:tblGrid>
      <w:tr w14:paraId="6723A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654" w:type="dxa"/>
            <w:tcBorders>
              <w:top w:val="single" w:color="auto" w:sz="4" w:space="0"/>
              <w:left w:val="single" w:color="auto" w:sz="4" w:space="0"/>
              <w:bottom w:val="single" w:color="auto" w:sz="4" w:space="0"/>
              <w:right w:val="single" w:color="auto" w:sz="4" w:space="0"/>
            </w:tcBorders>
            <w:noWrap w:val="0"/>
            <w:vAlign w:val="center"/>
          </w:tcPr>
          <w:p w14:paraId="77C63879">
            <w:pPr>
              <w:keepNext w:val="0"/>
              <w:keepLines w:val="0"/>
              <w:suppressLineNumbers w:val="0"/>
              <w:spacing w:before="0" w:beforeAutospacing="0" w:after="0" w:afterAutospacing="0"/>
              <w:ind w:left="0" w:right="0" w:firstLine="7" w:firstLineChars="3"/>
              <w:jc w:val="center"/>
              <w:rPr>
                <w:rFonts w:hint="default" w:hAnsi="宋体" w:cs="宋体"/>
                <w:color w:val="auto"/>
                <w:sz w:val="24"/>
                <w:szCs w:val="24"/>
              </w:rPr>
            </w:pPr>
            <w:r>
              <w:rPr>
                <w:rFonts w:hint="eastAsia" w:hAnsi="宋体" w:cs="宋体"/>
                <w:color w:val="auto"/>
                <w:sz w:val="24"/>
                <w:szCs w:val="24"/>
              </w:rPr>
              <w:t>法定代表人身份证复印件</w:t>
            </w:r>
          </w:p>
          <w:p w14:paraId="56827B72">
            <w:pPr>
              <w:keepNext w:val="0"/>
              <w:keepLines w:val="0"/>
              <w:suppressLineNumbers w:val="0"/>
              <w:spacing w:before="0" w:beforeAutospacing="0" w:after="0" w:afterAutospacing="0"/>
              <w:ind w:left="0" w:right="0" w:firstLine="7" w:firstLineChars="3"/>
              <w:jc w:val="center"/>
              <w:rPr>
                <w:rFonts w:hint="default" w:hAnsi="宋体" w:cs="宋体"/>
                <w:color w:val="auto"/>
                <w:sz w:val="24"/>
                <w:szCs w:val="24"/>
              </w:rPr>
            </w:pPr>
            <w:r>
              <w:rPr>
                <w:rFonts w:hint="eastAsia" w:hAnsi="宋体" w:cs="宋体"/>
                <w:color w:val="auto"/>
                <w:sz w:val="24"/>
                <w:szCs w:val="24"/>
              </w:rPr>
              <w:t>（一面）</w:t>
            </w:r>
          </w:p>
        </w:tc>
        <w:tc>
          <w:tcPr>
            <w:tcW w:w="4685" w:type="dxa"/>
            <w:tcBorders>
              <w:top w:val="single" w:color="auto" w:sz="4" w:space="0"/>
              <w:left w:val="single" w:color="auto" w:sz="4" w:space="0"/>
              <w:bottom w:val="single" w:color="auto" w:sz="4" w:space="0"/>
              <w:right w:val="single" w:color="auto" w:sz="4" w:space="0"/>
            </w:tcBorders>
            <w:noWrap w:val="0"/>
            <w:vAlign w:val="center"/>
          </w:tcPr>
          <w:p w14:paraId="07736D0D">
            <w:pPr>
              <w:keepNext w:val="0"/>
              <w:keepLines w:val="0"/>
              <w:suppressLineNumbers w:val="0"/>
              <w:spacing w:before="0" w:beforeAutospacing="0" w:after="0" w:afterAutospacing="0"/>
              <w:ind w:left="0" w:right="0"/>
              <w:jc w:val="center"/>
              <w:rPr>
                <w:rFonts w:hint="default" w:hAnsi="宋体" w:cs="宋体"/>
                <w:color w:val="auto"/>
                <w:sz w:val="24"/>
                <w:szCs w:val="24"/>
              </w:rPr>
            </w:pPr>
            <w:r>
              <w:rPr>
                <w:rFonts w:hint="eastAsia" w:hAnsi="宋体" w:cs="宋体"/>
                <w:color w:val="auto"/>
                <w:sz w:val="24"/>
                <w:szCs w:val="24"/>
              </w:rPr>
              <w:t>授权代表身份证复印件</w:t>
            </w:r>
          </w:p>
          <w:p w14:paraId="4203877E">
            <w:pPr>
              <w:keepNext w:val="0"/>
              <w:keepLines w:val="0"/>
              <w:suppressLineNumbers w:val="0"/>
              <w:spacing w:before="0" w:beforeAutospacing="0" w:after="0" w:afterAutospacing="0"/>
              <w:ind w:left="0" w:right="0"/>
              <w:jc w:val="center"/>
              <w:rPr>
                <w:rFonts w:hint="default" w:hAnsi="宋体" w:cs="宋体"/>
                <w:color w:val="auto"/>
                <w:sz w:val="24"/>
                <w:szCs w:val="24"/>
              </w:rPr>
            </w:pPr>
            <w:r>
              <w:rPr>
                <w:rFonts w:hint="eastAsia" w:hAnsi="宋体" w:cs="宋体"/>
                <w:color w:val="auto"/>
                <w:sz w:val="24"/>
                <w:szCs w:val="24"/>
              </w:rPr>
              <w:t>（一面）</w:t>
            </w:r>
          </w:p>
        </w:tc>
      </w:tr>
      <w:tr w14:paraId="49FEF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654" w:type="dxa"/>
            <w:noWrap w:val="0"/>
            <w:vAlign w:val="center"/>
          </w:tcPr>
          <w:p w14:paraId="747E9657">
            <w:pPr>
              <w:keepNext w:val="0"/>
              <w:keepLines w:val="0"/>
              <w:suppressLineNumbers w:val="0"/>
              <w:spacing w:before="0" w:beforeAutospacing="0" w:after="0" w:afterAutospacing="0"/>
              <w:ind w:left="0" w:right="0"/>
              <w:jc w:val="center"/>
              <w:rPr>
                <w:rFonts w:hint="default" w:hAnsi="宋体" w:cs="宋体"/>
                <w:color w:val="auto"/>
                <w:sz w:val="24"/>
                <w:szCs w:val="24"/>
              </w:rPr>
            </w:pPr>
            <w:r>
              <w:rPr>
                <w:rFonts w:hint="eastAsia" w:hAnsi="宋体" w:cs="宋体"/>
                <w:color w:val="auto"/>
                <w:sz w:val="24"/>
                <w:szCs w:val="24"/>
              </w:rPr>
              <w:t>法定代表人身份证复印件</w:t>
            </w:r>
          </w:p>
          <w:p w14:paraId="474DC3A6">
            <w:pPr>
              <w:keepNext w:val="0"/>
              <w:keepLines w:val="0"/>
              <w:suppressLineNumbers w:val="0"/>
              <w:spacing w:before="0" w:beforeAutospacing="0" w:after="0" w:afterAutospacing="0"/>
              <w:ind w:left="0" w:right="0"/>
              <w:jc w:val="center"/>
              <w:rPr>
                <w:rFonts w:hint="default" w:hAnsi="宋体" w:cs="宋体"/>
                <w:color w:val="auto"/>
                <w:sz w:val="24"/>
                <w:szCs w:val="24"/>
              </w:rPr>
            </w:pPr>
            <w:r>
              <w:rPr>
                <w:rFonts w:hint="eastAsia" w:hAnsi="宋体" w:cs="宋体"/>
                <w:color w:val="auto"/>
                <w:sz w:val="24"/>
                <w:szCs w:val="24"/>
              </w:rPr>
              <w:t>（另一面）</w:t>
            </w:r>
          </w:p>
        </w:tc>
        <w:tc>
          <w:tcPr>
            <w:tcW w:w="4685" w:type="dxa"/>
            <w:noWrap w:val="0"/>
            <w:vAlign w:val="center"/>
          </w:tcPr>
          <w:p w14:paraId="53232865">
            <w:pPr>
              <w:keepNext w:val="0"/>
              <w:keepLines w:val="0"/>
              <w:suppressLineNumbers w:val="0"/>
              <w:spacing w:before="0" w:beforeAutospacing="0" w:after="0" w:afterAutospacing="0"/>
              <w:ind w:left="0" w:right="0"/>
              <w:jc w:val="center"/>
              <w:rPr>
                <w:rFonts w:hint="default" w:hAnsi="宋体" w:cs="宋体"/>
                <w:color w:val="auto"/>
                <w:sz w:val="24"/>
                <w:szCs w:val="24"/>
              </w:rPr>
            </w:pPr>
            <w:r>
              <w:rPr>
                <w:rFonts w:hint="eastAsia" w:hAnsi="宋体" w:cs="宋体"/>
                <w:color w:val="auto"/>
                <w:sz w:val="24"/>
                <w:szCs w:val="24"/>
              </w:rPr>
              <w:t>授权代表身份证复印件</w:t>
            </w:r>
          </w:p>
          <w:p w14:paraId="2BE951BE">
            <w:pPr>
              <w:keepNext w:val="0"/>
              <w:keepLines w:val="0"/>
              <w:suppressLineNumbers w:val="0"/>
              <w:spacing w:before="0" w:beforeAutospacing="0" w:after="0" w:afterAutospacing="0"/>
              <w:ind w:left="0" w:right="0"/>
              <w:jc w:val="center"/>
              <w:rPr>
                <w:rFonts w:hint="default" w:hAnsi="宋体" w:cs="宋体"/>
                <w:color w:val="auto"/>
                <w:sz w:val="24"/>
                <w:szCs w:val="24"/>
              </w:rPr>
            </w:pPr>
            <w:r>
              <w:rPr>
                <w:rFonts w:hint="eastAsia" w:hAnsi="宋体" w:cs="宋体"/>
                <w:color w:val="auto"/>
                <w:sz w:val="24"/>
                <w:szCs w:val="24"/>
              </w:rPr>
              <w:t>（另一面）</w:t>
            </w:r>
          </w:p>
        </w:tc>
      </w:tr>
    </w:tbl>
    <w:p w14:paraId="76727F4C">
      <w:pPr>
        <w:tabs>
          <w:tab w:val="right" w:pos="8931"/>
        </w:tabs>
        <w:ind w:firstLine="440" w:firstLineChars="200"/>
        <w:rPr>
          <w:rFonts w:hAnsi="宋体" w:cs="宋体"/>
          <w:color w:val="auto"/>
          <w:spacing w:val="-10"/>
          <w:sz w:val="24"/>
          <w:szCs w:val="24"/>
          <w:u w:val="single"/>
        </w:rPr>
      </w:pPr>
    </w:p>
    <w:p w14:paraId="622C5B35">
      <w:pPr>
        <w:tabs>
          <w:tab w:val="right" w:pos="8931"/>
        </w:tabs>
        <w:ind w:firstLine="1320" w:firstLineChars="600"/>
        <w:rPr>
          <w:rFonts w:hAnsi="宋体" w:cs="宋体"/>
          <w:color w:val="auto"/>
          <w:spacing w:val="-10"/>
          <w:sz w:val="24"/>
          <w:szCs w:val="24"/>
          <w:u w:val="single"/>
        </w:rPr>
      </w:pPr>
    </w:p>
    <w:p w14:paraId="7CCB808E">
      <w:pPr>
        <w:tabs>
          <w:tab w:val="right" w:pos="8931"/>
        </w:tabs>
        <w:ind w:firstLine="440" w:firstLineChars="200"/>
        <w:rPr>
          <w:rFonts w:hAnsi="宋体" w:cs="宋体"/>
          <w:color w:val="auto"/>
          <w:sz w:val="24"/>
          <w:szCs w:val="24"/>
        </w:rPr>
      </w:pPr>
      <w:r>
        <w:rPr>
          <w:rFonts w:hint="eastAsia" w:hAnsi="宋体" w:cs="宋体"/>
          <w:color w:val="auto"/>
          <w:spacing w:val="-10"/>
          <w:sz w:val="24"/>
          <w:szCs w:val="24"/>
          <w:highlight w:val="none"/>
          <w:u w:val="single"/>
          <w:lang w:eastAsia="zh-CN"/>
        </w:rPr>
        <w:t>服务商名称</w:t>
      </w:r>
      <w:r>
        <w:rPr>
          <w:rFonts w:hint="eastAsia" w:hAnsi="宋体" w:cs="宋体"/>
          <w:color w:val="auto"/>
          <w:sz w:val="24"/>
          <w:szCs w:val="24"/>
          <w:highlight w:val="none"/>
        </w:rPr>
        <w:t>（</w:t>
      </w:r>
      <w:r>
        <w:rPr>
          <w:rFonts w:hint="eastAsia" w:hAnsi="宋体" w:cs="宋体"/>
          <w:color w:val="auto"/>
          <w:sz w:val="24"/>
          <w:szCs w:val="24"/>
        </w:rPr>
        <w:t>加盖公章）                         法定代表人：（签章）</w:t>
      </w:r>
    </w:p>
    <w:p w14:paraId="5233488C">
      <w:pPr>
        <w:spacing w:line="440" w:lineRule="exact"/>
        <w:ind w:firstLine="4910" w:firstLineChars="2046"/>
        <w:rPr>
          <w:rFonts w:hAnsi="宋体" w:cs="宋体"/>
          <w:color w:val="auto"/>
          <w:sz w:val="24"/>
          <w:szCs w:val="24"/>
        </w:rPr>
      </w:pPr>
    </w:p>
    <w:p w14:paraId="52E1E7BF">
      <w:pPr>
        <w:spacing w:line="440" w:lineRule="exact"/>
        <w:ind w:firstLine="6000" w:firstLineChars="2500"/>
        <w:rPr>
          <w:rFonts w:hAnsi="宋体" w:cs="宋体"/>
          <w:color w:val="auto"/>
          <w:sz w:val="24"/>
          <w:szCs w:val="24"/>
        </w:rPr>
      </w:pPr>
      <w:r>
        <w:rPr>
          <w:rFonts w:hint="eastAsia" w:hAnsi="宋体" w:cs="宋体"/>
          <w:color w:val="auto"/>
          <w:sz w:val="24"/>
          <w:szCs w:val="24"/>
        </w:rPr>
        <w:t>授权代表人：（签字）</w:t>
      </w:r>
    </w:p>
    <w:p w14:paraId="0DD3E492">
      <w:pPr>
        <w:spacing w:line="440" w:lineRule="exact"/>
        <w:ind w:firstLine="5760" w:firstLineChars="2400"/>
        <w:rPr>
          <w:rFonts w:hAnsi="宋体" w:cs="宋体"/>
          <w:color w:val="auto"/>
          <w:sz w:val="24"/>
          <w:szCs w:val="24"/>
        </w:rPr>
      </w:pPr>
    </w:p>
    <w:p w14:paraId="36CADA23">
      <w:pPr>
        <w:spacing w:line="440" w:lineRule="exact"/>
        <w:ind w:firstLine="6000" w:firstLineChars="2500"/>
        <w:rPr>
          <w:rFonts w:hAnsi="宋体" w:cs="宋体"/>
          <w:color w:val="auto"/>
          <w:sz w:val="21"/>
          <w:szCs w:val="21"/>
        </w:rPr>
      </w:pPr>
      <w:r>
        <w:rPr>
          <w:rFonts w:hint="eastAsia" w:hAnsi="宋体" w:cs="宋体"/>
          <w:color w:val="auto"/>
          <w:sz w:val="24"/>
          <w:szCs w:val="24"/>
        </w:rPr>
        <w:t>日期：　年　月　日</w:t>
      </w:r>
    </w:p>
    <w:p w14:paraId="3E49F5E2">
      <w:pPr>
        <w:pStyle w:val="22"/>
        <w:ind w:firstLine="0" w:firstLineChars="0"/>
        <w:rPr>
          <w:rFonts w:ascii="宋体" w:hAnsi="宋体" w:cs="宋体"/>
          <w:color w:val="auto"/>
          <w:sz w:val="21"/>
          <w:szCs w:val="21"/>
        </w:rPr>
      </w:pPr>
    </w:p>
    <w:p w14:paraId="5BB307E0">
      <w:pPr>
        <w:jc w:val="center"/>
        <w:rPr>
          <w:rFonts w:hint="eastAsia"/>
          <w:color w:val="auto"/>
          <w:sz w:val="21"/>
          <w:szCs w:val="16"/>
        </w:rPr>
      </w:pPr>
      <w:r>
        <w:rPr>
          <w:rFonts w:hint="eastAsia"/>
          <w:b/>
          <w:bCs/>
          <w:color w:val="auto"/>
          <w:sz w:val="21"/>
          <w:szCs w:val="16"/>
        </w:rPr>
        <w:t>注：</w:t>
      </w:r>
      <w:r>
        <w:rPr>
          <w:rFonts w:hint="eastAsia"/>
          <w:color w:val="auto"/>
          <w:sz w:val="21"/>
          <w:szCs w:val="16"/>
        </w:rPr>
        <w:t>法定代表人亲自参加投标的，无需提供该授权委托书，但须提供法定代表人证明书。此授权委</w:t>
      </w:r>
    </w:p>
    <w:p w14:paraId="12A2C823">
      <w:pPr>
        <w:pStyle w:val="29"/>
        <w:rPr>
          <w:rFonts w:hint="eastAsia"/>
        </w:rPr>
      </w:pPr>
    </w:p>
    <w:p w14:paraId="79CACD24">
      <w:pPr>
        <w:spacing w:line="360" w:lineRule="auto"/>
        <w:jc w:val="both"/>
        <w:rPr>
          <w:rFonts w:hint="eastAsia"/>
          <w:color w:val="auto"/>
          <w:sz w:val="21"/>
          <w:szCs w:val="16"/>
        </w:rPr>
      </w:pPr>
      <w:r>
        <w:rPr>
          <w:rFonts w:hint="eastAsia"/>
          <w:color w:val="auto"/>
          <w:sz w:val="21"/>
          <w:szCs w:val="16"/>
        </w:rPr>
        <w:t xml:space="preserve">托书有效期不少于90日历天，起始时间为提交投标文件截止之日。 </w:t>
      </w:r>
    </w:p>
    <w:p w14:paraId="47EC876A">
      <w:pPr>
        <w:spacing w:line="360" w:lineRule="auto"/>
        <w:jc w:val="center"/>
        <w:rPr>
          <w:rFonts w:hint="eastAsia"/>
          <w:b/>
          <w:bCs/>
          <w:color w:val="auto"/>
          <w:sz w:val="28"/>
          <w:szCs w:val="28"/>
        </w:rPr>
      </w:pPr>
      <w:r>
        <w:rPr>
          <w:rFonts w:hint="eastAsia"/>
          <w:b/>
          <w:bCs/>
          <w:color w:val="auto"/>
          <w:sz w:val="28"/>
          <w:szCs w:val="28"/>
        </w:rPr>
        <w:t>书面声明函</w:t>
      </w:r>
    </w:p>
    <w:p w14:paraId="3471B88C">
      <w:pPr>
        <w:spacing w:line="360" w:lineRule="auto"/>
        <w:jc w:val="left"/>
        <w:rPr>
          <w:rFonts w:hAnsi="宋体" w:cs="宋体"/>
          <w:color w:val="auto"/>
          <w:sz w:val="24"/>
          <w:szCs w:val="24"/>
        </w:rPr>
      </w:pPr>
      <w:r>
        <w:rPr>
          <w:rFonts w:hint="eastAsia" w:hAnsi="宋体" w:cs="宋体"/>
          <w:color w:val="auto"/>
          <w:sz w:val="24"/>
          <w:szCs w:val="24"/>
          <w:highlight w:val="none"/>
          <w:u w:val="single"/>
          <w:lang w:val="en-US" w:eastAsia="zh-CN"/>
        </w:rPr>
        <w:t xml:space="preserve">                （代理机构）</w:t>
      </w:r>
      <w:r>
        <w:rPr>
          <w:rFonts w:hint="eastAsia" w:hAnsi="宋体" w:cs="宋体"/>
          <w:color w:val="auto"/>
          <w:sz w:val="24"/>
          <w:szCs w:val="24"/>
        </w:rPr>
        <w:t>：</w:t>
      </w:r>
    </w:p>
    <w:p w14:paraId="24C93E4E">
      <w:pPr>
        <w:spacing w:line="360" w:lineRule="auto"/>
        <w:ind w:firstLine="480" w:firstLineChars="200"/>
        <w:jc w:val="left"/>
        <w:rPr>
          <w:rFonts w:hAnsi="宋体" w:cs="宋体"/>
          <w:color w:val="auto"/>
          <w:sz w:val="24"/>
          <w:szCs w:val="24"/>
        </w:rPr>
      </w:pPr>
      <w:r>
        <w:rPr>
          <w:rFonts w:hint="eastAsia" w:hAnsi="宋体" w:cs="宋体"/>
          <w:color w:val="auto"/>
          <w:sz w:val="24"/>
          <w:szCs w:val="24"/>
        </w:rPr>
        <w:t>我方作为项目名称：</w:t>
      </w:r>
      <w:r>
        <w:rPr>
          <w:rFonts w:hint="eastAsia" w:hAnsi="宋体" w:cs="宋体"/>
          <w:color w:val="auto"/>
          <w:sz w:val="24"/>
          <w:szCs w:val="24"/>
          <w:u w:val="single"/>
        </w:rPr>
        <w:t xml:space="preserve">     </w:t>
      </w:r>
      <w:r>
        <w:rPr>
          <w:rFonts w:hint="eastAsia" w:hAnsi="宋体" w:cs="宋体"/>
          <w:color w:val="auto"/>
          <w:sz w:val="24"/>
          <w:szCs w:val="24"/>
        </w:rPr>
        <w:t>（项目编号：</w:t>
      </w:r>
      <w:r>
        <w:rPr>
          <w:rFonts w:hint="eastAsia" w:hAnsi="宋体" w:cs="宋体"/>
          <w:color w:val="auto"/>
          <w:sz w:val="24"/>
          <w:szCs w:val="24"/>
          <w:u w:val="single"/>
        </w:rPr>
        <w:t xml:space="preserve">     </w:t>
      </w:r>
      <w:r>
        <w:rPr>
          <w:rFonts w:hint="eastAsia" w:hAnsi="宋体" w:cs="宋体"/>
          <w:color w:val="auto"/>
          <w:sz w:val="24"/>
          <w:szCs w:val="24"/>
        </w:rPr>
        <w:t>）的投标人，在此郑重声明：</w:t>
      </w:r>
    </w:p>
    <w:p w14:paraId="16D811E0">
      <w:pPr>
        <w:spacing w:line="360" w:lineRule="auto"/>
        <w:ind w:firstLine="480" w:firstLineChars="200"/>
        <w:jc w:val="left"/>
        <w:rPr>
          <w:rFonts w:hAnsi="宋体" w:cs="宋体"/>
          <w:color w:val="auto"/>
          <w:sz w:val="24"/>
          <w:szCs w:val="24"/>
        </w:rPr>
      </w:pPr>
      <w:r>
        <w:rPr>
          <w:rFonts w:hint="eastAsia" w:hAnsi="宋体" w:cs="宋体"/>
          <w:color w:val="auto"/>
          <w:sz w:val="24"/>
          <w:szCs w:val="24"/>
        </w:rPr>
        <w:t>1.在参加本次政府采购活动前3年内的经营活动中</w:t>
      </w:r>
      <w:r>
        <w:rPr>
          <w:rFonts w:hint="eastAsia" w:hAnsi="宋体" w:cs="宋体"/>
          <w:color w:val="auto"/>
          <w:sz w:val="24"/>
          <w:szCs w:val="24"/>
          <w:u w:val="single"/>
        </w:rPr>
        <w:t xml:space="preserve">       </w:t>
      </w:r>
      <w:r>
        <w:rPr>
          <w:rFonts w:hint="eastAsia" w:hAnsi="宋体" w:cs="宋体"/>
          <w:color w:val="auto"/>
          <w:sz w:val="24"/>
          <w:szCs w:val="24"/>
        </w:rPr>
        <w:t>（填“没有”或“有”）重大违法记录。（投标人在参加政府采购活动前3年内因违法经营被禁止在一定期限内参加政府采购活动，期限届满的，可以参加政府采购活动，但应提供期限届满的证明材料。）</w:t>
      </w:r>
    </w:p>
    <w:p w14:paraId="1ED7CB93">
      <w:pPr>
        <w:spacing w:line="360" w:lineRule="auto"/>
        <w:ind w:firstLine="480" w:firstLineChars="200"/>
        <w:jc w:val="left"/>
        <w:rPr>
          <w:rFonts w:hAnsi="宋体" w:cs="宋体"/>
          <w:color w:val="auto"/>
          <w:sz w:val="24"/>
          <w:szCs w:val="24"/>
        </w:rPr>
      </w:pPr>
      <w:r>
        <w:rPr>
          <w:rFonts w:hint="eastAsia" w:hAnsi="宋体" w:cs="宋体"/>
          <w:color w:val="auto"/>
          <w:sz w:val="24"/>
          <w:szCs w:val="24"/>
        </w:rPr>
        <w:t>2.我方</w:t>
      </w:r>
      <w:r>
        <w:rPr>
          <w:rFonts w:hint="eastAsia" w:hAnsi="宋体" w:cs="宋体"/>
          <w:color w:val="auto"/>
          <w:sz w:val="24"/>
          <w:szCs w:val="24"/>
          <w:u w:val="single"/>
        </w:rPr>
        <w:t xml:space="preserve">        </w:t>
      </w:r>
      <w:r>
        <w:rPr>
          <w:rFonts w:hint="eastAsia" w:hAnsi="宋体" w:cs="宋体"/>
          <w:color w:val="auto"/>
          <w:sz w:val="24"/>
          <w:szCs w:val="24"/>
        </w:rPr>
        <w:t>（填“未被列入”或“被列入”）严重失信主体名单。</w:t>
      </w:r>
    </w:p>
    <w:p w14:paraId="5DCD10AC">
      <w:pPr>
        <w:spacing w:line="360" w:lineRule="auto"/>
        <w:ind w:firstLine="480" w:firstLineChars="200"/>
        <w:jc w:val="left"/>
        <w:rPr>
          <w:rFonts w:hAnsi="宋体" w:cs="宋体"/>
          <w:color w:val="auto"/>
          <w:sz w:val="24"/>
          <w:szCs w:val="24"/>
        </w:rPr>
      </w:pPr>
      <w:r>
        <w:rPr>
          <w:rFonts w:hint="eastAsia" w:hAnsi="宋体" w:cs="宋体"/>
          <w:color w:val="auto"/>
          <w:sz w:val="24"/>
          <w:szCs w:val="24"/>
        </w:rPr>
        <w:t>3.我方</w:t>
      </w:r>
      <w:r>
        <w:rPr>
          <w:rFonts w:hint="eastAsia" w:hAnsi="宋体" w:cs="宋体"/>
          <w:color w:val="auto"/>
          <w:sz w:val="24"/>
          <w:szCs w:val="24"/>
          <w:u w:val="single"/>
        </w:rPr>
        <w:t xml:space="preserve">        </w:t>
      </w:r>
      <w:r>
        <w:rPr>
          <w:rFonts w:hint="eastAsia" w:hAnsi="宋体" w:cs="宋体"/>
          <w:color w:val="auto"/>
          <w:sz w:val="24"/>
          <w:szCs w:val="24"/>
        </w:rPr>
        <w:t>（填“未被列入”或“被列入”）重大税收违法失信主体名单。</w:t>
      </w:r>
    </w:p>
    <w:p w14:paraId="3AD89EE7">
      <w:pPr>
        <w:spacing w:line="360" w:lineRule="auto"/>
        <w:ind w:firstLine="480" w:firstLineChars="200"/>
        <w:jc w:val="left"/>
        <w:rPr>
          <w:rFonts w:hAnsi="宋体" w:cs="宋体"/>
          <w:color w:val="auto"/>
          <w:sz w:val="24"/>
          <w:szCs w:val="24"/>
        </w:rPr>
      </w:pPr>
      <w:r>
        <w:rPr>
          <w:rFonts w:hint="eastAsia" w:hAnsi="宋体" w:cs="宋体"/>
          <w:color w:val="auto"/>
          <w:sz w:val="24"/>
          <w:szCs w:val="24"/>
        </w:rPr>
        <w:t>4.我方</w:t>
      </w:r>
      <w:r>
        <w:rPr>
          <w:rFonts w:hint="eastAsia" w:hAnsi="宋体" w:cs="宋体"/>
          <w:color w:val="auto"/>
          <w:sz w:val="24"/>
          <w:szCs w:val="24"/>
          <w:u w:val="single"/>
        </w:rPr>
        <w:t xml:space="preserve">        </w:t>
      </w:r>
      <w:r>
        <w:rPr>
          <w:rFonts w:hint="eastAsia" w:hAnsi="宋体" w:cs="宋体"/>
          <w:color w:val="auto"/>
          <w:sz w:val="24"/>
          <w:szCs w:val="24"/>
        </w:rPr>
        <w:t>（填“未被列入”或“被列入”）政府采购严重违法失信行为记录名单。</w:t>
      </w:r>
    </w:p>
    <w:p w14:paraId="59A4CBC4">
      <w:pPr>
        <w:spacing w:line="360" w:lineRule="auto"/>
        <w:ind w:firstLine="480" w:firstLineChars="200"/>
        <w:jc w:val="left"/>
        <w:rPr>
          <w:rFonts w:hAnsi="宋体" w:cs="宋体"/>
          <w:color w:val="auto"/>
          <w:sz w:val="24"/>
          <w:szCs w:val="24"/>
        </w:rPr>
      </w:pPr>
      <w:r>
        <w:rPr>
          <w:rFonts w:hint="eastAsia" w:hAnsi="宋体" w:cs="宋体"/>
          <w:color w:val="auto"/>
          <w:sz w:val="24"/>
          <w:szCs w:val="24"/>
        </w:rPr>
        <w:t>如有不实，我方将无条件地退出本项目的采购活动，并遵照《政府采购法》有关“提供虚假材料的规定”接受处罚。</w:t>
      </w:r>
    </w:p>
    <w:p w14:paraId="0F0B6F2C">
      <w:pPr>
        <w:spacing w:line="360" w:lineRule="auto"/>
        <w:ind w:firstLine="480" w:firstLineChars="200"/>
        <w:jc w:val="left"/>
        <w:rPr>
          <w:rFonts w:hAnsi="宋体" w:cs="宋体"/>
          <w:color w:val="auto"/>
          <w:sz w:val="24"/>
          <w:szCs w:val="24"/>
        </w:rPr>
      </w:pPr>
      <w:r>
        <w:rPr>
          <w:rFonts w:hint="eastAsia" w:hAnsi="宋体" w:cs="宋体"/>
          <w:color w:val="auto"/>
          <w:sz w:val="24"/>
          <w:szCs w:val="24"/>
        </w:rPr>
        <w:t>特此声明。</w:t>
      </w:r>
    </w:p>
    <w:p w14:paraId="46A9DD28">
      <w:pPr>
        <w:spacing w:line="288" w:lineRule="auto"/>
        <w:ind w:firstLine="480" w:firstLineChars="200"/>
        <w:jc w:val="left"/>
        <w:rPr>
          <w:rFonts w:hAnsi="宋体" w:cs="宋体"/>
          <w:color w:val="auto"/>
          <w:sz w:val="24"/>
          <w:szCs w:val="24"/>
        </w:rPr>
      </w:pPr>
    </w:p>
    <w:p w14:paraId="5E50B8F3">
      <w:pPr>
        <w:spacing w:line="288" w:lineRule="auto"/>
        <w:ind w:firstLine="480" w:firstLineChars="200"/>
        <w:jc w:val="left"/>
        <w:rPr>
          <w:rFonts w:hAnsi="宋体" w:cs="宋体"/>
          <w:color w:val="auto"/>
          <w:sz w:val="24"/>
          <w:szCs w:val="24"/>
        </w:rPr>
      </w:pPr>
    </w:p>
    <w:p w14:paraId="6356014A">
      <w:pPr>
        <w:spacing w:line="288" w:lineRule="auto"/>
        <w:ind w:firstLine="5520" w:firstLineChars="2300"/>
        <w:jc w:val="left"/>
        <w:rPr>
          <w:rFonts w:hAnsi="宋体" w:cs="宋体"/>
          <w:color w:val="auto"/>
          <w:sz w:val="24"/>
          <w:szCs w:val="24"/>
        </w:rPr>
      </w:pPr>
      <w:r>
        <w:rPr>
          <w:rFonts w:hint="eastAsia" w:hAnsi="宋体" w:cs="宋体"/>
          <w:color w:val="auto"/>
          <w:sz w:val="24"/>
          <w:szCs w:val="24"/>
        </w:rPr>
        <w:t>投标人：</w:t>
      </w:r>
      <w:r>
        <w:rPr>
          <w:rFonts w:hint="eastAsia" w:hAnsi="宋体" w:cs="宋体"/>
          <w:color w:val="auto"/>
          <w:spacing w:val="-10"/>
          <w:sz w:val="24"/>
          <w:szCs w:val="24"/>
          <w:highlight w:val="none"/>
          <w:u w:val="single"/>
          <w:lang w:eastAsia="zh-CN"/>
        </w:rPr>
        <w:t>服务商名称</w:t>
      </w:r>
      <w:r>
        <w:rPr>
          <w:rFonts w:hint="eastAsia" w:hAnsi="宋体" w:cs="宋体"/>
          <w:color w:val="auto"/>
          <w:sz w:val="24"/>
          <w:szCs w:val="24"/>
        </w:rPr>
        <w:t>（盖章）</w:t>
      </w:r>
    </w:p>
    <w:p w14:paraId="673B4BEB">
      <w:pPr>
        <w:spacing w:line="288" w:lineRule="auto"/>
        <w:ind w:firstLine="5520" w:firstLineChars="2300"/>
        <w:jc w:val="left"/>
        <w:rPr>
          <w:rFonts w:hint="eastAsia" w:hAnsi="宋体" w:cs="宋体"/>
          <w:color w:val="auto"/>
          <w:sz w:val="24"/>
          <w:szCs w:val="24"/>
        </w:rPr>
      </w:pPr>
    </w:p>
    <w:p w14:paraId="22EDD16B">
      <w:pPr>
        <w:spacing w:line="288" w:lineRule="auto"/>
        <w:ind w:firstLine="5520" w:firstLineChars="2300"/>
        <w:jc w:val="left"/>
        <w:rPr>
          <w:rFonts w:hAnsi="宋体" w:cs="宋体"/>
          <w:color w:val="auto"/>
          <w:sz w:val="24"/>
          <w:szCs w:val="24"/>
        </w:rPr>
      </w:pPr>
      <w:r>
        <w:rPr>
          <w:rFonts w:hint="eastAsia" w:hAnsi="宋体" w:cs="宋体"/>
          <w:color w:val="auto"/>
          <w:sz w:val="24"/>
          <w:szCs w:val="24"/>
        </w:rPr>
        <w:t>法定代表人：（签章）</w:t>
      </w:r>
    </w:p>
    <w:p w14:paraId="28621D6D">
      <w:pPr>
        <w:spacing w:line="288" w:lineRule="auto"/>
        <w:ind w:firstLine="5520" w:firstLineChars="2300"/>
        <w:jc w:val="left"/>
        <w:rPr>
          <w:rFonts w:hint="eastAsia" w:hAnsi="宋体" w:cs="宋体"/>
          <w:color w:val="auto"/>
          <w:sz w:val="24"/>
          <w:szCs w:val="24"/>
        </w:rPr>
      </w:pPr>
    </w:p>
    <w:p w14:paraId="37DA6295">
      <w:pPr>
        <w:spacing w:line="288" w:lineRule="auto"/>
        <w:ind w:firstLine="5520" w:firstLineChars="2300"/>
        <w:jc w:val="left"/>
        <w:rPr>
          <w:rFonts w:hAnsi="宋体" w:cs="宋体"/>
          <w:color w:val="auto"/>
          <w:sz w:val="24"/>
          <w:szCs w:val="24"/>
        </w:rPr>
      </w:pPr>
      <w:r>
        <w:rPr>
          <w:rFonts w:hint="eastAsia" w:hAnsi="宋体" w:cs="宋体"/>
          <w:color w:val="auto"/>
          <w:sz w:val="24"/>
          <w:szCs w:val="24"/>
        </w:rPr>
        <w:t>日期：　　年　月　日</w:t>
      </w:r>
    </w:p>
    <w:p w14:paraId="08D15022">
      <w:pPr>
        <w:rPr>
          <w:rFonts w:hint="eastAsia" w:hAnsi="宋体" w:cs="宋体"/>
          <w:b/>
          <w:color w:val="auto"/>
          <w:sz w:val="28"/>
          <w:szCs w:val="28"/>
          <w:lang w:eastAsia="zh-CN"/>
        </w:rPr>
      </w:pPr>
    </w:p>
    <w:p w14:paraId="4226CA9F">
      <w:pPr>
        <w:rPr>
          <w:rFonts w:hint="eastAsia" w:hAnsi="宋体" w:cs="宋体"/>
          <w:b/>
          <w:color w:val="auto"/>
          <w:sz w:val="28"/>
          <w:szCs w:val="28"/>
          <w:lang w:eastAsia="zh-CN"/>
        </w:rPr>
      </w:pPr>
    </w:p>
    <w:p w14:paraId="4C494C5C">
      <w:pPr>
        <w:rPr>
          <w:rFonts w:hint="eastAsia" w:hAnsi="宋体" w:cs="宋体"/>
          <w:b/>
          <w:color w:val="auto"/>
          <w:sz w:val="28"/>
          <w:szCs w:val="28"/>
          <w:lang w:eastAsia="zh-CN"/>
        </w:rPr>
      </w:pPr>
    </w:p>
    <w:p w14:paraId="25448C13">
      <w:pPr>
        <w:rPr>
          <w:rFonts w:hint="eastAsia" w:hAnsi="宋体" w:cs="宋体"/>
          <w:b/>
          <w:color w:val="auto"/>
          <w:sz w:val="28"/>
          <w:szCs w:val="28"/>
          <w:lang w:eastAsia="zh-CN"/>
        </w:rPr>
      </w:pPr>
    </w:p>
    <w:p w14:paraId="4A448C67">
      <w:pPr>
        <w:rPr>
          <w:rFonts w:hint="eastAsia" w:hAnsi="宋体" w:cs="宋体"/>
          <w:b/>
          <w:color w:val="auto"/>
          <w:sz w:val="28"/>
          <w:szCs w:val="28"/>
          <w:lang w:eastAsia="zh-CN"/>
        </w:rPr>
      </w:pPr>
    </w:p>
    <w:p w14:paraId="2FBC74EC">
      <w:pPr>
        <w:rPr>
          <w:rFonts w:hint="eastAsia" w:hAnsi="宋体" w:cs="宋体"/>
          <w:b/>
          <w:color w:val="auto"/>
          <w:sz w:val="28"/>
          <w:szCs w:val="28"/>
          <w:lang w:eastAsia="zh-CN"/>
        </w:rPr>
      </w:pPr>
    </w:p>
    <w:p w14:paraId="316C00C1">
      <w:pPr>
        <w:pStyle w:val="29"/>
        <w:rPr>
          <w:rFonts w:hint="eastAsia" w:hAnsi="宋体" w:cs="宋体"/>
          <w:b/>
          <w:color w:val="auto"/>
          <w:sz w:val="28"/>
          <w:szCs w:val="28"/>
          <w:lang w:eastAsia="zh-CN"/>
        </w:rPr>
      </w:pPr>
    </w:p>
    <w:p w14:paraId="37ABDD32">
      <w:pPr>
        <w:pStyle w:val="29"/>
        <w:rPr>
          <w:rFonts w:hint="eastAsia" w:hAnsi="宋体" w:cs="宋体"/>
          <w:b/>
          <w:color w:val="auto"/>
          <w:sz w:val="28"/>
          <w:szCs w:val="28"/>
          <w:lang w:eastAsia="zh-CN"/>
        </w:rPr>
      </w:pPr>
    </w:p>
    <w:p w14:paraId="388BF40D">
      <w:pPr>
        <w:pStyle w:val="29"/>
        <w:rPr>
          <w:rFonts w:hint="eastAsia" w:hAnsi="宋体" w:cs="宋体"/>
          <w:b/>
          <w:color w:val="auto"/>
          <w:sz w:val="28"/>
          <w:szCs w:val="28"/>
          <w:lang w:eastAsia="zh-CN"/>
        </w:rPr>
      </w:pPr>
    </w:p>
    <w:p w14:paraId="3E329589">
      <w:pPr>
        <w:pStyle w:val="29"/>
        <w:rPr>
          <w:rFonts w:hint="eastAsia" w:hAnsi="宋体" w:cs="宋体"/>
          <w:b/>
          <w:color w:val="auto"/>
          <w:sz w:val="28"/>
          <w:szCs w:val="28"/>
          <w:lang w:eastAsia="zh-CN"/>
        </w:rPr>
      </w:pPr>
    </w:p>
    <w:p w14:paraId="4D9C7BB2">
      <w:pPr>
        <w:pStyle w:val="29"/>
        <w:rPr>
          <w:rFonts w:hint="eastAsia" w:hAnsi="宋体" w:cs="宋体"/>
          <w:b/>
          <w:color w:val="auto"/>
          <w:sz w:val="28"/>
          <w:szCs w:val="28"/>
          <w:lang w:eastAsia="zh-CN"/>
        </w:rPr>
      </w:pPr>
    </w:p>
    <w:p w14:paraId="18DD7A6E">
      <w:pPr>
        <w:pStyle w:val="29"/>
        <w:rPr>
          <w:rFonts w:hint="eastAsia" w:hAnsi="宋体" w:cs="宋体"/>
          <w:b/>
          <w:color w:val="auto"/>
          <w:sz w:val="28"/>
          <w:szCs w:val="28"/>
          <w:lang w:eastAsia="zh-CN"/>
        </w:rPr>
      </w:pPr>
    </w:p>
    <w:p w14:paraId="65ACCC75">
      <w:pPr>
        <w:pStyle w:val="29"/>
        <w:rPr>
          <w:rFonts w:hint="eastAsia" w:hAnsi="宋体" w:cs="宋体"/>
          <w:b/>
          <w:color w:val="auto"/>
          <w:sz w:val="28"/>
          <w:szCs w:val="28"/>
          <w:lang w:eastAsia="zh-CN"/>
        </w:rPr>
      </w:pPr>
    </w:p>
    <w:p w14:paraId="23928996">
      <w:pPr>
        <w:rPr>
          <w:rFonts w:hint="eastAsia" w:hAnsi="宋体" w:cs="宋体"/>
          <w:b/>
          <w:color w:val="auto"/>
          <w:sz w:val="28"/>
          <w:szCs w:val="28"/>
          <w:lang w:eastAsia="zh-CN"/>
        </w:rPr>
      </w:pPr>
    </w:p>
    <w:p w14:paraId="32607F3C">
      <w:pPr>
        <w:jc w:val="center"/>
        <w:rPr>
          <w:rFonts w:hAnsi="宋体" w:cs="宋体"/>
          <w:color w:val="auto"/>
          <w:szCs w:val="24"/>
        </w:rPr>
      </w:pPr>
      <w:r>
        <w:rPr>
          <w:rFonts w:hint="eastAsia" w:hAnsi="宋体" w:cs="宋体"/>
          <w:b/>
          <w:color w:val="auto"/>
          <w:sz w:val="28"/>
          <w:szCs w:val="28"/>
          <w:lang w:eastAsia="zh-CN"/>
        </w:rPr>
        <w:t>榆林市政府采购服务类</w:t>
      </w:r>
      <w:r>
        <w:rPr>
          <w:rFonts w:hint="eastAsia" w:hAnsi="宋体" w:cs="宋体"/>
          <w:b/>
          <w:color w:val="auto"/>
          <w:sz w:val="28"/>
          <w:szCs w:val="28"/>
        </w:rPr>
        <w:t>项目供应商信用承诺书</w:t>
      </w:r>
    </w:p>
    <w:p w14:paraId="6F90CE57">
      <w:pPr>
        <w:spacing w:line="288" w:lineRule="auto"/>
        <w:ind w:firstLine="480" w:firstLineChars="200"/>
        <w:rPr>
          <w:rFonts w:hAnsi="宋体" w:cs="宋体"/>
          <w:color w:val="auto"/>
          <w:sz w:val="24"/>
          <w:szCs w:val="24"/>
        </w:rPr>
      </w:pPr>
      <w:r>
        <w:rPr>
          <w:rFonts w:hint="eastAsia" w:hAnsi="宋体" w:cs="宋体"/>
          <w:color w:val="auto"/>
          <w:sz w:val="24"/>
          <w:szCs w:val="24"/>
        </w:rPr>
        <w:t>市场主体名称：</w:t>
      </w:r>
    </w:p>
    <w:p w14:paraId="4CFB38EA">
      <w:pPr>
        <w:spacing w:line="288" w:lineRule="auto"/>
        <w:ind w:firstLine="480" w:firstLineChars="200"/>
        <w:rPr>
          <w:rFonts w:hAnsi="宋体" w:cs="宋体"/>
          <w:color w:val="auto"/>
          <w:sz w:val="24"/>
          <w:szCs w:val="24"/>
        </w:rPr>
      </w:pPr>
      <w:r>
        <w:rPr>
          <w:rFonts w:hint="eastAsia" w:hAnsi="宋体" w:cs="宋体"/>
          <w:color w:val="auto"/>
          <w:sz w:val="24"/>
          <w:szCs w:val="24"/>
        </w:rPr>
        <w:t>证件类型：统一社会信用代码</w:t>
      </w:r>
    </w:p>
    <w:p w14:paraId="3E5F8886">
      <w:pPr>
        <w:spacing w:line="288" w:lineRule="auto"/>
        <w:ind w:firstLine="480" w:firstLineChars="200"/>
        <w:rPr>
          <w:rFonts w:hAnsi="宋体" w:cs="宋体"/>
          <w:color w:val="auto"/>
          <w:sz w:val="24"/>
          <w:szCs w:val="24"/>
        </w:rPr>
      </w:pPr>
      <w:r>
        <w:rPr>
          <w:rFonts w:hint="eastAsia" w:hAnsi="宋体" w:cs="宋体"/>
          <w:color w:val="auto"/>
          <w:sz w:val="24"/>
          <w:szCs w:val="24"/>
        </w:rPr>
        <w:t>证件号码：</w:t>
      </w:r>
    </w:p>
    <w:p w14:paraId="5606732A">
      <w:pPr>
        <w:spacing w:line="288" w:lineRule="auto"/>
        <w:ind w:firstLine="480" w:firstLineChars="200"/>
        <w:rPr>
          <w:rFonts w:hAnsi="宋体" w:cs="宋体"/>
          <w:color w:val="auto"/>
          <w:sz w:val="24"/>
          <w:szCs w:val="24"/>
        </w:rPr>
      </w:pPr>
      <w:r>
        <w:rPr>
          <w:rFonts w:hint="eastAsia" w:hAnsi="宋体" w:cs="宋体"/>
          <w:color w:val="auto"/>
          <w:sz w:val="24"/>
          <w:szCs w:val="24"/>
        </w:rPr>
        <w:t>法人代表：</w:t>
      </w:r>
    </w:p>
    <w:p w14:paraId="1750C7CD">
      <w:pPr>
        <w:spacing w:line="288" w:lineRule="auto"/>
        <w:ind w:firstLine="480" w:firstLineChars="200"/>
        <w:rPr>
          <w:rFonts w:hAnsi="宋体" w:cs="宋体"/>
          <w:color w:val="auto"/>
          <w:sz w:val="24"/>
          <w:szCs w:val="24"/>
        </w:rPr>
      </w:pPr>
      <w:r>
        <w:rPr>
          <w:rFonts w:hint="eastAsia" w:hAnsi="宋体" w:cs="宋体"/>
          <w:color w:val="auto"/>
          <w:sz w:val="24"/>
          <w:szCs w:val="24"/>
        </w:rPr>
        <w:t>承诺有效期限：    年    月    日—    年    月    日</w:t>
      </w:r>
    </w:p>
    <w:p w14:paraId="3792DD86">
      <w:pPr>
        <w:spacing w:line="288" w:lineRule="auto"/>
        <w:ind w:firstLine="480" w:firstLineChars="200"/>
        <w:rPr>
          <w:rFonts w:hAnsi="宋体" w:cs="宋体"/>
          <w:color w:val="auto"/>
          <w:sz w:val="24"/>
          <w:szCs w:val="24"/>
        </w:rPr>
      </w:pPr>
      <w:r>
        <w:rPr>
          <w:rFonts w:hint="eastAsia" w:hAnsi="宋体" w:cs="宋体"/>
          <w:color w:val="auto"/>
          <w:sz w:val="24"/>
          <w:szCs w:val="24"/>
        </w:rPr>
        <w:t>承诺内容：</w:t>
      </w:r>
    </w:p>
    <w:p w14:paraId="3729715B">
      <w:pPr>
        <w:spacing w:line="288" w:lineRule="auto"/>
        <w:ind w:firstLine="480" w:firstLineChars="200"/>
        <w:rPr>
          <w:rFonts w:hAnsi="宋体" w:cs="宋体"/>
          <w:color w:val="auto"/>
          <w:sz w:val="24"/>
          <w:szCs w:val="24"/>
        </w:rPr>
      </w:pPr>
      <w:r>
        <w:rPr>
          <w:rFonts w:hint="eastAsia" w:hAnsi="宋体" w:cs="宋体"/>
          <w:color w:val="auto"/>
          <w:sz w:val="24"/>
          <w:szCs w:val="24"/>
        </w:rPr>
        <w:t>为维护公开、公平、公正的政府采购市场秩序，树立诚实守信的政府采购供应商形象，本单位自愿做出以下承诺：</w:t>
      </w:r>
    </w:p>
    <w:p w14:paraId="6FA569A1">
      <w:pPr>
        <w:spacing w:line="288" w:lineRule="auto"/>
        <w:ind w:firstLine="480" w:firstLineChars="200"/>
        <w:rPr>
          <w:rFonts w:hAnsi="宋体" w:cs="宋体"/>
          <w:color w:val="auto"/>
          <w:sz w:val="24"/>
          <w:szCs w:val="24"/>
        </w:rPr>
      </w:pPr>
      <w:r>
        <w:rPr>
          <w:rFonts w:hint="eastAsia" w:hAnsi="宋体" w:cs="宋体"/>
          <w:color w:val="auto"/>
          <w:sz w:val="24"/>
          <w:szCs w:val="24"/>
        </w:rPr>
        <w:t>一、承诺本单位严格遵守国家法律、法规和规章，全面履行应尽的责任和义务，全面做到履约守信，具备《政府采购法》第二十二条第一款规定的条件;</w:t>
      </w:r>
    </w:p>
    <w:p w14:paraId="5F2FF6AC">
      <w:pPr>
        <w:overflowPunct w:val="0"/>
        <w:topLinePunct/>
        <w:spacing w:line="288" w:lineRule="auto"/>
        <w:ind w:firstLine="480" w:firstLineChars="200"/>
        <w:jc w:val="left"/>
        <w:rPr>
          <w:rFonts w:hAnsi="宋体" w:cs="宋体"/>
          <w:color w:val="auto"/>
          <w:sz w:val="24"/>
          <w:szCs w:val="24"/>
        </w:rPr>
      </w:pPr>
      <w:r>
        <w:rPr>
          <w:rFonts w:hint="eastAsia" w:hAnsi="宋体" w:cs="宋体"/>
          <w:color w:val="auto"/>
          <w:sz w:val="24"/>
          <w:szCs w:val="24"/>
        </w:rPr>
        <w:t>二、承诺本单位提供给注册登记部门、行业管理部门、司法部门、行业组织以及在政府采购活动中提交的所有资料均合法、真实、有效，无任何伪造、修改、虚假成份，并对所提供资料的真实性负责；</w:t>
      </w:r>
    </w:p>
    <w:p w14:paraId="7F28E4C3">
      <w:pPr>
        <w:overflowPunct w:val="0"/>
        <w:topLinePunct/>
        <w:spacing w:line="288" w:lineRule="auto"/>
        <w:ind w:firstLine="480" w:firstLineChars="200"/>
        <w:jc w:val="left"/>
        <w:rPr>
          <w:rFonts w:hAnsi="宋体" w:cs="宋体"/>
          <w:color w:val="auto"/>
          <w:sz w:val="24"/>
          <w:szCs w:val="24"/>
        </w:rPr>
      </w:pPr>
      <w:r>
        <w:rPr>
          <w:rFonts w:hint="eastAsia" w:hAnsi="宋体" w:cs="宋体"/>
          <w:color w:val="auto"/>
          <w:sz w:val="24"/>
          <w:szCs w:val="24"/>
        </w:rPr>
        <w:t>三、承诺本单位严格依法开展生产经营活动，主动接受行业监管，自愿接受依法开展的日常检查；违法失信经营后将自愿接受约束和惩戒，并依法承担相应责任；</w:t>
      </w:r>
    </w:p>
    <w:p w14:paraId="3583DF66">
      <w:pPr>
        <w:overflowPunct w:val="0"/>
        <w:topLinePunct/>
        <w:spacing w:line="288" w:lineRule="auto"/>
        <w:ind w:firstLine="480" w:firstLineChars="200"/>
        <w:jc w:val="left"/>
        <w:rPr>
          <w:rFonts w:hAnsi="宋体" w:cs="宋体"/>
          <w:color w:val="auto"/>
          <w:sz w:val="24"/>
          <w:szCs w:val="24"/>
        </w:rPr>
      </w:pPr>
      <w:r>
        <w:rPr>
          <w:rFonts w:hint="eastAsia" w:hAnsi="宋体" w:cs="宋体"/>
          <w:color w:val="auto"/>
          <w:sz w:val="24"/>
          <w:szCs w:val="24"/>
        </w:rPr>
        <w:t>四、承诺本单位自觉接受行政管理部门、行业组织、社会公众、新闻舆论的监督；</w:t>
      </w:r>
    </w:p>
    <w:p w14:paraId="2ED8163B">
      <w:pPr>
        <w:overflowPunct w:val="0"/>
        <w:topLinePunct/>
        <w:spacing w:line="288" w:lineRule="auto"/>
        <w:ind w:firstLine="480" w:firstLineChars="200"/>
        <w:jc w:val="left"/>
        <w:rPr>
          <w:rFonts w:hAnsi="宋体" w:cs="宋体"/>
          <w:color w:val="auto"/>
          <w:sz w:val="24"/>
          <w:szCs w:val="24"/>
        </w:rPr>
      </w:pPr>
      <w:r>
        <w:rPr>
          <w:rFonts w:hint="eastAsia" w:hAnsi="宋体" w:cs="宋体"/>
          <w:color w:val="auto"/>
          <w:sz w:val="24"/>
          <w:szCs w:val="24"/>
        </w:rPr>
        <w:t>五、承诺本单位自我约束、自我管理，重合同、守信用，不制假售假、商标侵权、虚假宣传、违约毁约、恶意逃债、偷税漏税、价格欺诈、垄断和不正当竞争，维护经营者、消费者的合法权益；</w:t>
      </w:r>
    </w:p>
    <w:p w14:paraId="3793892E">
      <w:pPr>
        <w:overflowPunct w:val="0"/>
        <w:topLinePunct/>
        <w:spacing w:line="288" w:lineRule="auto"/>
        <w:ind w:firstLine="480" w:firstLineChars="200"/>
        <w:jc w:val="left"/>
        <w:rPr>
          <w:rFonts w:hAnsi="宋体" w:cs="宋体"/>
          <w:color w:val="auto"/>
          <w:sz w:val="24"/>
          <w:szCs w:val="24"/>
        </w:rPr>
      </w:pPr>
      <w:r>
        <w:rPr>
          <w:rFonts w:hint="eastAsia" w:hAnsi="宋体" w:cs="宋体"/>
          <w:color w:val="auto"/>
          <w:sz w:val="24"/>
          <w:szCs w:val="24"/>
        </w:rPr>
        <w:t>六、承诺本单位提出政府采购质疑和投诉坚持依法依规、诚实信用原则，在全国范围12个月内没有三次以上查无实据的政府采购投诉；</w:t>
      </w:r>
    </w:p>
    <w:p w14:paraId="3419EF82">
      <w:pPr>
        <w:overflowPunct w:val="0"/>
        <w:topLinePunct/>
        <w:spacing w:line="288" w:lineRule="auto"/>
        <w:ind w:firstLine="480" w:firstLineChars="200"/>
        <w:jc w:val="left"/>
        <w:rPr>
          <w:rFonts w:hAnsi="宋体" w:cs="宋体"/>
          <w:color w:val="auto"/>
          <w:sz w:val="24"/>
          <w:szCs w:val="24"/>
        </w:rPr>
      </w:pPr>
      <w:r>
        <w:rPr>
          <w:rFonts w:hint="eastAsia" w:hAnsi="宋体" w:cs="宋体"/>
          <w:color w:val="auto"/>
          <w:sz w:val="24"/>
          <w:szCs w:val="24"/>
        </w:rPr>
        <w:t>七、根据政府采购相关法律法规的规定需要作出的其他诺：</w:t>
      </w:r>
      <w:r>
        <w:rPr>
          <w:rFonts w:hint="eastAsia" w:hAnsi="宋体" w:cs="宋体"/>
          <w:color w:val="auto"/>
          <w:sz w:val="24"/>
          <w:szCs w:val="24"/>
          <w:u w:val="single"/>
        </w:rPr>
        <w:t>         </w:t>
      </w:r>
      <w:r>
        <w:rPr>
          <w:rFonts w:hint="eastAsia" w:hAnsi="宋体" w:cs="宋体"/>
          <w:color w:val="auto"/>
          <w:sz w:val="24"/>
          <w:szCs w:val="24"/>
        </w:rPr>
        <w:t>。</w:t>
      </w:r>
    </w:p>
    <w:p w14:paraId="1428F144">
      <w:pPr>
        <w:overflowPunct w:val="0"/>
        <w:topLinePunct/>
        <w:spacing w:line="288" w:lineRule="auto"/>
        <w:ind w:firstLine="480" w:firstLineChars="200"/>
        <w:jc w:val="left"/>
        <w:rPr>
          <w:rFonts w:hAnsi="宋体" w:cs="宋体"/>
          <w:color w:val="auto"/>
          <w:sz w:val="24"/>
          <w:szCs w:val="24"/>
        </w:rPr>
      </w:pPr>
      <w:r>
        <w:rPr>
          <w:rFonts w:hint="eastAsia" w:hAnsi="宋体" w:cs="宋体"/>
          <w:color w:val="auto"/>
          <w:sz w:val="24"/>
          <w:szCs w:val="24"/>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6D2399BE">
      <w:pPr>
        <w:overflowPunct w:val="0"/>
        <w:topLinePunct/>
        <w:spacing w:line="288" w:lineRule="auto"/>
        <w:ind w:firstLine="480" w:firstLineChars="200"/>
        <w:jc w:val="left"/>
        <w:rPr>
          <w:rFonts w:hAnsi="宋体" w:cs="宋体"/>
          <w:color w:val="auto"/>
          <w:sz w:val="24"/>
          <w:szCs w:val="24"/>
        </w:rPr>
      </w:pPr>
      <w:r>
        <w:rPr>
          <w:rFonts w:hint="eastAsia" w:hAnsi="宋体" w:cs="宋体"/>
          <w:color w:val="auto"/>
          <w:sz w:val="24"/>
          <w:szCs w:val="24"/>
        </w:rPr>
        <w:t>       承诺单位（盖章）：</w:t>
      </w:r>
    </w:p>
    <w:p w14:paraId="3E91FC57">
      <w:pPr>
        <w:overflowPunct w:val="0"/>
        <w:topLinePunct/>
        <w:spacing w:line="288" w:lineRule="auto"/>
        <w:ind w:firstLine="480" w:firstLineChars="200"/>
        <w:jc w:val="left"/>
        <w:rPr>
          <w:rFonts w:hAnsi="宋体" w:cs="宋体"/>
          <w:color w:val="auto"/>
          <w:sz w:val="24"/>
          <w:szCs w:val="24"/>
        </w:rPr>
      </w:pPr>
      <w:r>
        <w:rPr>
          <w:rFonts w:hint="eastAsia" w:hAnsi="宋体" w:cs="宋体"/>
          <w:color w:val="auto"/>
          <w:sz w:val="24"/>
          <w:szCs w:val="24"/>
        </w:rPr>
        <w:t>       法定代表人（负责人）：</w:t>
      </w:r>
    </w:p>
    <w:p w14:paraId="7EC98E8E">
      <w:pPr>
        <w:overflowPunct w:val="0"/>
        <w:topLinePunct/>
        <w:spacing w:line="288" w:lineRule="auto"/>
        <w:ind w:firstLine="480" w:firstLineChars="200"/>
        <w:jc w:val="left"/>
        <w:rPr>
          <w:rFonts w:hAnsi="宋体" w:cs="宋体"/>
          <w:color w:val="auto"/>
          <w:sz w:val="24"/>
          <w:szCs w:val="24"/>
        </w:rPr>
      </w:pPr>
      <w:r>
        <w:rPr>
          <w:rFonts w:hint="eastAsia" w:hAnsi="宋体" w:cs="宋体"/>
          <w:color w:val="auto"/>
          <w:sz w:val="24"/>
          <w:szCs w:val="24"/>
        </w:rPr>
        <w:t xml:space="preserve">              法定代表人（负责人）身份证号：</w:t>
      </w:r>
    </w:p>
    <w:p w14:paraId="5F712818">
      <w:pPr>
        <w:overflowPunct w:val="0"/>
        <w:topLinePunct/>
        <w:spacing w:line="288" w:lineRule="auto"/>
        <w:ind w:firstLine="480" w:firstLineChars="200"/>
        <w:jc w:val="left"/>
        <w:rPr>
          <w:rFonts w:hAnsi="宋体" w:cs="宋体"/>
          <w:b/>
          <w:bCs/>
          <w:color w:val="auto"/>
          <w:sz w:val="21"/>
          <w:szCs w:val="21"/>
        </w:rPr>
      </w:pPr>
      <w:r>
        <w:rPr>
          <w:rFonts w:hint="eastAsia" w:hAnsi="宋体" w:cs="宋体"/>
          <w:color w:val="auto"/>
          <w:sz w:val="24"/>
          <w:szCs w:val="24"/>
        </w:rPr>
        <w:t>       承诺日期：</w:t>
      </w:r>
    </w:p>
    <w:p w14:paraId="00516B03">
      <w:pPr>
        <w:pStyle w:val="33"/>
        <w:ind w:firstLine="0" w:firstLineChars="0"/>
        <w:rPr>
          <w:rFonts w:hint="eastAsia" w:hAnsi="宋体" w:cs="宋体"/>
          <w:color w:val="auto"/>
          <w:sz w:val="21"/>
          <w:szCs w:val="21"/>
        </w:rPr>
      </w:pPr>
      <w:r>
        <w:rPr>
          <w:rFonts w:hint="eastAsia" w:hAnsi="宋体" w:cs="宋体"/>
          <w:b/>
          <w:bCs/>
          <w:color w:val="auto"/>
          <w:sz w:val="21"/>
          <w:szCs w:val="21"/>
        </w:rPr>
        <w:t>注：</w:t>
      </w:r>
      <w:r>
        <w:rPr>
          <w:rFonts w:hint="eastAsia" w:hAnsi="宋体" w:cs="宋体"/>
          <w:color w:val="auto"/>
          <w:sz w:val="21"/>
          <w:szCs w:val="21"/>
        </w:rPr>
        <w:t>此承诺书除附在投标文件中外还须上传至“信用中国（陕西榆林）”网站</w:t>
      </w:r>
      <w:r>
        <w:rPr>
          <w:rFonts w:hint="eastAsia" w:ascii="宋体" w:hAnsi="宋体" w:eastAsia="宋体" w:cs="宋体"/>
          <w:color w:val="auto"/>
          <w:sz w:val="21"/>
          <w:szCs w:val="21"/>
          <w:lang w:eastAsia="zh-CN"/>
        </w:rPr>
        <w:t>（网上承诺时间以系统自动生成时间为准）</w:t>
      </w:r>
      <w:r>
        <w:rPr>
          <w:rFonts w:hint="eastAsia" w:hAnsi="宋体" w:cs="宋体"/>
          <w:color w:val="auto"/>
          <w:sz w:val="21"/>
          <w:szCs w:val="21"/>
        </w:rPr>
        <w:t>投标人自主上报信用承诺书附件。（承诺有效期为1年，承诺起始时间为提交投标文件截止之日，须后附截图。）法定代表人或负责人、主体名称发生变更的应当重新做出承诺。</w:t>
      </w:r>
      <w:bookmarkStart w:id="215" w:name="_Toc25357"/>
      <w:bookmarkStart w:id="216" w:name="_Toc15205"/>
      <w:bookmarkStart w:id="217" w:name="_Toc2419"/>
      <w:bookmarkStart w:id="218" w:name="_Toc26048"/>
    </w:p>
    <w:p w14:paraId="11A27B64">
      <w:pPr>
        <w:pStyle w:val="33"/>
        <w:ind w:firstLine="0" w:firstLineChars="0"/>
        <w:jc w:val="center"/>
        <w:rPr>
          <w:rFonts w:hint="eastAsia" w:ascii="宋体" w:hAnsi="宋体" w:cs="宋体"/>
          <w:szCs w:val="21"/>
        </w:rPr>
      </w:pPr>
      <w:r>
        <w:rPr>
          <w:rFonts w:hint="eastAsia" w:ascii="宋体" w:hAnsi="宋体" w:cs="宋体"/>
          <w:b/>
          <w:bCs/>
          <w:sz w:val="28"/>
          <w:szCs w:val="28"/>
        </w:rPr>
        <w:t>投标信用承诺</w:t>
      </w:r>
    </w:p>
    <w:p w14:paraId="431EE1C2">
      <w:pPr>
        <w:pStyle w:val="34"/>
        <w:tabs>
          <w:tab w:val="left" w:pos="5894"/>
          <w:tab w:val="left" w:pos="9158"/>
          <w:tab w:val="left" w:pos="9163"/>
        </w:tabs>
        <w:spacing w:line="360" w:lineRule="auto"/>
        <w:ind w:firstLine="0"/>
        <w:jc w:val="left"/>
        <w:rPr>
          <w:rFonts w:hint="eastAsia"/>
          <w:sz w:val="24"/>
          <w:szCs w:val="24"/>
          <w:u w:val="single"/>
        </w:rPr>
      </w:pPr>
      <w:r>
        <w:rPr>
          <w:rFonts w:hint="eastAsia"/>
          <w:sz w:val="24"/>
          <w:szCs w:val="24"/>
        </w:rPr>
        <w:t>项目</w:t>
      </w:r>
      <w:r>
        <w:rPr>
          <w:rFonts w:hint="eastAsia"/>
          <w:sz w:val="24"/>
          <w:szCs w:val="24"/>
          <w:lang w:eastAsia="zh-CN"/>
        </w:rPr>
        <w:t>名称</w:t>
      </w:r>
      <w:r>
        <w:rPr>
          <w:rFonts w:hint="eastAsia"/>
          <w:sz w:val="24"/>
          <w:szCs w:val="24"/>
        </w:rPr>
        <w:t>：</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rPr>
        <w:t xml:space="preserve"> 投标人：</w:t>
      </w:r>
      <w:r>
        <w:rPr>
          <w:rFonts w:hint="eastAsia"/>
          <w:sz w:val="24"/>
          <w:szCs w:val="24"/>
          <w:u w:val="single"/>
        </w:rPr>
        <w:t xml:space="preserve"> </w:t>
      </w:r>
      <w:r>
        <w:rPr>
          <w:rFonts w:hint="eastAsia"/>
          <w:sz w:val="24"/>
          <w:szCs w:val="24"/>
          <w:u w:val="single"/>
        </w:rPr>
        <w:tab/>
      </w:r>
    </w:p>
    <w:p w14:paraId="515D7424">
      <w:pPr>
        <w:pStyle w:val="34"/>
        <w:tabs>
          <w:tab w:val="left" w:pos="5894"/>
          <w:tab w:val="left" w:pos="9158"/>
          <w:tab w:val="left" w:pos="9163"/>
        </w:tabs>
        <w:spacing w:line="360" w:lineRule="auto"/>
        <w:ind w:firstLine="0"/>
        <w:jc w:val="left"/>
        <w:rPr>
          <w:rFonts w:hint="eastAsia"/>
          <w:sz w:val="24"/>
          <w:szCs w:val="24"/>
        </w:rPr>
      </w:pPr>
      <w:r>
        <w:rPr>
          <w:rFonts w:hint="eastAsia"/>
          <w:sz w:val="24"/>
          <w:szCs w:val="24"/>
        </w:rPr>
        <w:t>统</w:t>
      </w:r>
      <w:r>
        <w:rPr>
          <w:rFonts w:hint="eastAsia"/>
          <w:sz w:val="24"/>
          <w:szCs w:val="24"/>
          <w:lang w:eastAsia="zh-CN"/>
        </w:rPr>
        <w:t>一</w:t>
      </w:r>
      <w:r>
        <w:rPr>
          <w:rFonts w:hint="eastAsia"/>
          <w:sz w:val="24"/>
          <w:szCs w:val="24"/>
        </w:rPr>
        <w:t>社会信用代码：</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lang w:val="en-US" w:eastAsia="zh-CN"/>
        </w:rPr>
        <w:t>法定代表人</w:t>
      </w:r>
      <w:r>
        <w:rPr>
          <w:rFonts w:hint="eastAsia"/>
          <w:sz w:val="24"/>
          <w:szCs w:val="24"/>
        </w:rPr>
        <w:t>：</w:t>
      </w:r>
      <w:r>
        <w:rPr>
          <w:rFonts w:hint="eastAsia"/>
          <w:sz w:val="24"/>
          <w:szCs w:val="24"/>
          <w:u w:val="single"/>
        </w:rPr>
        <w:t xml:space="preserve"> </w:t>
      </w:r>
      <w:r>
        <w:rPr>
          <w:rFonts w:hint="eastAsia"/>
          <w:sz w:val="24"/>
          <w:szCs w:val="24"/>
          <w:u w:val="single"/>
        </w:rPr>
        <w:tab/>
      </w:r>
      <w:r>
        <w:rPr>
          <w:rFonts w:hint="eastAsia"/>
          <w:sz w:val="24"/>
          <w:szCs w:val="24"/>
        </w:rPr>
        <w:t xml:space="preserve"> </w:t>
      </w:r>
    </w:p>
    <w:p w14:paraId="5A087C2A">
      <w:pPr>
        <w:pStyle w:val="34"/>
        <w:tabs>
          <w:tab w:val="left" w:pos="5894"/>
          <w:tab w:val="left" w:pos="9158"/>
          <w:tab w:val="left" w:pos="9163"/>
        </w:tabs>
        <w:spacing w:line="360" w:lineRule="auto"/>
        <w:ind w:firstLine="0"/>
        <w:jc w:val="left"/>
        <w:rPr>
          <w:rFonts w:hint="eastAsia"/>
          <w:sz w:val="24"/>
          <w:szCs w:val="24"/>
        </w:rPr>
      </w:pPr>
      <w:r>
        <w:rPr>
          <w:rFonts w:hint="eastAsia"/>
          <w:sz w:val="24"/>
          <w:szCs w:val="24"/>
        </w:rPr>
        <w:t>在</w:t>
      </w:r>
      <w:r>
        <w:rPr>
          <w:rFonts w:hint="eastAsia"/>
          <w:sz w:val="24"/>
          <w:szCs w:val="24"/>
          <w:u w:val="single"/>
          <w:lang w:val="en-US" w:eastAsia="zh-CN"/>
        </w:rPr>
        <w:t xml:space="preserve">                   </w:t>
      </w:r>
      <w:r>
        <w:rPr>
          <w:rFonts w:hint="eastAsia"/>
          <w:sz w:val="24"/>
          <w:szCs w:val="24"/>
          <w:lang w:eastAsia="zh-CN"/>
        </w:rPr>
        <w:t>（项目名称及项目编号）</w:t>
      </w:r>
      <w:r>
        <w:rPr>
          <w:rFonts w:hint="eastAsia"/>
          <w:sz w:val="24"/>
          <w:szCs w:val="24"/>
        </w:rPr>
        <w:t>招投标活动中，我公司（单位）自愿作出以下投标信用承诺：</w:t>
      </w:r>
    </w:p>
    <w:p w14:paraId="5CB1D9BF">
      <w:pPr>
        <w:pStyle w:val="34"/>
        <w:tabs>
          <w:tab w:val="left" w:pos="1238"/>
        </w:tabs>
        <w:spacing w:line="360" w:lineRule="auto"/>
        <w:rPr>
          <w:rFonts w:hint="eastAsia"/>
          <w:sz w:val="24"/>
          <w:szCs w:val="24"/>
        </w:rPr>
      </w:pPr>
      <w:bookmarkStart w:id="219" w:name="bookmark12"/>
      <w:r>
        <w:rPr>
          <w:rFonts w:hint="eastAsia"/>
          <w:sz w:val="24"/>
          <w:szCs w:val="24"/>
        </w:rPr>
        <w:t>（</w:t>
      </w:r>
      <w:bookmarkEnd w:id="219"/>
      <w:r>
        <w:rPr>
          <w:rFonts w:hint="eastAsia"/>
          <w:sz w:val="24"/>
          <w:szCs w:val="24"/>
        </w:rPr>
        <w:t>一）能严格遵守法律法规、职业道德和行业规范。</w:t>
      </w:r>
    </w:p>
    <w:p w14:paraId="006B0614">
      <w:pPr>
        <w:pStyle w:val="34"/>
        <w:tabs>
          <w:tab w:val="left" w:pos="1253"/>
        </w:tabs>
        <w:spacing w:line="360" w:lineRule="auto"/>
        <w:rPr>
          <w:rFonts w:hint="eastAsia"/>
          <w:sz w:val="24"/>
          <w:szCs w:val="24"/>
        </w:rPr>
      </w:pPr>
      <w:bookmarkStart w:id="220" w:name="bookmark13"/>
      <w:r>
        <w:rPr>
          <w:rFonts w:hint="eastAsia"/>
          <w:sz w:val="24"/>
          <w:szCs w:val="24"/>
        </w:rPr>
        <w:t>（</w:t>
      </w:r>
      <w:bookmarkEnd w:id="220"/>
      <w:r>
        <w:rPr>
          <w:rFonts w:hint="eastAsia"/>
          <w:sz w:val="24"/>
          <w:szCs w:val="24"/>
        </w:rPr>
        <w:t>二）不得有以下违法违规行为：1.围标串标；以他人名义或者其他方式弄虚作假投标；出让出租资格、资质证书供他人投标；恶意竞标、强揽工程；以暴力、威胁、利诱等 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保证金。5.招投标法规定的</w:t>
      </w:r>
      <w:r>
        <w:rPr>
          <w:rFonts w:hint="eastAsia"/>
          <w:sz w:val="24"/>
          <w:szCs w:val="24"/>
          <w:lang w:eastAsia="zh-CN"/>
        </w:rPr>
        <w:t>其他</w:t>
      </w:r>
      <w:r>
        <w:rPr>
          <w:rFonts w:hint="eastAsia"/>
          <w:sz w:val="24"/>
          <w:szCs w:val="24"/>
        </w:rPr>
        <w:t xml:space="preserve"> 违法违规行为。</w:t>
      </w:r>
    </w:p>
    <w:p w14:paraId="3274FB99">
      <w:pPr>
        <w:pStyle w:val="34"/>
        <w:tabs>
          <w:tab w:val="left" w:pos="1248"/>
        </w:tabs>
        <w:spacing w:after="480" w:line="360" w:lineRule="auto"/>
        <w:rPr>
          <w:rFonts w:hint="eastAsia"/>
          <w:sz w:val="24"/>
          <w:szCs w:val="24"/>
        </w:rPr>
      </w:pPr>
      <w:bookmarkStart w:id="221" w:name="bookmark14"/>
      <w:r>
        <w:rPr>
          <w:rFonts w:hint="eastAsia"/>
          <w:sz w:val="24"/>
          <w:szCs w:val="24"/>
        </w:rPr>
        <w:t>（</w:t>
      </w:r>
      <w:bookmarkEnd w:id="221"/>
      <w:r>
        <w:rPr>
          <w:rFonts w:hint="eastAsia"/>
          <w:sz w:val="24"/>
          <w:szCs w:val="24"/>
        </w:rPr>
        <w:t xml:space="preserve">三）若我公司（单位）及相关参与人员违背以上承诺事项，即被视为失信企业（法 人），依据《关于对公共资源交易领域严重失信主体开展联合惩戒的备忘录》（发改法规 </w:t>
      </w:r>
      <w:r>
        <w:rPr>
          <w:rFonts w:hint="eastAsia"/>
          <w:sz w:val="24"/>
          <w:szCs w:val="24"/>
          <w:lang w:val="en-US" w:eastAsia="zh-CN" w:bidi="en-US"/>
        </w:rPr>
        <w:t>20181457</w:t>
      </w:r>
      <w:r>
        <w:rPr>
          <w:rFonts w:hint="eastAsia"/>
          <w:sz w:val="24"/>
          <w:szCs w:val="24"/>
        </w:rPr>
        <w:t>号）</w:t>
      </w:r>
      <w:r>
        <w:rPr>
          <w:rFonts w:hint="eastAsia"/>
          <w:sz w:val="24"/>
          <w:szCs w:val="24"/>
          <w:lang w:eastAsia="zh-CN"/>
        </w:rPr>
        <w:t>，</w:t>
      </w:r>
      <w:r>
        <w:rPr>
          <w:rFonts w:hint="eastAsia"/>
          <w:sz w:val="24"/>
          <w:szCs w:val="24"/>
        </w:rPr>
        <w:t>自愿接受1至3年内限制参与公共资源交易活动。</w:t>
      </w:r>
    </w:p>
    <w:p w14:paraId="60BBFA29">
      <w:pPr>
        <w:pStyle w:val="34"/>
        <w:tabs>
          <w:tab w:val="left" w:pos="4377"/>
        </w:tabs>
        <w:spacing w:after="480" w:line="360" w:lineRule="auto"/>
        <w:ind w:firstLine="460"/>
        <w:jc w:val="left"/>
        <w:rPr>
          <w:rFonts w:hint="eastAsia"/>
          <w:sz w:val="24"/>
          <w:szCs w:val="24"/>
        </w:rPr>
      </w:pPr>
      <w:r>
        <w:rPr>
          <w:rFonts w:hint="eastAsia"/>
          <w:sz w:val="24"/>
          <w:szCs w:val="24"/>
        </w:rPr>
        <w:t>法定代表人（签</w:t>
      </w:r>
      <w:r>
        <w:rPr>
          <w:rFonts w:hint="eastAsia"/>
          <w:sz w:val="24"/>
          <w:szCs w:val="24"/>
          <w:lang w:eastAsia="zh-CN"/>
        </w:rPr>
        <w:t>字</w:t>
      </w:r>
      <w:r>
        <w:rPr>
          <w:rFonts w:hint="eastAsia"/>
          <w:sz w:val="24"/>
          <w:szCs w:val="24"/>
        </w:rPr>
        <w:t>）：</w:t>
      </w:r>
      <w:r>
        <w:rPr>
          <w:rFonts w:hint="eastAsia"/>
          <w:sz w:val="24"/>
          <w:szCs w:val="24"/>
        </w:rPr>
        <w:tab/>
      </w:r>
      <w:r>
        <w:rPr>
          <w:rFonts w:hint="eastAsia" w:hAnsi="宋体" w:cs="宋体"/>
          <w:color w:val="auto"/>
          <w:spacing w:val="-10"/>
          <w:sz w:val="24"/>
          <w:szCs w:val="24"/>
          <w:highlight w:val="none"/>
          <w:u w:val="single"/>
          <w:lang w:eastAsia="zh-CN"/>
        </w:rPr>
        <w:t>服务商名称</w:t>
      </w:r>
      <w:r>
        <w:rPr>
          <w:rFonts w:hint="eastAsia"/>
          <w:sz w:val="24"/>
          <w:szCs w:val="24"/>
        </w:rPr>
        <w:t>（盖章）：</w:t>
      </w:r>
    </w:p>
    <w:p w14:paraId="52916D4E">
      <w:pPr>
        <w:pStyle w:val="34"/>
        <w:tabs>
          <w:tab w:val="left" w:pos="4377"/>
        </w:tabs>
        <w:spacing w:after="480" w:line="360" w:lineRule="auto"/>
        <w:ind w:firstLine="4288" w:firstLineChars="1787"/>
        <w:jc w:val="left"/>
        <w:rPr>
          <w:rFonts w:hint="eastAsia"/>
          <w:sz w:val="24"/>
          <w:szCs w:val="24"/>
        </w:rPr>
      </w:pPr>
      <w:r>
        <w:rPr>
          <w:rFonts w:hint="eastAsia"/>
          <w:sz w:val="24"/>
          <w:szCs w:val="24"/>
        </w:rPr>
        <w:t>承诺时间：</w:t>
      </w:r>
      <w:r>
        <w:rPr>
          <w:rFonts w:hint="eastAsia"/>
          <w:sz w:val="24"/>
          <w:szCs w:val="24"/>
          <w:lang w:val="en-US" w:eastAsia="zh-CN"/>
        </w:rPr>
        <w:t xml:space="preserve"> </w:t>
      </w:r>
      <w:r>
        <w:rPr>
          <w:rFonts w:hint="eastAsia"/>
          <w:sz w:val="24"/>
          <w:szCs w:val="24"/>
        </w:rPr>
        <w:t>年</w:t>
      </w:r>
      <w:r>
        <w:rPr>
          <w:rFonts w:hint="eastAsia"/>
          <w:sz w:val="24"/>
          <w:szCs w:val="24"/>
          <w:lang w:val="en-US" w:eastAsia="zh-CN"/>
        </w:rPr>
        <w:t xml:space="preserve">   </w:t>
      </w:r>
      <w:r>
        <w:rPr>
          <w:rFonts w:hint="eastAsia"/>
          <w:sz w:val="24"/>
          <w:szCs w:val="24"/>
        </w:rPr>
        <w:t>月</w:t>
      </w:r>
      <w:r>
        <w:rPr>
          <w:rFonts w:hint="eastAsia"/>
          <w:sz w:val="24"/>
          <w:szCs w:val="24"/>
          <w:lang w:val="en-US" w:eastAsia="zh-CN"/>
        </w:rPr>
        <w:t xml:space="preserve">  </w:t>
      </w:r>
      <w:r>
        <w:rPr>
          <w:rFonts w:hint="eastAsia"/>
          <w:sz w:val="24"/>
          <w:szCs w:val="24"/>
        </w:rPr>
        <w:t>日</w:t>
      </w:r>
    </w:p>
    <w:p w14:paraId="3929ABB5">
      <w:pPr>
        <w:pStyle w:val="33"/>
        <w:ind w:firstLine="0" w:firstLineChars="0"/>
        <w:rPr>
          <w:rFonts w:hint="eastAsia" w:ascii="宋体" w:hAnsi="宋体" w:eastAsia="宋体" w:cs="宋体"/>
          <w:szCs w:val="21"/>
        </w:rPr>
      </w:pPr>
      <w:r>
        <w:rPr>
          <w:rFonts w:hint="eastAsia" w:ascii="宋体" w:hAnsi="宋体" w:cs="宋体"/>
          <w:szCs w:val="21"/>
        </w:rPr>
        <w:t>注：1.本承诺书效力和作用等同投标</w:t>
      </w:r>
      <w:r>
        <w:rPr>
          <w:rFonts w:hint="eastAsia" w:ascii="宋体" w:hAnsi="宋体" w:eastAsia="宋体" w:cs="宋体"/>
          <w:szCs w:val="21"/>
        </w:rPr>
        <w:t>保证金，其有效期与投标有效期一致。</w:t>
      </w:r>
    </w:p>
    <w:p w14:paraId="7BC4FED6">
      <w:pPr>
        <w:pStyle w:val="33"/>
        <w:ind w:firstLine="420" w:firstLineChars="200"/>
        <w:rPr>
          <w:rFonts w:hint="eastAsia" w:ascii="宋体" w:hAnsi="宋体" w:eastAsia="宋体" w:cs="宋体"/>
          <w:szCs w:val="21"/>
        </w:rPr>
      </w:pPr>
      <w:r>
        <w:rPr>
          <w:rFonts w:hint="eastAsia" w:ascii="宋体" w:hAnsi="宋体" w:eastAsia="宋体" w:cs="宋体"/>
          <w:szCs w:val="21"/>
        </w:rPr>
        <w:t>2.此承诺书除附在投标文件中外还须上传至“信用中国（陕西榆林）”网站</w:t>
      </w:r>
      <w:r>
        <w:rPr>
          <w:rFonts w:hint="eastAsia" w:ascii="宋体" w:hAnsi="宋体" w:eastAsia="宋体" w:cs="宋体"/>
          <w:szCs w:val="21"/>
          <w:lang w:eastAsia="zh-CN"/>
        </w:rPr>
        <w:t>（网上承诺时间以系统自动生成时间为准）</w:t>
      </w:r>
      <w:r>
        <w:rPr>
          <w:rFonts w:hint="eastAsia" w:ascii="宋体" w:hAnsi="宋体" w:eastAsia="宋体" w:cs="宋体"/>
          <w:szCs w:val="21"/>
        </w:rPr>
        <w:t>投标人自主上报信用承诺书附件。（承诺有效期同投标有效期，承诺起始时间为提交投标文件截止之日，须后附截图。）</w:t>
      </w:r>
    </w:p>
    <w:p w14:paraId="1C9BE706">
      <w:pPr>
        <w:pStyle w:val="33"/>
        <w:ind w:firstLine="420"/>
        <w:jc w:val="center"/>
        <w:rPr>
          <w:rFonts w:hint="eastAsia" w:ascii="宋体" w:hAnsi="宋体" w:cs="宋体"/>
          <w:b/>
          <w:bCs/>
          <w:sz w:val="28"/>
          <w:szCs w:val="28"/>
        </w:rPr>
      </w:pPr>
    </w:p>
    <w:p w14:paraId="6F87E957">
      <w:pPr>
        <w:pStyle w:val="33"/>
        <w:ind w:firstLine="420"/>
        <w:jc w:val="center"/>
        <w:rPr>
          <w:rFonts w:hint="eastAsia" w:ascii="宋体" w:hAnsi="宋体" w:cs="宋体"/>
          <w:b/>
          <w:bCs/>
          <w:sz w:val="28"/>
          <w:szCs w:val="28"/>
        </w:rPr>
      </w:pPr>
    </w:p>
    <w:p w14:paraId="701FADE2">
      <w:pPr>
        <w:pStyle w:val="33"/>
        <w:ind w:firstLine="420"/>
        <w:jc w:val="center"/>
        <w:rPr>
          <w:rFonts w:hint="eastAsia" w:ascii="宋体" w:hAnsi="宋体" w:cs="宋体"/>
          <w:szCs w:val="21"/>
        </w:rPr>
      </w:pPr>
      <w:r>
        <w:rPr>
          <w:rFonts w:hint="eastAsia" w:ascii="宋体" w:hAnsi="宋体" w:cs="宋体"/>
          <w:b/>
          <w:bCs/>
          <w:sz w:val="28"/>
          <w:szCs w:val="28"/>
        </w:rPr>
        <w:t>投标人信用承诺</w:t>
      </w:r>
    </w:p>
    <w:p w14:paraId="69B88EC5">
      <w:pPr>
        <w:widowControl/>
        <w:spacing w:line="440" w:lineRule="exact"/>
        <w:jc w:val="left"/>
        <w:rPr>
          <w:rFonts w:hint="eastAsia" w:ascii="宋体" w:hAnsi="宋体" w:cs="宋体"/>
          <w:sz w:val="24"/>
          <w:szCs w:val="24"/>
          <w:u w:val="single"/>
        </w:rPr>
      </w:pPr>
      <w:r>
        <w:rPr>
          <w:rFonts w:hint="eastAsia" w:ascii="宋体" w:hAnsi="宋体" w:cs="宋体"/>
          <w:sz w:val="24"/>
          <w:szCs w:val="24"/>
        </w:rPr>
        <w:t>投标人：</w:t>
      </w:r>
      <w:r>
        <w:rPr>
          <w:rFonts w:hint="eastAsia" w:ascii="宋体" w:hAnsi="宋体" w:cs="宋体"/>
          <w:sz w:val="24"/>
          <w:szCs w:val="24"/>
          <w:u w:val="single"/>
        </w:rPr>
        <w:t xml:space="preserve">                                                                   </w:t>
      </w:r>
    </w:p>
    <w:p w14:paraId="00B7317C">
      <w:pPr>
        <w:widowControl/>
        <w:spacing w:line="440" w:lineRule="exact"/>
        <w:jc w:val="left"/>
        <w:rPr>
          <w:rFonts w:hint="eastAsia" w:ascii="宋体" w:hAnsi="宋体" w:cs="宋体"/>
          <w:sz w:val="24"/>
          <w:szCs w:val="24"/>
          <w:u w:val="single"/>
        </w:rPr>
      </w:pPr>
      <w:r>
        <w:rPr>
          <w:rFonts w:hint="eastAsia" w:ascii="宋体" w:hAnsi="宋体" w:cs="宋体"/>
          <w:sz w:val="24"/>
          <w:szCs w:val="24"/>
        </w:rPr>
        <w:t>统一社会信用代码：</w:t>
      </w:r>
      <w:r>
        <w:rPr>
          <w:rFonts w:hint="eastAsia" w:ascii="宋体" w:hAnsi="宋体" w:cs="宋体"/>
          <w:sz w:val="24"/>
          <w:szCs w:val="24"/>
          <w:u w:val="single"/>
        </w:rPr>
        <w:t xml:space="preserve">                             </w:t>
      </w:r>
      <w:r>
        <w:rPr>
          <w:rFonts w:hint="eastAsia" w:ascii="宋体" w:hAnsi="宋体" w:cs="宋体"/>
          <w:sz w:val="24"/>
          <w:szCs w:val="24"/>
        </w:rPr>
        <w:t>法人代表：</w:t>
      </w:r>
      <w:r>
        <w:rPr>
          <w:rFonts w:hint="eastAsia" w:ascii="宋体" w:hAnsi="宋体" w:cs="宋体"/>
          <w:sz w:val="24"/>
          <w:szCs w:val="24"/>
          <w:u w:val="single"/>
        </w:rPr>
        <w:t xml:space="preserve">                  </w:t>
      </w:r>
    </w:p>
    <w:p w14:paraId="62FB3B17">
      <w:pPr>
        <w:widowControl/>
        <w:spacing w:line="440" w:lineRule="exact"/>
        <w:jc w:val="left"/>
        <w:rPr>
          <w:rFonts w:hint="eastAsia" w:ascii="宋体" w:hAnsi="宋体" w:cs="宋体"/>
          <w:sz w:val="24"/>
          <w:szCs w:val="24"/>
          <w:u w:val="single"/>
        </w:rPr>
      </w:pPr>
      <w:r>
        <w:rPr>
          <w:rFonts w:hint="eastAsia" w:ascii="宋体" w:hAnsi="宋体" w:cs="宋体"/>
          <w:sz w:val="24"/>
          <w:szCs w:val="24"/>
        </w:rPr>
        <w:t>承诺有效期限：</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55DAEAE8">
      <w:pPr>
        <w:widowControl/>
        <w:spacing w:line="440" w:lineRule="exact"/>
        <w:ind w:firstLine="480" w:firstLineChars="200"/>
        <w:jc w:val="left"/>
        <w:rPr>
          <w:rFonts w:hint="eastAsia" w:ascii="宋体" w:hAnsi="宋体" w:cs="宋体"/>
          <w:sz w:val="24"/>
          <w:szCs w:val="24"/>
        </w:rPr>
      </w:pPr>
      <w:r>
        <w:rPr>
          <w:rFonts w:hint="eastAsia" w:ascii="宋体" w:hAnsi="宋体" w:cs="宋体"/>
          <w:sz w:val="24"/>
          <w:szCs w:val="24"/>
        </w:rPr>
        <w:t>在</w:t>
      </w:r>
      <w:r>
        <w:rPr>
          <w:rFonts w:hint="eastAsia" w:ascii="宋体" w:hAnsi="宋体" w:cs="宋体"/>
          <w:sz w:val="24"/>
          <w:szCs w:val="24"/>
          <w:u w:val="single"/>
        </w:rPr>
        <w:t xml:space="preserve">               </w:t>
      </w:r>
      <w:r>
        <w:rPr>
          <w:rFonts w:hint="eastAsia" w:ascii="宋体" w:hAnsi="宋体" w:cs="宋体"/>
          <w:sz w:val="24"/>
          <w:szCs w:val="24"/>
        </w:rPr>
        <w:t>项目招投标活动中，我公司（单位）郑重作出以下信用承诺：</w:t>
      </w:r>
    </w:p>
    <w:p w14:paraId="1A167D2B">
      <w:pPr>
        <w:widowControl/>
        <w:spacing w:line="440" w:lineRule="exact"/>
        <w:ind w:firstLine="480"/>
        <w:jc w:val="left"/>
        <w:rPr>
          <w:rFonts w:hint="eastAsia" w:ascii="宋体" w:hAnsi="宋体" w:cs="宋体"/>
          <w:sz w:val="24"/>
          <w:szCs w:val="24"/>
        </w:rPr>
      </w:pPr>
      <w:r>
        <w:rPr>
          <w:rFonts w:hint="eastAsia" w:ascii="宋体" w:hAnsi="宋体" w:cs="宋体"/>
          <w:sz w:val="24"/>
          <w:szCs w:val="24"/>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31089E0C">
      <w:pPr>
        <w:widowControl/>
        <w:spacing w:line="440" w:lineRule="exact"/>
        <w:ind w:firstLine="480"/>
        <w:jc w:val="left"/>
        <w:rPr>
          <w:rFonts w:hint="eastAsia" w:ascii="宋体" w:hAnsi="宋体" w:cs="宋体"/>
          <w:sz w:val="24"/>
          <w:szCs w:val="24"/>
        </w:rPr>
      </w:pPr>
      <w:r>
        <w:rPr>
          <w:rFonts w:hint="eastAsia" w:ascii="宋体" w:hAnsi="宋体" w:cs="宋体"/>
          <w:sz w:val="24"/>
          <w:szCs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保证金。5.招投标法规定的其它违法违规行为。</w:t>
      </w:r>
    </w:p>
    <w:p w14:paraId="7D776C3A">
      <w:pPr>
        <w:spacing w:line="440" w:lineRule="exact"/>
        <w:ind w:firstLine="480" w:firstLineChars="200"/>
        <w:rPr>
          <w:rFonts w:hint="eastAsia" w:ascii="宋体" w:hAnsi="宋体" w:cs="宋体"/>
          <w:sz w:val="24"/>
          <w:szCs w:val="24"/>
        </w:rPr>
      </w:pPr>
      <w:bookmarkStart w:id="222" w:name="_Toc14973"/>
      <w:r>
        <w:rPr>
          <w:rFonts w:hint="eastAsia" w:ascii="宋体" w:hAnsi="宋体" w:cs="宋体"/>
          <w:sz w:val="24"/>
          <w:szCs w:val="24"/>
        </w:rPr>
        <w:t>（三）自愿接受招投标监督部门和有关行政监督部门的依法检查。</w:t>
      </w:r>
      <w:bookmarkEnd w:id="222"/>
    </w:p>
    <w:p w14:paraId="391E505D">
      <w:pPr>
        <w:widowControl/>
        <w:spacing w:line="440" w:lineRule="exact"/>
        <w:ind w:firstLine="480" w:firstLineChars="200"/>
        <w:jc w:val="left"/>
        <w:rPr>
          <w:rFonts w:hint="eastAsia" w:ascii="宋体" w:hAnsi="宋体" w:cs="宋体"/>
          <w:sz w:val="24"/>
          <w:szCs w:val="24"/>
        </w:rPr>
      </w:pPr>
      <w:r>
        <w:rPr>
          <w:rFonts w:hint="eastAsia" w:ascii="宋体" w:hAnsi="宋体" w:cs="宋体"/>
          <w:sz w:val="24"/>
          <w:szCs w:val="24"/>
        </w:rPr>
        <w:t>（四）同意将此信用承诺纳入陕西省公共信用信息平台和榆林市公共信用信息共享平台，并上网公示，接受社会监督。</w:t>
      </w:r>
    </w:p>
    <w:p w14:paraId="365BCDC8">
      <w:pPr>
        <w:widowControl/>
        <w:spacing w:line="440" w:lineRule="exact"/>
        <w:ind w:firstLine="480"/>
        <w:jc w:val="left"/>
        <w:rPr>
          <w:rFonts w:hint="eastAsia" w:ascii="宋体" w:hAnsi="宋体" w:cs="宋体"/>
          <w:sz w:val="24"/>
          <w:szCs w:val="24"/>
        </w:rPr>
      </w:pPr>
      <w:r>
        <w:rPr>
          <w:rFonts w:hint="eastAsia" w:ascii="宋体" w:hAnsi="宋体" w:cs="宋体"/>
          <w:sz w:val="24"/>
          <w:szCs w:val="24"/>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017899DF">
      <w:pPr>
        <w:widowControl/>
        <w:tabs>
          <w:tab w:val="left" w:pos="4395"/>
        </w:tabs>
        <w:adjustRightInd w:val="0"/>
        <w:snapToGrid w:val="0"/>
        <w:spacing w:line="440" w:lineRule="exact"/>
        <w:ind w:firstLine="480" w:firstLineChars="200"/>
        <w:jc w:val="left"/>
        <w:rPr>
          <w:rFonts w:hint="eastAsia" w:ascii="宋体" w:hAnsi="宋体" w:cs="宋体"/>
          <w:sz w:val="24"/>
          <w:szCs w:val="24"/>
        </w:rPr>
      </w:pPr>
      <w:r>
        <w:rPr>
          <w:rFonts w:hint="eastAsia" w:ascii="宋体" w:hAnsi="宋体" w:cs="宋体"/>
          <w:sz w:val="24"/>
          <w:szCs w:val="24"/>
        </w:rPr>
        <w:t xml:space="preserve">法定代表人（签章）：                 </w:t>
      </w:r>
      <w:r>
        <w:rPr>
          <w:rFonts w:hint="eastAsia" w:ascii="宋体" w:hAnsi="宋体" w:cs="宋体"/>
          <w:sz w:val="24"/>
          <w:szCs w:val="24"/>
          <w:highlight w:val="none"/>
        </w:rPr>
        <w:t xml:space="preserve">  </w:t>
      </w:r>
      <w:r>
        <w:rPr>
          <w:rFonts w:hint="eastAsia" w:hAnsi="宋体" w:cs="宋体"/>
          <w:color w:val="auto"/>
          <w:spacing w:val="-10"/>
          <w:sz w:val="24"/>
          <w:szCs w:val="24"/>
          <w:highlight w:val="none"/>
          <w:u w:val="single"/>
          <w:lang w:eastAsia="zh-CN"/>
        </w:rPr>
        <w:t>服务商名称</w:t>
      </w:r>
      <w:r>
        <w:rPr>
          <w:rFonts w:hint="eastAsia" w:ascii="宋体" w:hAnsi="宋体" w:cs="宋体"/>
          <w:sz w:val="24"/>
          <w:szCs w:val="24"/>
        </w:rPr>
        <w:t>（盖章）：</w:t>
      </w:r>
    </w:p>
    <w:p w14:paraId="6C04C107">
      <w:pPr>
        <w:adjustRightInd w:val="0"/>
        <w:snapToGrid w:val="0"/>
        <w:spacing w:line="440" w:lineRule="exact"/>
        <w:jc w:val="center"/>
        <w:rPr>
          <w:rFonts w:hint="eastAsia" w:ascii="宋体" w:hAnsi="宋体" w:cs="宋体"/>
          <w:b/>
          <w:bCs/>
          <w:szCs w:val="21"/>
        </w:rPr>
      </w:pPr>
      <w:r>
        <w:rPr>
          <w:rFonts w:hint="eastAsia" w:ascii="宋体" w:hAnsi="宋体" w:cs="宋体"/>
          <w:sz w:val="24"/>
          <w:szCs w:val="24"/>
        </w:rPr>
        <w:t xml:space="preserve">                             承诺时间：</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3E572732">
      <w:pPr>
        <w:spacing w:line="440" w:lineRule="exact"/>
        <w:jc w:val="left"/>
        <w:rPr>
          <w:rFonts w:hint="eastAsia" w:ascii="宋体" w:hAnsi="宋体" w:eastAsia="宋体" w:cs="宋体"/>
          <w:szCs w:val="21"/>
        </w:rPr>
      </w:pPr>
      <w:r>
        <w:rPr>
          <w:rFonts w:hint="eastAsia" w:ascii="宋体" w:hAnsi="宋体" w:cs="宋体"/>
          <w:b/>
          <w:bCs/>
          <w:szCs w:val="21"/>
        </w:rPr>
        <w:t>注：</w:t>
      </w:r>
      <w:r>
        <w:rPr>
          <w:rFonts w:hint="eastAsia" w:ascii="宋体" w:hAnsi="宋体" w:cs="宋体"/>
          <w:szCs w:val="21"/>
        </w:rPr>
        <w:t>此承诺书除附在投标文件中</w:t>
      </w:r>
      <w:r>
        <w:rPr>
          <w:rFonts w:hint="eastAsia" w:ascii="宋体" w:hAnsi="宋体" w:eastAsia="宋体" w:cs="宋体"/>
          <w:szCs w:val="21"/>
        </w:rPr>
        <w:t>外还须上传至“信用中国（陕西榆林）”网站</w:t>
      </w:r>
      <w:r>
        <w:rPr>
          <w:rFonts w:hint="eastAsia" w:ascii="宋体" w:hAnsi="宋体" w:eastAsia="宋体" w:cs="宋体"/>
          <w:szCs w:val="21"/>
          <w:lang w:eastAsia="zh-CN"/>
        </w:rPr>
        <w:t>（网上承诺时间以系统自动生成时间为准）</w:t>
      </w:r>
      <w:r>
        <w:rPr>
          <w:rFonts w:hint="eastAsia" w:ascii="宋体" w:hAnsi="宋体" w:eastAsia="宋体" w:cs="宋体"/>
          <w:szCs w:val="21"/>
        </w:rPr>
        <w:t>投标人自主上报信用承诺书附件。（承诺有效期</w:t>
      </w:r>
      <w:r>
        <w:rPr>
          <w:rFonts w:hint="eastAsia" w:ascii="宋体" w:hAnsi="宋体" w:cs="宋体"/>
          <w:szCs w:val="21"/>
          <w:lang w:val="en-US" w:eastAsia="zh-CN"/>
        </w:rPr>
        <w:t>一年</w:t>
      </w:r>
      <w:r>
        <w:rPr>
          <w:rFonts w:hint="eastAsia" w:ascii="宋体" w:hAnsi="宋体" w:eastAsia="宋体" w:cs="宋体"/>
          <w:szCs w:val="21"/>
        </w:rPr>
        <w:t>，承诺起始时间为提交投标文件截止之日，须后附截图）</w:t>
      </w:r>
    </w:p>
    <w:p w14:paraId="1A8FDA45">
      <w:pPr>
        <w:spacing w:line="440" w:lineRule="exact"/>
        <w:jc w:val="left"/>
        <w:rPr>
          <w:rFonts w:hint="eastAsia" w:ascii="宋体" w:hAnsi="宋体" w:eastAsia="宋体" w:cs="宋体"/>
          <w:szCs w:val="21"/>
        </w:rPr>
      </w:pPr>
    </w:p>
    <w:p w14:paraId="431DF819">
      <w:pPr>
        <w:spacing w:line="440" w:lineRule="exact"/>
        <w:jc w:val="center"/>
        <w:rPr>
          <w:rFonts w:hint="eastAsia" w:ascii="宋体" w:hAnsi="宋体" w:cs="宋体"/>
          <w:szCs w:val="21"/>
        </w:rPr>
      </w:pPr>
      <w:r>
        <w:rPr>
          <w:rFonts w:hint="eastAsia" w:ascii="宋体" w:hAnsi="宋体" w:cs="宋体"/>
          <w:b/>
          <w:bCs/>
          <w:sz w:val="28"/>
          <w:szCs w:val="28"/>
        </w:rPr>
        <w:t>投标人委托代理人员信用承诺书</w:t>
      </w:r>
    </w:p>
    <w:p w14:paraId="6247DEE8">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在</w:t>
      </w:r>
      <w:r>
        <w:rPr>
          <w:rFonts w:hint="eastAsia" w:ascii="宋体" w:hAnsi="宋体" w:cs="宋体"/>
          <w:sz w:val="24"/>
          <w:szCs w:val="24"/>
          <w:u w:val="single"/>
        </w:rPr>
        <w:t xml:space="preserve">                    </w:t>
      </w:r>
      <w:r>
        <w:rPr>
          <w:rFonts w:hint="eastAsia" w:ascii="宋体" w:hAnsi="宋体" w:cs="宋体"/>
          <w:sz w:val="24"/>
          <w:szCs w:val="24"/>
        </w:rPr>
        <w:t>项目招投标活动中，我个人郑重作出以下信用承诺：</w:t>
      </w:r>
    </w:p>
    <w:p w14:paraId="588D5CF8">
      <w:pPr>
        <w:widowControl/>
        <w:spacing w:line="360" w:lineRule="auto"/>
        <w:ind w:firstLine="480"/>
        <w:jc w:val="left"/>
        <w:rPr>
          <w:rFonts w:hint="eastAsia" w:ascii="宋体" w:hAnsi="宋体" w:cs="宋体"/>
          <w:sz w:val="24"/>
          <w:szCs w:val="24"/>
        </w:rPr>
      </w:pPr>
      <w:r>
        <w:rPr>
          <w:rFonts w:hint="eastAsia" w:ascii="宋体" w:hAnsi="宋体" w:cs="宋体"/>
          <w:sz w:val="24"/>
          <w:szCs w:val="24"/>
        </w:rPr>
        <w:t>（一）能严格遵守法律法规、职业道德和行业规范，具有独立承担民事责任的能力；无法律法规规定禁止开展从业活动情形。我所递交的文件资料合法、真实、准确、完整、有效，无弄虚作假等情形。</w:t>
      </w:r>
    </w:p>
    <w:p w14:paraId="7B235A38">
      <w:pPr>
        <w:widowControl/>
        <w:spacing w:line="360" w:lineRule="auto"/>
        <w:ind w:firstLine="480"/>
        <w:jc w:val="left"/>
        <w:rPr>
          <w:rFonts w:hint="eastAsia" w:ascii="宋体" w:hAnsi="宋体" w:cs="宋体"/>
          <w:sz w:val="24"/>
          <w:szCs w:val="24"/>
        </w:rPr>
      </w:pPr>
      <w:r>
        <w:rPr>
          <w:rFonts w:hint="eastAsia" w:ascii="宋体" w:hAnsi="宋体" w:cs="宋体"/>
          <w:sz w:val="24"/>
          <w:szCs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保证金。5.招投标法规定的其它违法违规行为。</w:t>
      </w:r>
    </w:p>
    <w:p w14:paraId="6A207451">
      <w:pPr>
        <w:spacing w:line="360" w:lineRule="auto"/>
        <w:ind w:firstLine="480" w:firstLineChars="200"/>
        <w:rPr>
          <w:rFonts w:hint="eastAsia" w:ascii="宋体" w:hAnsi="宋体" w:cs="宋体"/>
          <w:sz w:val="24"/>
          <w:szCs w:val="24"/>
        </w:rPr>
      </w:pPr>
      <w:bookmarkStart w:id="223" w:name="_Toc14892"/>
      <w:r>
        <w:rPr>
          <w:rFonts w:hint="eastAsia" w:ascii="宋体" w:hAnsi="宋体" w:cs="宋体"/>
          <w:sz w:val="24"/>
          <w:szCs w:val="24"/>
        </w:rPr>
        <w:t>（三）自愿接受招投标监督部门和有关行政监督部门的依法检查。</w:t>
      </w:r>
      <w:bookmarkEnd w:id="223"/>
    </w:p>
    <w:p w14:paraId="7977D806">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（四）同意将此信用承诺纳入陕西省公共信用信息平台和榆林市公共信用信息共享平台，并接受社会监督。</w:t>
      </w:r>
    </w:p>
    <w:p w14:paraId="59093A06">
      <w:pPr>
        <w:widowControl/>
        <w:spacing w:line="360" w:lineRule="auto"/>
        <w:ind w:firstLine="480"/>
        <w:jc w:val="left"/>
        <w:rPr>
          <w:rFonts w:hint="eastAsia" w:ascii="宋体" w:hAnsi="宋体" w:cs="宋体"/>
          <w:sz w:val="24"/>
          <w:szCs w:val="24"/>
        </w:rPr>
      </w:pPr>
      <w:r>
        <w:rPr>
          <w:rFonts w:hint="eastAsia" w:ascii="宋体" w:hAnsi="宋体" w:cs="宋体"/>
          <w:sz w:val="24"/>
          <w:szCs w:val="24"/>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6A425E43">
      <w:pPr>
        <w:widowControl/>
        <w:spacing w:line="400" w:lineRule="exact"/>
        <w:ind w:firstLine="482"/>
        <w:jc w:val="left"/>
        <w:rPr>
          <w:rFonts w:hint="eastAsia" w:ascii="宋体" w:hAnsi="宋体" w:cs="宋体"/>
          <w:sz w:val="24"/>
          <w:szCs w:val="24"/>
          <w:u w:val="single"/>
        </w:rPr>
      </w:pPr>
      <w:r>
        <w:rPr>
          <w:rFonts w:hint="eastAsia" w:ascii="宋体" w:hAnsi="宋体" w:cs="宋体"/>
          <w:sz w:val="24"/>
          <w:szCs w:val="24"/>
        </w:rPr>
        <w:t>承诺有效期限：</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1517CCE9">
      <w:pPr>
        <w:widowControl/>
        <w:spacing w:line="400" w:lineRule="exact"/>
        <w:ind w:firstLine="482"/>
        <w:jc w:val="left"/>
        <w:rPr>
          <w:rFonts w:hint="eastAsia" w:ascii="宋体" w:hAnsi="宋体" w:cs="宋体"/>
          <w:sz w:val="24"/>
          <w:szCs w:val="24"/>
        </w:rPr>
      </w:pPr>
      <w:r>
        <w:rPr>
          <w:rFonts w:hint="eastAsia" w:ascii="宋体" w:hAnsi="宋体" w:cs="宋体"/>
          <w:sz w:val="24"/>
          <w:szCs w:val="24"/>
        </w:rPr>
        <w:t>投标人：</w:t>
      </w:r>
      <w:r>
        <w:rPr>
          <w:rFonts w:hint="eastAsia" w:ascii="宋体" w:hAnsi="宋体" w:cs="宋体"/>
          <w:sz w:val="24"/>
          <w:szCs w:val="24"/>
          <w:u w:val="single"/>
        </w:rPr>
        <w:t xml:space="preserve">                        </w:t>
      </w:r>
    </w:p>
    <w:p w14:paraId="045BF64F">
      <w:pPr>
        <w:widowControl/>
        <w:spacing w:line="400" w:lineRule="exact"/>
        <w:ind w:firstLine="482"/>
        <w:jc w:val="left"/>
        <w:rPr>
          <w:rFonts w:hint="eastAsia" w:ascii="宋体" w:hAnsi="宋体" w:cs="宋体"/>
          <w:sz w:val="24"/>
          <w:szCs w:val="24"/>
          <w:u w:val="single"/>
        </w:rPr>
      </w:pPr>
      <w:r>
        <w:rPr>
          <w:rFonts w:hint="eastAsia" w:ascii="宋体" w:hAnsi="宋体" w:cs="宋体"/>
          <w:sz w:val="24"/>
          <w:szCs w:val="24"/>
        </w:rPr>
        <w:t>承诺人（签字）：</w:t>
      </w:r>
      <w:r>
        <w:rPr>
          <w:rFonts w:hint="eastAsia" w:ascii="宋体" w:hAnsi="宋体" w:cs="宋体"/>
          <w:sz w:val="24"/>
          <w:szCs w:val="24"/>
          <w:u w:val="single"/>
        </w:rPr>
        <w:t xml:space="preserve">                 </w:t>
      </w:r>
    </w:p>
    <w:p w14:paraId="4DB92A6F">
      <w:pPr>
        <w:widowControl/>
        <w:spacing w:line="400" w:lineRule="exact"/>
        <w:ind w:firstLine="482"/>
        <w:jc w:val="left"/>
        <w:rPr>
          <w:rFonts w:hint="eastAsia" w:ascii="宋体" w:hAnsi="宋体" w:cs="宋体"/>
          <w:sz w:val="24"/>
          <w:szCs w:val="24"/>
        </w:rPr>
      </w:pPr>
      <w:r>
        <w:rPr>
          <w:rFonts w:hint="eastAsia" w:ascii="宋体" w:hAnsi="宋体" w:cs="宋体"/>
          <w:sz w:val="24"/>
          <w:szCs w:val="24"/>
        </w:rPr>
        <w:t>承诺时间：</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68B1E58D">
      <w:pPr>
        <w:pStyle w:val="23"/>
        <w:rPr>
          <w:rFonts w:hint="eastAsia"/>
        </w:rPr>
      </w:pPr>
    </w:p>
    <w:p w14:paraId="2703A788">
      <w:pPr>
        <w:pStyle w:val="33"/>
        <w:spacing w:line="500" w:lineRule="exact"/>
        <w:ind w:firstLine="0" w:firstLineChars="0"/>
        <w:jc w:val="left"/>
        <w:rPr>
          <w:rFonts w:hint="eastAsia" w:ascii="宋体" w:hAnsi="宋体" w:eastAsia="宋体" w:cs="宋体"/>
          <w:szCs w:val="21"/>
        </w:rPr>
      </w:pPr>
      <w:r>
        <w:rPr>
          <w:rFonts w:hint="eastAsia" w:ascii="宋体" w:hAnsi="宋体" w:cs="宋体"/>
          <w:b/>
          <w:bCs/>
          <w:szCs w:val="21"/>
        </w:rPr>
        <w:t>注：</w:t>
      </w:r>
      <w:r>
        <w:rPr>
          <w:rFonts w:hint="eastAsia" w:ascii="宋体" w:hAnsi="宋体" w:cs="宋体"/>
          <w:szCs w:val="21"/>
        </w:rPr>
        <w:t>此承诺书除附在投标文件中</w:t>
      </w:r>
      <w:r>
        <w:rPr>
          <w:rFonts w:hint="eastAsia" w:ascii="宋体" w:hAnsi="宋体" w:eastAsia="宋体" w:cs="宋体"/>
          <w:szCs w:val="21"/>
        </w:rPr>
        <w:t>外还须上传至“信用中国（陕西榆林）”网站</w:t>
      </w:r>
      <w:r>
        <w:rPr>
          <w:rFonts w:hint="eastAsia" w:ascii="宋体" w:hAnsi="宋体" w:eastAsia="宋体" w:cs="宋体"/>
          <w:szCs w:val="21"/>
          <w:lang w:eastAsia="zh-CN"/>
        </w:rPr>
        <w:t>（网上承诺时间以系统自动生成时间为准）</w:t>
      </w:r>
      <w:r>
        <w:rPr>
          <w:rFonts w:hint="eastAsia" w:ascii="宋体" w:hAnsi="宋体" w:eastAsia="宋体" w:cs="宋体"/>
          <w:szCs w:val="21"/>
        </w:rPr>
        <w:t>授权委托人自主上报信用承诺书附件。（承诺有效期</w:t>
      </w:r>
      <w:r>
        <w:rPr>
          <w:rFonts w:hint="eastAsia" w:ascii="宋体" w:hAnsi="宋体" w:cs="宋体"/>
          <w:szCs w:val="21"/>
          <w:lang w:val="en-US" w:eastAsia="zh-CN"/>
        </w:rPr>
        <w:t>一年</w:t>
      </w:r>
      <w:r>
        <w:rPr>
          <w:rFonts w:hint="eastAsia" w:ascii="宋体" w:hAnsi="宋体" w:eastAsia="宋体" w:cs="宋体"/>
          <w:szCs w:val="21"/>
        </w:rPr>
        <w:t>，承诺起始时间为提交投标文件截止之日，须后附截图。）</w:t>
      </w:r>
    </w:p>
    <w:bookmarkEnd w:id="190"/>
    <w:p w14:paraId="3C0DAD79">
      <w:pPr>
        <w:pStyle w:val="33"/>
        <w:spacing w:line="500" w:lineRule="exact"/>
        <w:ind w:firstLine="0" w:firstLineChars="0"/>
        <w:jc w:val="left"/>
        <w:rPr>
          <w:rFonts w:hint="eastAsia" w:ascii="宋体" w:hAnsi="宋体" w:cs="宋体"/>
          <w:szCs w:val="21"/>
        </w:rPr>
      </w:pPr>
    </w:p>
    <w:p w14:paraId="16FA257B">
      <w:pPr>
        <w:jc w:val="center"/>
        <w:rPr>
          <w:b/>
          <w:bCs/>
          <w:color w:val="auto"/>
          <w:sz w:val="21"/>
          <w:szCs w:val="16"/>
        </w:rPr>
      </w:pPr>
      <w:r>
        <w:rPr>
          <w:rFonts w:hint="eastAsia"/>
          <w:b/>
          <w:bCs/>
          <w:color w:val="auto"/>
          <w:sz w:val="32"/>
          <w:szCs w:val="32"/>
        </w:rPr>
        <w:t>第四部分  投标人基本信息及其概况</w:t>
      </w:r>
      <w:bookmarkEnd w:id="215"/>
      <w:bookmarkEnd w:id="216"/>
      <w:bookmarkEnd w:id="217"/>
      <w:bookmarkEnd w:id="218"/>
    </w:p>
    <w:p w14:paraId="53A5E222">
      <w:pPr>
        <w:spacing w:before="163" w:beforeLines="50" w:after="163" w:afterLines="50" w:line="500" w:lineRule="exact"/>
        <w:jc w:val="center"/>
        <w:rPr>
          <w:rFonts w:hAnsi="宋体" w:cs="宋体"/>
          <w:b/>
          <w:color w:val="auto"/>
          <w:sz w:val="21"/>
          <w:szCs w:val="21"/>
        </w:rPr>
      </w:pPr>
      <w:r>
        <w:rPr>
          <w:rFonts w:hint="eastAsia" w:hAnsi="宋体" w:cs="宋体"/>
          <w:b/>
          <w:bCs/>
          <w:color w:val="auto"/>
          <w:sz w:val="28"/>
          <w:szCs w:val="28"/>
        </w:rPr>
        <w:t>一、</w:t>
      </w:r>
      <w:r>
        <w:rPr>
          <w:rFonts w:hint="eastAsia" w:hAnsi="宋体" w:cs="宋体"/>
          <w:b/>
          <w:color w:val="auto"/>
          <w:sz w:val="28"/>
          <w:szCs w:val="28"/>
        </w:rPr>
        <w:t>投标人基本信息</w:t>
      </w:r>
    </w:p>
    <w:tbl>
      <w:tblPr>
        <w:tblStyle w:val="24"/>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1586"/>
        <w:gridCol w:w="1533"/>
        <w:gridCol w:w="1417"/>
        <w:gridCol w:w="1560"/>
        <w:gridCol w:w="1398"/>
      </w:tblGrid>
      <w:tr w14:paraId="7CAA41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top w:val="single" w:color="auto" w:sz="12" w:space="0"/>
              <w:left w:val="single" w:color="auto" w:sz="12" w:space="0"/>
              <w:bottom w:val="single" w:color="auto" w:sz="6" w:space="0"/>
              <w:right w:val="single" w:color="auto" w:sz="12" w:space="0"/>
            </w:tcBorders>
            <w:shd w:val="clear" w:color="auto" w:fill="E5B8B7"/>
            <w:noWrap w:val="0"/>
            <w:vAlign w:val="center"/>
          </w:tcPr>
          <w:p w14:paraId="1209E992">
            <w:pPr>
              <w:keepNext w:val="0"/>
              <w:keepLines w:val="0"/>
              <w:suppressLineNumbers w:val="0"/>
              <w:autoSpaceDE w:val="0"/>
              <w:autoSpaceDN w:val="0"/>
              <w:adjustRightInd w:val="0"/>
              <w:spacing w:before="0" w:beforeAutospacing="0" w:after="0" w:afterAutospacing="0" w:line="320" w:lineRule="exact"/>
              <w:ind w:left="0" w:right="0"/>
              <w:rPr>
                <w:rFonts w:hint="default" w:hAnsi="宋体" w:cs="宋体"/>
                <w:color w:val="auto"/>
                <w:sz w:val="24"/>
                <w:szCs w:val="24"/>
              </w:rPr>
            </w:pPr>
            <w:r>
              <w:rPr>
                <w:rFonts w:hint="eastAsia" w:hAnsi="宋体" w:cs="宋体"/>
                <w:color w:val="auto"/>
                <w:sz w:val="24"/>
                <w:szCs w:val="24"/>
              </w:rPr>
              <w:t>单位基本情况</w:t>
            </w:r>
          </w:p>
        </w:tc>
      </w:tr>
      <w:tr w14:paraId="0F3108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bottom w:val="single" w:color="auto" w:sz="6" w:space="0"/>
            </w:tcBorders>
            <w:noWrap w:val="0"/>
            <w:vAlign w:val="center"/>
          </w:tcPr>
          <w:p w14:paraId="094C0132">
            <w:pPr>
              <w:keepNext w:val="0"/>
              <w:keepLines w:val="0"/>
              <w:suppressLineNumbers w:val="0"/>
              <w:autoSpaceDE w:val="0"/>
              <w:autoSpaceDN w:val="0"/>
              <w:adjustRightInd w:val="0"/>
              <w:spacing w:before="0" w:beforeAutospacing="0" w:after="0" w:afterAutospacing="0" w:line="320" w:lineRule="exact"/>
              <w:ind w:left="0" w:right="0"/>
              <w:rPr>
                <w:rFonts w:hint="default" w:hAnsi="宋体" w:cs="宋体"/>
                <w:color w:val="auto"/>
                <w:sz w:val="24"/>
                <w:szCs w:val="24"/>
              </w:rPr>
            </w:pPr>
            <w:r>
              <w:rPr>
                <w:rFonts w:hint="eastAsia" w:hAnsi="宋体" w:cs="宋体"/>
                <w:color w:val="auto"/>
                <w:sz w:val="24"/>
                <w:szCs w:val="24"/>
              </w:rPr>
              <w:t>投标人全称</w:t>
            </w:r>
          </w:p>
        </w:tc>
        <w:tc>
          <w:tcPr>
            <w:tcW w:w="7494" w:type="dxa"/>
            <w:gridSpan w:val="5"/>
            <w:tcBorders>
              <w:top w:val="single" w:color="auto" w:sz="6" w:space="0"/>
              <w:bottom w:val="single" w:color="auto" w:sz="6" w:space="0"/>
              <w:right w:val="single" w:color="auto" w:sz="12" w:space="0"/>
            </w:tcBorders>
            <w:noWrap w:val="0"/>
            <w:vAlign w:val="center"/>
          </w:tcPr>
          <w:p w14:paraId="46895456">
            <w:pPr>
              <w:keepNext w:val="0"/>
              <w:keepLines w:val="0"/>
              <w:suppressLineNumbers w:val="0"/>
              <w:autoSpaceDE w:val="0"/>
              <w:autoSpaceDN w:val="0"/>
              <w:adjustRightInd w:val="0"/>
              <w:spacing w:before="0" w:beforeAutospacing="0" w:after="0" w:afterAutospacing="0" w:line="320" w:lineRule="exact"/>
              <w:ind w:left="0" w:right="0"/>
              <w:rPr>
                <w:rFonts w:hint="default" w:hAnsi="宋体" w:cs="宋体"/>
                <w:color w:val="auto"/>
                <w:sz w:val="24"/>
                <w:szCs w:val="24"/>
              </w:rPr>
            </w:pPr>
          </w:p>
        </w:tc>
      </w:tr>
      <w:tr w14:paraId="7C306B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tcBorders>
            <w:noWrap w:val="0"/>
            <w:vAlign w:val="center"/>
          </w:tcPr>
          <w:p w14:paraId="39E7F068">
            <w:pPr>
              <w:keepNext w:val="0"/>
              <w:keepLines w:val="0"/>
              <w:suppressLineNumbers w:val="0"/>
              <w:autoSpaceDE w:val="0"/>
              <w:autoSpaceDN w:val="0"/>
              <w:adjustRightInd w:val="0"/>
              <w:spacing w:before="0" w:beforeAutospacing="0" w:after="0" w:afterAutospacing="0" w:line="320" w:lineRule="exact"/>
              <w:ind w:left="0" w:right="0"/>
              <w:rPr>
                <w:rFonts w:hint="default" w:hAnsi="宋体" w:cs="宋体"/>
                <w:color w:val="auto"/>
                <w:sz w:val="24"/>
                <w:szCs w:val="24"/>
              </w:rPr>
            </w:pPr>
            <w:r>
              <w:rPr>
                <w:rFonts w:hint="eastAsia" w:hAnsi="宋体" w:cs="宋体"/>
                <w:color w:val="auto"/>
                <w:sz w:val="24"/>
                <w:szCs w:val="24"/>
              </w:rPr>
              <w:t>注册地址</w:t>
            </w:r>
          </w:p>
        </w:tc>
        <w:tc>
          <w:tcPr>
            <w:tcW w:w="3119" w:type="dxa"/>
            <w:gridSpan w:val="2"/>
            <w:tcBorders>
              <w:top w:val="single" w:color="auto" w:sz="6" w:space="0"/>
            </w:tcBorders>
            <w:noWrap w:val="0"/>
            <w:vAlign w:val="center"/>
          </w:tcPr>
          <w:p w14:paraId="5BF0994A">
            <w:pPr>
              <w:keepNext w:val="0"/>
              <w:keepLines w:val="0"/>
              <w:suppressLineNumbers w:val="0"/>
              <w:autoSpaceDE w:val="0"/>
              <w:autoSpaceDN w:val="0"/>
              <w:adjustRightInd w:val="0"/>
              <w:spacing w:before="0" w:beforeAutospacing="0" w:after="0" w:afterAutospacing="0" w:line="320" w:lineRule="exact"/>
              <w:ind w:left="0" w:right="0"/>
              <w:rPr>
                <w:rFonts w:hint="default" w:hAnsi="宋体" w:cs="宋体"/>
                <w:color w:val="auto"/>
                <w:sz w:val="24"/>
                <w:szCs w:val="24"/>
              </w:rPr>
            </w:pPr>
          </w:p>
        </w:tc>
        <w:tc>
          <w:tcPr>
            <w:tcW w:w="1417" w:type="dxa"/>
            <w:tcBorders>
              <w:top w:val="single" w:color="auto" w:sz="6" w:space="0"/>
            </w:tcBorders>
            <w:noWrap w:val="0"/>
            <w:vAlign w:val="center"/>
          </w:tcPr>
          <w:p w14:paraId="1C87AEC5">
            <w:pPr>
              <w:keepNext w:val="0"/>
              <w:keepLines w:val="0"/>
              <w:suppressLineNumbers w:val="0"/>
              <w:autoSpaceDE w:val="0"/>
              <w:autoSpaceDN w:val="0"/>
              <w:adjustRightInd w:val="0"/>
              <w:spacing w:before="0" w:beforeAutospacing="0" w:after="0" w:afterAutospacing="0" w:line="320" w:lineRule="exact"/>
              <w:ind w:left="0" w:right="0"/>
              <w:jc w:val="center"/>
              <w:rPr>
                <w:rFonts w:hint="default" w:hAnsi="宋体" w:cs="宋体"/>
                <w:color w:val="auto"/>
                <w:sz w:val="24"/>
                <w:szCs w:val="24"/>
              </w:rPr>
            </w:pPr>
            <w:r>
              <w:rPr>
                <w:rFonts w:hint="eastAsia" w:hAnsi="宋体" w:cs="宋体"/>
                <w:color w:val="auto"/>
                <w:sz w:val="24"/>
                <w:szCs w:val="24"/>
              </w:rPr>
              <w:t>成立时间</w:t>
            </w:r>
          </w:p>
        </w:tc>
        <w:tc>
          <w:tcPr>
            <w:tcW w:w="2958" w:type="dxa"/>
            <w:gridSpan w:val="2"/>
            <w:tcBorders>
              <w:top w:val="single" w:color="auto" w:sz="6" w:space="0"/>
              <w:right w:val="single" w:color="auto" w:sz="12" w:space="0"/>
            </w:tcBorders>
            <w:noWrap w:val="0"/>
            <w:vAlign w:val="center"/>
          </w:tcPr>
          <w:p w14:paraId="2BD45FCC">
            <w:pPr>
              <w:keepNext w:val="0"/>
              <w:keepLines w:val="0"/>
              <w:suppressLineNumbers w:val="0"/>
              <w:autoSpaceDE w:val="0"/>
              <w:autoSpaceDN w:val="0"/>
              <w:adjustRightInd w:val="0"/>
              <w:spacing w:before="0" w:beforeAutospacing="0" w:after="0" w:afterAutospacing="0" w:line="320" w:lineRule="exact"/>
              <w:ind w:left="0" w:right="0"/>
              <w:rPr>
                <w:rFonts w:hint="default" w:hAnsi="宋体" w:cs="宋体"/>
                <w:color w:val="auto"/>
                <w:sz w:val="24"/>
                <w:szCs w:val="24"/>
              </w:rPr>
            </w:pPr>
          </w:p>
        </w:tc>
      </w:tr>
      <w:tr w14:paraId="65D5AE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66A2DF19">
            <w:pPr>
              <w:keepNext w:val="0"/>
              <w:keepLines w:val="0"/>
              <w:suppressLineNumbers w:val="0"/>
              <w:autoSpaceDE w:val="0"/>
              <w:autoSpaceDN w:val="0"/>
              <w:adjustRightInd w:val="0"/>
              <w:spacing w:before="0" w:beforeAutospacing="0" w:after="0" w:afterAutospacing="0" w:line="320" w:lineRule="exact"/>
              <w:ind w:left="0" w:right="0"/>
              <w:rPr>
                <w:rFonts w:hint="default" w:hAnsi="宋体" w:cs="宋体"/>
                <w:color w:val="auto"/>
                <w:sz w:val="24"/>
                <w:szCs w:val="24"/>
              </w:rPr>
            </w:pPr>
            <w:r>
              <w:rPr>
                <w:rFonts w:hint="eastAsia" w:hAnsi="宋体" w:cs="宋体"/>
                <w:color w:val="auto"/>
                <w:sz w:val="24"/>
                <w:szCs w:val="24"/>
              </w:rPr>
              <w:t>登记证号</w:t>
            </w:r>
          </w:p>
        </w:tc>
        <w:tc>
          <w:tcPr>
            <w:tcW w:w="3119" w:type="dxa"/>
            <w:gridSpan w:val="2"/>
            <w:noWrap w:val="0"/>
            <w:vAlign w:val="center"/>
          </w:tcPr>
          <w:p w14:paraId="315ABA06">
            <w:pPr>
              <w:keepNext w:val="0"/>
              <w:keepLines w:val="0"/>
              <w:suppressLineNumbers w:val="0"/>
              <w:autoSpaceDE w:val="0"/>
              <w:autoSpaceDN w:val="0"/>
              <w:adjustRightInd w:val="0"/>
              <w:spacing w:before="0" w:beforeAutospacing="0" w:after="0" w:afterAutospacing="0" w:line="320" w:lineRule="exact"/>
              <w:ind w:left="0" w:right="0"/>
              <w:rPr>
                <w:rFonts w:hint="default" w:hAnsi="宋体" w:cs="宋体"/>
                <w:color w:val="auto"/>
                <w:sz w:val="24"/>
                <w:szCs w:val="24"/>
              </w:rPr>
            </w:pPr>
          </w:p>
        </w:tc>
        <w:tc>
          <w:tcPr>
            <w:tcW w:w="1417" w:type="dxa"/>
            <w:noWrap w:val="0"/>
            <w:vAlign w:val="center"/>
          </w:tcPr>
          <w:p w14:paraId="21E7F92E">
            <w:pPr>
              <w:keepNext w:val="0"/>
              <w:keepLines w:val="0"/>
              <w:suppressLineNumbers w:val="0"/>
              <w:autoSpaceDE w:val="0"/>
              <w:autoSpaceDN w:val="0"/>
              <w:adjustRightInd w:val="0"/>
              <w:spacing w:before="0" w:beforeAutospacing="0" w:after="0" w:afterAutospacing="0" w:line="320" w:lineRule="exact"/>
              <w:ind w:left="0" w:right="0"/>
              <w:jc w:val="center"/>
              <w:rPr>
                <w:rFonts w:hint="default" w:hAnsi="宋体" w:cs="宋体"/>
                <w:color w:val="auto"/>
                <w:sz w:val="24"/>
                <w:szCs w:val="24"/>
              </w:rPr>
            </w:pPr>
            <w:r>
              <w:rPr>
                <w:rFonts w:hint="eastAsia" w:hAnsi="宋体" w:cs="宋体"/>
                <w:color w:val="auto"/>
                <w:sz w:val="24"/>
                <w:szCs w:val="24"/>
              </w:rPr>
              <w:t>单位性质</w:t>
            </w:r>
          </w:p>
        </w:tc>
        <w:tc>
          <w:tcPr>
            <w:tcW w:w="2958" w:type="dxa"/>
            <w:gridSpan w:val="2"/>
            <w:tcBorders>
              <w:right w:val="single" w:color="auto" w:sz="12" w:space="0"/>
            </w:tcBorders>
            <w:noWrap w:val="0"/>
            <w:vAlign w:val="center"/>
          </w:tcPr>
          <w:p w14:paraId="6E1B8469">
            <w:pPr>
              <w:keepNext w:val="0"/>
              <w:keepLines w:val="0"/>
              <w:suppressLineNumbers w:val="0"/>
              <w:autoSpaceDE w:val="0"/>
              <w:autoSpaceDN w:val="0"/>
              <w:adjustRightInd w:val="0"/>
              <w:spacing w:before="0" w:beforeAutospacing="0" w:after="0" w:afterAutospacing="0" w:line="320" w:lineRule="exact"/>
              <w:ind w:left="0" w:right="0"/>
              <w:rPr>
                <w:rFonts w:hint="default" w:hAnsi="宋体" w:cs="宋体"/>
                <w:color w:val="auto"/>
                <w:sz w:val="24"/>
                <w:szCs w:val="24"/>
              </w:rPr>
            </w:pPr>
          </w:p>
        </w:tc>
      </w:tr>
      <w:tr w14:paraId="1D0C8E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58A75CC1">
            <w:pPr>
              <w:keepNext w:val="0"/>
              <w:keepLines w:val="0"/>
              <w:suppressLineNumbers w:val="0"/>
              <w:autoSpaceDE w:val="0"/>
              <w:autoSpaceDN w:val="0"/>
              <w:adjustRightInd w:val="0"/>
              <w:spacing w:before="0" w:beforeAutospacing="0" w:after="0" w:afterAutospacing="0" w:line="320" w:lineRule="exact"/>
              <w:ind w:left="0" w:right="0"/>
              <w:rPr>
                <w:rFonts w:hint="default" w:hAnsi="宋体" w:cs="宋体"/>
                <w:color w:val="auto"/>
                <w:sz w:val="24"/>
                <w:szCs w:val="24"/>
              </w:rPr>
            </w:pPr>
            <w:r>
              <w:rPr>
                <w:rFonts w:hint="eastAsia" w:hAnsi="宋体" w:cs="宋体"/>
                <w:color w:val="auto"/>
                <w:sz w:val="24"/>
                <w:szCs w:val="24"/>
              </w:rPr>
              <w:t>法定代表人</w:t>
            </w:r>
          </w:p>
          <w:p w14:paraId="67056F40">
            <w:pPr>
              <w:keepNext w:val="0"/>
              <w:keepLines w:val="0"/>
              <w:suppressLineNumbers w:val="0"/>
              <w:autoSpaceDE w:val="0"/>
              <w:autoSpaceDN w:val="0"/>
              <w:adjustRightInd w:val="0"/>
              <w:spacing w:before="0" w:beforeAutospacing="0" w:after="0" w:afterAutospacing="0" w:line="320" w:lineRule="exact"/>
              <w:ind w:left="0" w:right="0"/>
              <w:rPr>
                <w:rFonts w:hint="default" w:hAnsi="宋体" w:cs="宋体"/>
                <w:color w:val="auto"/>
                <w:sz w:val="24"/>
                <w:szCs w:val="24"/>
              </w:rPr>
            </w:pPr>
            <w:r>
              <w:rPr>
                <w:rFonts w:hint="eastAsia" w:hAnsi="宋体" w:cs="宋体"/>
                <w:color w:val="auto"/>
                <w:sz w:val="24"/>
                <w:szCs w:val="24"/>
              </w:rPr>
              <w:t>(主要负责人)</w:t>
            </w:r>
          </w:p>
        </w:tc>
        <w:tc>
          <w:tcPr>
            <w:tcW w:w="3119" w:type="dxa"/>
            <w:gridSpan w:val="2"/>
            <w:noWrap w:val="0"/>
            <w:vAlign w:val="center"/>
          </w:tcPr>
          <w:p w14:paraId="0CEF39D2">
            <w:pPr>
              <w:keepNext w:val="0"/>
              <w:keepLines w:val="0"/>
              <w:suppressLineNumbers w:val="0"/>
              <w:autoSpaceDE w:val="0"/>
              <w:autoSpaceDN w:val="0"/>
              <w:adjustRightInd w:val="0"/>
              <w:spacing w:before="0" w:beforeAutospacing="0" w:after="0" w:afterAutospacing="0" w:line="320" w:lineRule="exact"/>
              <w:ind w:left="0" w:right="0"/>
              <w:rPr>
                <w:rFonts w:hint="default" w:hAnsi="宋体" w:cs="宋体"/>
                <w:color w:val="auto"/>
                <w:sz w:val="24"/>
                <w:szCs w:val="24"/>
              </w:rPr>
            </w:pPr>
          </w:p>
        </w:tc>
        <w:tc>
          <w:tcPr>
            <w:tcW w:w="1417" w:type="dxa"/>
            <w:noWrap w:val="0"/>
            <w:vAlign w:val="center"/>
          </w:tcPr>
          <w:p w14:paraId="300CBD52">
            <w:pPr>
              <w:keepNext w:val="0"/>
              <w:keepLines w:val="0"/>
              <w:suppressLineNumbers w:val="0"/>
              <w:autoSpaceDE w:val="0"/>
              <w:autoSpaceDN w:val="0"/>
              <w:adjustRightInd w:val="0"/>
              <w:spacing w:before="0" w:beforeAutospacing="0" w:after="0" w:afterAutospacing="0" w:line="320" w:lineRule="exact"/>
              <w:ind w:left="0" w:right="0"/>
              <w:jc w:val="center"/>
              <w:rPr>
                <w:rFonts w:hint="default" w:hAnsi="宋体" w:cs="宋体"/>
                <w:color w:val="auto"/>
                <w:sz w:val="24"/>
                <w:szCs w:val="24"/>
              </w:rPr>
            </w:pPr>
            <w:r>
              <w:rPr>
                <w:rFonts w:hint="eastAsia" w:hAnsi="宋体" w:cs="宋体"/>
                <w:color w:val="auto"/>
                <w:sz w:val="24"/>
                <w:szCs w:val="24"/>
              </w:rPr>
              <w:t>所属行业</w:t>
            </w:r>
          </w:p>
        </w:tc>
        <w:tc>
          <w:tcPr>
            <w:tcW w:w="2958" w:type="dxa"/>
            <w:gridSpan w:val="2"/>
            <w:tcBorders>
              <w:right w:val="single" w:color="auto" w:sz="12" w:space="0"/>
            </w:tcBorders>
            <w:noWrap w:val="0"/>
            <w:vAlign w:val="center"/>
          </w:tcPr>
          <w:p w14:paraId="2B5D5600">
            <w:pPr>
              <w:keepNext w:val="0"/>
              <w:keepLines w:val="0"/>
              <w:suppressLineNumbers w:val="0"/>
              <w:autoSpaceDE w:val="0"/>
              <w:autoSpaceDN w:val="0"/>
              <w:adjustRightInd w:val="0"/>
              <w:spacing w:before="0" w:beforeAutospacing="0" w:after="0" w:afterAutospacing="0" w:line="320" w:lineRule="exact"/>
              <w:ind w:left="0" w:right="0"/>
              <w:rPr>
                <w:rFonts w:hint="default" w:hAnsi="宋体" w:cs="宋体"/>
                <w:color w:val="auto"/>
                <w:sz w:val="24"/>
                <w:szCs w:val="24"/>
              </w:rPr>
            </w:pPr>
          </w:p>
        </w:tc>
      </w:tr>
      <w:tr w14:paraId="4C953C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62DC7C5C">
            <w:pPr>
              <w:keepNext w:val="0"/>
              <w:keepLines w:val="0"/>
              <w:suppressLineNumbers w:val="0"/>
              <w:autoSpaceDE w:val="0"/>
              <w:autoSpaceDN w:val="0"/>
              <w:adjustRightInd w:val="0"/>
              <w:spacing w:before="0" w:beforeAutospacing="0" w:after="0" w:afterAutospacing="0" w:line="320" w:lineRule="exact"/>
              <w:ind w:left="0" w:right="0"/>
              <w:rPr>
                <w:rFonts w:hint="default" w:hAnsi="宋体" w:cs="宋体"/>
                <w:color w:val="auto"/>
                <w:sz w:val="24"/>
                <w:szCs w:val="24"/>
              </w:rPr>
            </w:pPr>
            <w:r>
              <w:rPr>
                <w:rFonts w:hint="eastAsia" w:hAnsi="宋体" w:cs="宋体"/>
                <w:color w:val="auto"/>
                <w:sz w:val="24"/>
                <w:szCs w:val="24"/>
              </w:rPr>
              <w:t>上年度</w:t>
            </w:r>
          </w:p>
          <w:p w14:paraId="783F4104">
            <w:pPr>
              <w:keepNext w:val="0"/>
              <w:keepLines w:val="0"/>
              <w:suppressLineNumbers w:val="0"/>
              <w:autoSpaceDE w:val="0"/>
              <w:autoSpaceDN w:val="0"/>
              <w:adjustRightInd w:val="0"/>
              <w:spacing w:before="0" w:beforeAutospacing="0" w:after="0" w:afterAutospacing="0" w:line="320" w:lineRule="exact"/>
              <w:ind w:left="0" w:right="0"/>
              <w:rPr>
                <w:rFonts w:hint="default" w:hAnsi="宋体" w:cs="宋体"/>
                <w:color w:val="auto"/>
                <w:sz w:val="24"/>
                <w:szCs w:val="24"/>
              </w:rPr>
            </w:pPr>
            <w:r>
              <w:rPr>
                <w:rFonts w:hint="eastAsia" w:hAnsi="宋体" w:cs="宋体"/>
                <w:color w:val="auto"/>
                <w:sz w:val="24"/>
                <w:szCs w:val="24"/>
              </w:rPr>
              <w:t>营业收入</w:t>
            </w:r>
          </w:p>
        </w:tc>
        <w:tc>
          <w:tcPr>
            <w:tcW w:w="3119" w:type="dxa"/>
            <w:gridSpan w:val="2"/>
            <w:noWrap w:val="0"/>
            <w:vAlign w:val="center"/>
          </w:tcPr>
          <w:p w14:paraId="3B298A8F">
            <w:pPr>
              <w:keepNext w:val="0"/>
              <w:keepLines w:val="0"/>
              <w:suppressLineNumbers w:val="0"/>
              <w:autoSpaceDE w:val="0"/>
              <w:autoSpaceDN w:val="0"/>
              <w:adjustRightInd w:val="0"/>
              <w:spacing w:before="0" w:beforeAutospacing="0" w:after="0" w:afterAutospacing="0" w:line="320" w:lineRule="exact"/>
              <w:ind w:left="0" w:right="0"/>
              <w:rPr>
                <w:rFonts w:hint="default" w:hAnsi="宋体" w:cs="宋体"/>
                <w:color w:val="auto"/>
                <w:sz w:val="24"/>
                <w:szCs w:val="24"/>
              </w:rPr>
            </w:pPr>
          </w:p>
        </w:tc>
        <w:tc>
          <w:tcPr>
            <w:tcW w:w="1417" w:type="dxa"/>
            <w:noWrap w:val="0"/>
            <w:vAlign w:val="center"/>
          </w:tcPr>
          <w:p w14:paraId="7913995A">
            <w:pPr>
              <w:keepNext w:val="0"/>
              <w:keepLines w:val="0"/>
              <w:suppressLineNumbers w:val="0"/>
              <w:autoSpaceDE w:val="0"/>
              <w:autoSpaceDN w:val="0"/>
              <w:adjustRightInd w:val="0"/>
              <w:spacing w:before="0" w:beforeAutospacing="0" w:after="0" w:afterAutospacing="0" w:line="320" w:lineRule="exact"/>
              <w:ind w:left="0" w:right="0"/>
              <w:jc w:val="center"/>
              <w:rPr>
                <w:rFonts w:hint="default" w:hAnsi="宋体" w:cs="宋体"/>
                <w:color w:val="auto"/>
                <w:sz w:val="24"/>
                <w:szCs w:val="24"/>
              </w:rPr>
            </w:pPr>
            <w:r>
              <w:rPr>
                <w:rFonts w:hint="eastAsia" w:hAnsi="宋体" w:cs="宋体"/>
                <w:color w:val="auto"/>
                <w:sz w:val="24"/>
                <w:szCs w:val="24"/>
              </w:rPr>
              <w:t>资产总额</w:t>
            </w:r>
          </w:p>
        </w:tc>
        <w:tc>
          <w:tcPr>
            <w:tcW w:w="2958" w:type="dxa"/>
            <w:gridSpan w:val="2"/>
            <w:tcBorders>
              <w:right w:val="single" w:color="auto" w:sz="12" w:space="0"/>
            </w:tcBorders>
            <w:noWrap w:val="0"/>
            <w:vAlign w:val="center"/>
          </w:tcPr>
          <w:p w14:paraId="0D1449EB">
            <w:pPr>
              <w:keepNext w:val="0"/>
              <w:keepLines w:val="0"/>
              <w:suppressLineNumbers w:val="0"/>
              <w:autoSpaceDE w:val="0"/>
              <w:autoSpaceDN w:val="0"/>
              <w:adjustRightInd w:val="0"/>
              <w:spacing w:before="0" w:beforeAutospacing="0" w:after="0" w:afterAutospacing="0" w:line="320" w:lineRule="exact"/>
              <w:ind w:left="0" w:right="0"/>
              <w:rPr>
                <w:rFonts w:hint="default" w:hAnsi="宋体" w:cs="宋体"/>
                <w:color w:val="auto"/>
                <w:sz w:val="24"/>
                <w:szCs w:val="24"/>
              </w:rPr>
            </w:pPr>
          </w:p>
        </w:tc>
      </w:tr>
      <w:tr w14:paraId="32C9EA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99" w:hRule="atLeast"/>
          <w:jc w:val="center"/>
        </w:trPr>
        <w:tc>
          <w:tcPr>
            <w:tcW w:w="1686" w:type="dxa"/>
            <w:tcBorders>
              <w:left w:val="single" w:color="auto" w:sz="12" w:space="0"/>
            </w:tcBorders>
            <w:noWrap w:val="0"/>
            <w:vAlign w:val="center"/>
          </w:tcPr>
          <w:p w14:paraId="16438F28">
            <w:pPr>
              <w:keepNext w:val="0"/>
              <w:keepLines w:val="0"/>
              <w:suppressLineNumbers w:val="0"/>
              <w:autoSpaceDE w:val="0"/>
              <w:autoSpaceDN w:val="0"/>
              <w:adjustRightInd w:val="0"/>
              <w:spacing w:before="0" w:beforeAutospacing="0" w:after="0" w:afterAutospacing="0" w:line="320" w:lineRule="exact"/>
              <w:ind w:left="0" w:right="0"/>
              <w:rPr>
                <w:rFonts w:hint="default" w:hAnsi="宋体" w:cs="宋体"/>
                <w:color w:val="auto"/>
                <w:sz w:val="24"/>
                <w:szCs w:val="24"/>
              </w:rPr>
            </w:pPr>
            <w:r>
              <w:rPr>
                <w:rFonts w:hint="eastAsia" w:hAnsi="宋体" w:cs="宋体"/>
                <w:color w:val="auto"/>
                <w:sz w:val="24"/>
                <w:szCs w:val="24"/>
              </w:rPr>
              <w:t>所获得资质及等级(国家行政部门颁发)</w:t>
            </w:r>
          </w:p>
        </w:tc>
        <w:tc>
          <w:tcPr>
            <w:tcW w:w="7494" w:type="dxa"/>
            <w:gridSpan w:val="5"/>
            <w:tcBorders>
              <w:right w:val="single" w:color="auto" w:sz="12" w:space="0"/>
            </w:tcBorders>
            <w:noWrap w:val="0"/>
            <w:vAlign w:val="center"/>
          </w:tcPr>
          <w:p w14:paraId="6F6A7E45">
            <w:pPr>
              <w:keepNext w:val="0"/>
              <w:keepLines w:val="0"/>
              <w:suppressLineNumbers w:val="0"/>
              <w:autoSpaceDE w:val="0"/>
              <w:autoSpaceDN w:val="0"/>
              <w:adjustRightInd w:val="0"/>
              <w:spacing w:before="0" w:beforeAutospacing="0" w:after="0" w:afterAutospacing="0" w:line="320" w:lineRule="exact"/>
              <w:ind w:left="0" w:right="0"/>
              <w:rPr>
                <w:rFonts w:hint="default" w:hAnsi="宋体" w:cs="宋体"/>
                <w:color w:val="auto"/>
                <w:sz w:val="24"/>
                <w:szCs w:val="24"/>
              </w:rPr>
            </w:pPr>
          </w:p>
          <w:p w14:paraId="5A4C4418">
            <w:pPr>
              <w:keepNext w:val="0"/>
              <w:keepLines w:val="0"/>
              <w:suppressLineNumbers w:val="0"/>
              <w:autoSpaceDE w:val="0"/>
              <w:autoSpaceDN w:val="0"/>
              <w:adjustRightInd w:val="0"/>
              <w:spacing w:before="0" w:beforeAutospacing="0" w:after="0" w:afterAutospacing="0" w:line="320" w:lineRule="exact"/>
              <w:ind w:left="0" w:right="0"/>
              <w:rPr>
                <w:rFonts w:hint="default" w:hAnsi="宋体" w:cs="宋体"/>
                <w:color w:val="auto"/>
                <w:sz w:val="24"/>
                <w:szCs w:val="24"/>
              </w:rPr>
            </w:pPr>
          </w:p>
        </w:tc>
      </w:tr>
      <w:tr w14:paraId="28207F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958" w:hRule="atLeast"/>
          <w:jc w:val="center"/>
        </w:trPr>
        <w:tc>
          <w:tcPr>
            <w:tcW w:w="1686" w:type="dxa"/>
            <w:tcBorders>
              <w:left w:val="single" w:color="auto" w:sz="12" w:space="0"/>
            </w:tcBorders>
            <w:noWrap w:val="0"/>
            <w:vAlign w:val="center"/>
          </w:tcPr>
          <w:p w14:paraId="4C56B501">
            <w:pPr>
              <w:keepNext w:val="0"/>
              <w:keepLines w:val="0"/>
              <w:suppressLineNumbers w:val="0"/>
              <w:autoSpaceDE w:val="0"/>
              <w:autoSpaceDN w:val="0"/>
              <w:adjustRightInd w:val="0"/>
              <w:spacing w:before="0" w:beforeAutospacing="0" w:after="0" w:afterAutospacing="0" w:line="320" w:lineRule="exact"/>
              <w:ind w:left="0" w:right="0"/>
              <w:rPr>
                <w:rFonts w:hint="default" w:hAnsi="宋体" w:cs="宋体"/>
                <w:color w:val="auto"/>
                <w:sz w:val="24"/>
                <w:szCs w:val="24"/>
              </w:rPr>
            </w:pPr>
            <w:r>
              <w:rPr>
                <w:rFonts w:hint="eastAsia" w:hAnsi="宋体" w:cs="宋体"/>
                <w:color w:val="auto"/>
                <w:sz w:val="24"/>
                <w:szCs w:val="24"/>
              </w:rPr>
              <w:t>经营范围</w:t>
            </w:r>
          </w:p>
        </w:tc>
        <w:tc>
          <w:tcPr>
            <w:tcW w:w="7494" w:type="dxa"/>
            <w:gridSpan w:val="5"/>
            <w:tcBorders>
              <w:right w:val="single" w:color="auto" w:sz="12" w:space="0"/>
            </w:tcBorders>
            <w:noWrap w:val="0"/>
            <w:vAlign w:val="center"/>
          </w:tcPr>
          <w:p w14:paraId="4DCFDAFF">
            <w:pPr>
              <w:keepNext w:val="0"/>
              <w:keepLines w:val="0"/>
              <w:suppressLineNumbers w:val="0"/>
              <w:autoSpaceDE w:val="0"/>
              <w:autoSpaceDN w:val="0"/>
              <w:adjustRightInd w:val="0"/>
              <w:spacing w:before="0" w:beforeAutospacing="0" w:after="0" w:afterAutospacing="0" w:line="320" w:lineRule="exact"/>
              <w:ind w:left="0" w:right="0"/>
              <w:rPr>
                <w:rFonts w:hint="default" w:hAnsi="宋体" w:cs="宋体"/>
                <w:color w:val="auto"/>
                <w:sz w:val="24"/>
                <w:szCs w:val="24"/>
              </w:rPr>
            </w:pPr>
          </w:p>
        </w:tc>
      </w:tr>
      <w:tr w14:paraId="08542F3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noWrap w:val="0"/>
            <w:vAlign w:val="center"/>
          </w:tcPr>
          <w:p w14:paraId="353E2F6F">
            <w:pPr>
              <w:keepNext w:val="0"/>
              <w:keepLines w:val="0"/>
              <w:suppressLineNumbers w:val="0"/>
              <w:autoSpaceDE w:val="0"/>
              <w:autoSpaceDN w:val="0"/>
              <w:adjustRightInd w:val="0"/>
              <w:spacing w:before="0" w:beforeAutospacing="0" w:after="0" w:afterAutospacing="0" w:line="320" w:lineRule="exact"/>
              <w:ind w:left="0" w:right="0"/>
              <w:rPr>
                <w:rFonts w:hint="default" w:hAnsi="宋体" w:cs="宋体"/>
                <w:color w:val="auto"/>
                <w:sz w:val="24"/>
                <w:szCs w:val="24"/>
              </w:rPr>
            </w:pPr>
            <w:r>
              <w:rPr>
                <w:rFonts w:hint="eastAsia" w:hAnsi="宋体" w:cs="宋体"/>
                <w:color w:val="auto"/>
                <w:sz w:val="24"/>
                <w:szCs w:val="24"/>
              </w:rPr>
              <w:t>人员情况</w:t>
            </w:r>
          </w:p>
        </w:tc>
      </w:tr>
      <w:tr w14:paraId="15CF03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restart"/>
            <w:tcBorders>
              <w:left w:val="single" w:color="auto" w:sz="12" w:space="0"/>
            </w:tcBorders>
            <w:noWrap w:val="0"/>
            <w:vAlign w:val="center"/>
          </w:tcPr>
          <w:p w14:paraId="5F2E68BD">
            <w:pPr>
              <w:keepNext w:val="0"/>
              <w:keepLines w:val="0"/>
              <w:suppressLineNumbers w:val="0"/>
              <w:autoSpaceDE w:val="0"/>
              <w:autoSpaceDN w:val="0"/>
              <w:adjustRightInd w:val="0"/>
              <w:spacing w:before="0" w:beforeAutospacing="0" w:after="0" w:afterAutospacing="0" w:line="320" w:lineRule="exact"/>
              <w:ind w:left="0" w:right="0"/>
              <w:rPr>
                <w:rFonts w:hint="default" w:hAnsi="宋体" w:cs="宋体"/>
                <w:color w:val="auto"/>
                <w:sz w:val="24"/>
                <w:szCs w:val="24"/>
              </w:rPr>
            </w:pPr>
            <w:r>
              <w:rPr>
                <w:rFonts w:hint="eastAsia" w:hAnsi="宋体" w:cs="宋体"/>
                <w:color w:val="auto"/>
                <w:sz w:val="24"/>
                <w:szCs w:val="24"/>
              </w:rPr>
              <w:t>从业人员总数</w:t>
            </w:r>
          </w:p>
        </w:tc>
        <w:tc>
          <w:tcPr>
            <w:tcW w:w="1586" w:type="dxa"/>
            <w:vMerge w:val="restart"/>
            <w:noWrap w:val="0"/>
            <w:vAlign w:val="center"/>
          </w:tcPr>
          <w:p w14:paraId="2226D289">
            <w:pPr>
              <w:keepNext w:val="0"/>
              <w:keepLines w:val="0"/>
              <w:suppressLineNumbers w:val="0"/>
              <w:autoSpaceDE w:val="0"/>
              <w:autoSpaceDN w:val="0"/>
              <w:adjustRightInd w:val="0"/>
              <w:spacing w:before="0" w:beforeAutospacing="0" w:after="0" w:afterAutospacing="0" w:line="320" w:lineRule="exact"/>
              <w:ind w:left="0" w:right="0"/>
              <w:rPr>
                <w:rFonts w:hint="default" w:hAnsi="宋体" w:cs="宋体"/>
                <w:color w:val="auto"/>
                <w:sz w:val="24"/>
                <w:szCs w:val="24"/>
              </w:rPr>
            </w:pPr>
          </w:p>
        </w:tc>
        <w:tc>
          <w:tcPr>
            <w:tcW w:w="1533" w:type="dxa"/>
            <w:noWrap w:val="0"/>
            <w:vAlign w:val="center"/>
          </w:tcPr>
          <w:p w14:paraId="1A39BD23">
            <w:pPr>
              <w:keepNext w:val="0"/>
              <w:keepLines w:val="0"/>
              <w:suppressLineNumbers w:val="0"/>
              <w:autoSpaceDE w:val="0"/>
              <w:autoSpaceDN w:val="0"/>
              <w:adjustRightInd w:val="0"/>
              <w:spacing w:before="0" w:beforeAutospacing="0" w:after="0" w:afterAutospacing="0" w:line="320" w:lineRule="exact"/>
              <w:ind w:left="0" w:right="0"/>
              <w:jc w:val="center"/>
              <w:rPr>
                <w:rFonts w:hint="default" w:hAnsi="宋体" w:cs="宋体"/>
                <w:color w:val="auto"/>
                <w:sz w:val="24"/>
                <w:szCs w:val="24"/>
              </w:rPr>
            </w:pPr>
            <w:r>
              <w:rPr>
                <w:rFonts w:hint="eastAsia" w:hAnsi="宋体" w:cs="宋体"/>
                <w:color w:val="auto"/>
                <w:sz w:val="24"/>
                <w:szCs w:val="24"/>
              </w:rPr>
              <w:t>管理人员</w:t>
            </w:r>
          </w:p>
          <w:p w14:paraId="59CD48EF">
            <w:pPr>
              <w:keepNext w:val="0"/>
              <w:keepLines w:val="0"/>
              <w:suppressLineNumbers w:val="0"/>
              <w:autoSpaceDE w:val="0"/>
              <w:autoSpaceDN w:val="0"/>
              <w:adjustRightInd w:val="0"/>
              <w:spacing w:before="0" w:beforeAutospacing="0" w:after="0" w:afterAutospacing="0" w:line="320" w:lineRule="exact"/>
              <w:ind w:left="0" w:right="0"/>
              <w:jc w:val="center"/>
              <w:rPr>
                <w:rFonts w:hint="default" w:hAnsi="宋体" w:cs="宋体"/>
                <w:color w:val="auto"/>
                <w:sz w:val="24"/>
                <w:szCs w:val="24"/>
              </w:rPr>
            </w:pPr>
            <w:r>
              <w:rPr>
                <w:rFonts w:hint="eastAsia" w:hAnsi="宋体" w:cs="宋体"/>
                <w:color w:val="auto"/>
                <w:sz w:val="24"/>
                <w:szCs w:val="24"/>
              </w:rPr>
              <w:t>数量</w:t>
            </w:r>
          </w:p>
        </w:tc>
        <w:tc>
          <w:tcPr>
            <w:tcW w:w="1417" w:type="dxa"/>
            <w:noWrap w:val="0"/>
            <w:vAlign w:val="center"/>
          </w:tcPr>
          <w:p w14:paraId="6B7A58BE">
            <w:pPr>
              <w:keepNext w:val="0"/>
              <w:keepLines w:val="0"/>
              <w:suppressLineNumbers w:val="0"/>
              <w:autoSpaceDE w:val="0"/>
              <w:autoSpaceDN w:val="0"/>
              <w:adjustRightInd w:val="0"/>
              <w:spacing w:before="0" w:beforeAutospacing="0" w:after="0" w:afterAutospacing="0" w:line="320" w:lineRule="exact"/>
              <w:ind w:left="0" w:right="0"/>
              <w:jc w:val="center"/>
              <w:rPr>
                <w:rFonts w:hint="default" w:hAnsi="宋体" w:cs="宋体"/>
                <w:color w:val="auto"/>
                <w:sz w:val="24"/>
                <w:szCs w:val="24"/>
              </w:rPr>
            </w:pPr>
          </w:p>
        </w:tc>
        <w:tc>
          <w:tcPr>
            <w:tcW w:w="1560" w:type="dxa"/>
            <w:noWrap w:val="0"/>
            <w:vAlign w:val="center"/>
          </w:tcPr>
          <w:p w14:paraId="4B4AEEF2">
            <w:pPr>
              <w:keepNext w:val="0"/>
              <w:keepLines w:val="0"/>
              <w:suppressLineNumbers w:val="0"/>
              <w:autoSpaceDE w:val="0"/>
              <w:autoSpaceDN w:val="0"/>
              <w:adjustRightInd w:val="0"/>
              <w:spacing w:before="0" w:beforeAutospacing="0" w:after="0" w:afterAutospacing="0" w:line="320" w:lineRule="exact"/>
              <w:ind w:left="0" w:right="0"/>
              <w:jc w:val="center"/>
              <w:rPr>
                <w:rFonts w:hint="default" w:hAnsi="宋体" w:cs="宋体"/>
                <w:color w:val="auto"/>
                <w:sz w:val="24"/>
                <w:szCs w:val="24"/>
              </w:rPr>
            </w:pPr>
            <w:r>
              <w:rPr>
                <w:rFonts w:hint="eastAsia" w:hAnsi="宋体" w:cs="宋体"/>
                <w:color w:val="auto"/>
                <w:sz w:val="24"/>
                <w:szCs w:val="24"/>
              </w:rPr>
              <w:t>专业技术人员数量</w:t>
            </w:r>
          </w:p>
        </w:tc>
        <w:tc>
          <w:tcPr>
            <w:tcW w:w="1398" w:type="dxa"/>
            <w:tcBorders>
              <w:right w:val="single" w:color="auto" w:sz="12" w:space="0"/>
            </w:tcBorders>
            <w:noWrap w:val="0"/>
            <w:vAlign w:val="center"/>
          </w:tcPr>
          <w:p w14:paraId="1FAC5582">
            <w:pPr>
              <w:keepNext w:val="0"/>
              <w:keepLines w:val="0"/>
              <w:suppressLineNumbers w:val="0"/>
              <w:autoSpaceDE w:val="0"/>
              <w:autoSpaceDN w:val="0"/>
              <w:adjustRightInd w:val="0"/>
              <w:spacing w:before="0" w:beforeAutospacing="0" w:after="0" w:afterAutospacing="0" w:line="320" w:lineRule="exact"/>
              <w:ind w:left="0" w:right="0"/>
              <w:rPr>
                <w:rFonts w:hint="default" w:hAnsi="宋体" w:cs="宋体"/>
                <w:bCs/>
                <w:color w:val="auto"/>
                <w:sz w:val="24"/>
                <w:szCs w:val="24"/>
              </w:rPr>
            </w:pPr>
          </w:p>
        </w:tc>
      </w:tr>
      <w:tr w14:paraId="3086F9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continue"/>
            <w:tcBorders>
              <w:left w:val="single" w:color="auto" w:sz="12" w:space="0"/>
              <w:bottom w:val="single" w:color="auto" w:sz="4" w:space="0"/>
            </w:tcBorders>
            <w:noWrap w:val="0"/>
            <w:vAlign w:val="center"/>
          </w:tcPr>
          <w:p w14:paraId="19BF556D">
            <w:pPr>
              <w:keepNext w:val="0"/>
              <w:keepLines w:val="0"/>
              <w:suppressLineNumbers w:val="0"/>
              <w:autoSpaceDE w:val="0"/>
              <w:autoSpaceDN w:val="0"/>
              <w:adjustRightInd w:val="0"/>
              <w:spacing w:before="0" w:beforeAutospacing="0" w:after="0" w:afterAutospacing="0" w:line="320" w:lineRule="exact"/>
              <w:ind w:left="0" w:right="0"/>
              <w:rPr>
                <w:rFonts w:hint="default" w:hAnsi="宋体" w:cs="宋体"/>
                <w:color w:val="auto"/>
                <w:sz w:val="24"/>
                <w:szCs w:val="24"/>
              </w:rPr>
            </w:pPr>
          </w:p>
        </w:tc>
        <w:tc>
          <w:tcPr>
            <w:tcW w:w="1586" w:type="dxa"/>
            <w:vMerge w:val="continue"/>
            <w:tcBorders>
              <w:bottom w:val="single" w:color="auto" w:sz="4" w:space="0"/>
            </w:tcBorders>
            <w:noWrap w:val="0"/>
            <w:vAlign w:val="center"/>
          </w:tcPr>
          <w:p w14:paraId="2366B426">
            <w:pPr>
              <w:keepNext w:val="0"/>
              <w:keepLines w:val="0"/>
              <w:suppressLineNumbers w:val="0"/>
              <w:autoSpaceDE w:val="0"/>
              <w:autoSpaceDN w:val="0"/>
              <w:adjustRightInd w:val="0"/>
              <w:spacing w:before="0" w:beforeAutospacing="0" w:after="0" w:afterAutospacing="0" w:line="320" w:lineRule="exact"/>
              <w:ind w:left="0" w:right="0"/>
              <w:rPr>
                <w:rFonts w:hint="default" w:hAnsi="宋体" w:cs="宋体"/>
                <w:color w:val="auto"/>
                <w:sz w:val="24"/>
                <w:szCs w:val="24"/>
              </w:rPr>
            </w:pPr>
          </w:p>
        </w:tc>
        <w:tc>
          <w:tcPr>
            <w:tcW w:w="1533" w:type="dxa"/>
            <w:tcBorders>
              <w:bottom w:val="single" w:color="auto" w:sz="4" w:space="0"/>
            </w:tcBorders>
            <w:noWrap w:val="0"/>
            <w:vAlign w:val="center"/>
          </w:tcPr>
          <w:p w14:paraId="68C96433">
            <w:pPr>
              <w:keepNext w:val="0"/>
              <w:keepLines w:val="0"/>
              <w:suppressLineNumbers w:val="0"/>
              <w:autoSpaceDE w:val="0"/>
              <w:autoSpaceDN w:val="0"/>
              <w:adjustRightInd w:val="0"/>
              <w:spacing w:before="0" w:beforeAutospacing="0" w:after="0" w:afterAutospacing="0" w:line="320" w:lineRule="exact"/>
              <w:ind w:left="0" w:right="0"/>
              <w:jc w:val="center"/>
              <w:rPr>
                <w:rFonts w:hint="default" w:hAnsi="宋体" w:cs="宋体"/>
                <w:color w:val="auto"/>
                <w:sz w:val="24"/>
                <w:szCs w:val="24"/>
              </w:rPr>
            </w:pPr>
            <w:r>
              <w:rPr>
                <w:rFonts w:hint="eastAsia" w:hAnsi="宋体" w:cs="宋体"/>
                <w:color w:val="auto"/>
                <w:sz w:val="24"/>
                <w:szCs w:val="24"/>
              </w:rPr>
              <w:t>残疾人人数</w:t>
            </w:r>
          </w:p>
        </w:tc>
        <w:tc>
          <w:tcPr>
            <w:tcW w:w="1417" w:type="dxa"/>
            <w:tcBorders>
              <w:bottom w:val="single" w:color="auto" w:sz="4" w:space="0"/>
            </w:tcBorders>
            <w:noWrap w:val="0"/>
            <w:vAlign w:val="center"/>
          </w:tcPr>
          <w:p w14:paraId="2340784A">
            <w:pPr>
              <w:keepNext w:val="0"/>
              <w:keepLines w:val="0"/>
              <w:suppressLineNumbers w:val="0"/>
              <w:autoSpaceDE w:val="0"/>
              <w:autoSpaceDN w:val="0"/>
              <w:adjustRightInd w:val="0"/>
              <w:spacing w:before="0" w:beforeAutospacing="0" w:after="0" w:afterAutospacing="0" w:line="320" w:lineRule="exact"/>
              <w:ind w:left="0" w:right="0"/>
              <w:jc w:val="center"/>
              <w:rPr>
                <w:rFonts w:hint="default" w:hAnsi="宋体" w:cs="宋体"/>
                <w:color w:val="auto"/>
                <w:sz w:val="24"/>
                <w:szCs w:val="24"/>
              </w:rPr>
            </w:pPr>
          </w:p>
        </w:tc>
        <w:tc>
          <w:tcPr>
            <w:tcW w:w="1560" w:type="dxa"/>
            <w:tcBorders>
              <w:bottom w:val="single" w:color="auto" w:sz="4" w:space="0"/>
            </w:tcBorders>
            <w:noWrap w:val="0"/>
            <w:vAlign w:val="center"/>
          </w:tcPr>
          <w:p w14:paraId="3FB615A0">
            <w:pPr>
              <w:keepNext w:val="0"/>
              <w:keepLines w:val="0"/>
              <w:suppressLineNumbers w:val="0"/>
              <w:autoSpaceDE w:val="0"/>
              <w:autoSpaceDN w:val="0"/>
              <w:adjustRightInd w:val="0"/>
              <w:spacing w:before="0" w:beforeAutospacing="0" w:after="0" w:afterAutospacing="0" w:line="320" w:lineRule="exact"/>
              <w:ind w:left="0" w:right="0"/>
              <w:jc w:val="center"/>
              <w:rPr>
                <w:rFonts w:hint="default" w:hAnsi="宋体" w:cs="宋体"/>
                <w:color w:val="auto"/>
                <w:sz w:val="24"/>
                <w:szCs w:val="24"/>
              </w:rPr>
            </w:pPr>
            <w:r>
              <w:rPr>
                <w:rFonts w:hint="eastAsia" w:hAnsi="宋体" w:cs="宋体"/>
                <w:color w:val="auto"/>
                <w:sz w:val="24"/>
                <w:szCs w:val="24"/>
              </w:rPr>
              <w:t>少数民族</w:t>
            </w:r>
          </w:p>
          <w:p w14:paraId="11D8080E">
            <w:pPr>
              <w:keepNext w:val="0"/>
              <w:keepLines w:val="0"/>
              <w:suppressLineNumbers w:val="0"/>
              <w:autoSpaceDE w:val="0"/>
              <w:autoSpaceDN w:val="0"/>
              <w:adjustRightInd w:val="0"/>
              <w:spacing w:before="0" w:beforeAutospacing="0" w:after="0" w:afterAutospacing="0" w:line="320" w:lineRule="exact"/>
              <w:ind w:left="0" w:right="0"/>
              <w:jc w:val="center"/>
              <w:rPr>
                <w:rFonts w:hint="default" w:hAnsi="宋体" w:cs="宋体"/>
                <w:color w:val="auto"/>
                <w:sz w:val="24"/>
                <w:szCs w:val="24"/>
              </w:rPr>
            </w:pPr>
            <w:r>
              <w:rPr>
                <w:rFonts w:hint="eastAsia" w:hAnsi="宋体" w:cs="宋体"/>
                <w:color w:val="auto"/>
                <w:sz w:val="24"/>
                <w:szCs w:val="24"/>
              </w:rPr>
              <w:t>人数</w:t>
            </w:r>
          </w:p>
        </w:tc>
        <w:tc>
          <w:tcPr>
            <w:tcW w:w="1398" w:type="dxa"/>
            <w:tcBorders>
              <w:bottom w:val="single" w:color="auto" w:sz="4" w:space="0"/>
              <w:right w:val="single" w:color="auto" w:sz="12" w:space="0"/>
            </w:tcBorders>
            <w:noWrap w:val="0"/>
            <w:vAlign w:val="center"/>
          </w:tcPr>
          <w:p w14:paraId="718C1161">
            <w:pPr>
              <w:keepNext w:val="0"/>
              <w:keepLines w:val="0"/>
              <w:suppressLineNumbers w:val="0"/>
              <w:autoSpaceDE w:val="0"/>
              <w:autoSpaceDN w:val="0"/>
              <w:adjustRightInd w:val="0"/>
              <w:spacing w:before="0" w:beforeAutospacing="0" w:after="0" w:afterAutospacing="0" w:line="320" w:lineRule="exact"/>
              <w:ind w:left="0" w:right="0"/>
              <w:rPr>
                <w:rFonts w:hint="default" w:hAnsi="宋体" w:cs="宋体"/>
                <w:bCs/>
                <w:color w:val="auto"/>
                <w:sz w:val="24"/>
                <w:szCs w:val="24"/>
              </w:rPr>
            </w:pPr>
          </w:p>
        </w:tc>
      </w:tr>
      <w:tr w14:paraId="65C6D5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51" w:hRule="atLeast"/>
          <w:jc w:val="center"/>
        </w:trPr>
        <w:tc>
          <w:tcPr>
            <w:tcW w:w="1686" w:type="dxa"/>
            <w:tcBorders>
              <w:left w:val="single" w:color="auto" w:sz="12" w:space="0"/>
              <w:bottom w:val="single" w:color="auto" w:sz="12" w:space="0"/>
            </w:tcBorders>
            <w:noWrap w:val="0"/>
            <w:vAlign w:val="center"/>
          </w:tcPr>
          <w:p w14:paraId="6A1CAEBD">
            <w:pPr>
              <w:keepNext w:val="0"/>
              <w:keepLines w:val="0"/>
              <w:suppressLineNumbers w:val="0"/>
              <w:autoSpaceDE w:val="0"/>
              <w:autoSpaceDN w:val="0"/>
              <w:adjustRightInd w:val="0"/>
              <w:spacing w:before="0" w:beforeAutospacing="0" w:after="0" w:afterAutospacing="0" w:line="320" w:lineRule="exact"/>
              <w:ind w:left="0" w:right="0"/>
              <w:rPr>
                <w:rFonts w:hint="default" w:hAnsi="宋体" w:cs="宋体"/>
                <w:color w:val="auto"/>
                <w:sz w:val="24"/>
                <w:szCs w:val="24"/>
              </w:rPr>
            </w:pPr>
            <w:r>
              <w:rPr>
                <w:rFonts w:hint="eastAsia" w:hAnsi="宋体" w:cs="宋体"/>
                <w:color w:val="auto"/>
                <w:sz w:val="24"/>
                <w:szCs w:val="24"/>
              </w:rPr>
              <w:t>说明</w:t>
            </w:r>
          </w:p>
        </w:tc>
        <w:tc>
          <w:tcPr>
            <w:tcW w:w="7494" w:type="dxa"/>
            <w:gridSpan w:val="5"/>
            <w:tcBorders>
              <w:bottom w:val="single" w:color="auto" w:sz="12" w:space="0"/>
              <w:right w:val="single" w:color="auto" w:sz="12" w:space="0"/>
            </w:tcBorders>
            <w:noWrap w:val="0"/>
            <w:vAlign w:val="center"/>
          </w:tcPr>
          <w:p w14:paraId="751BD10F">
            <w:pPr>
              <w:keepNext w:val="0"/>
              <w:keepLines w:val="0"/>
              <w:suppressLineNumbers w:val="0"/>
              <w:spacing w:before="0" w:beforeAutospacing="0" w:after="0" w:afterAutospacing="0" w:line="320" w:lineRule="exact"/>
              <w:ind w:left="360" w:right="0" w:hanging="360"/>
              <w:rPr>
                <w:rFonts w:hint="default" w:hAnsi="宋体" w:cs="宋体"/>
                <w:color w:val="auto"/>
                <w:sz w:val="24"/>
                <w:szCs w:val="24"/>
              </w:rPr>
            </w:pPr>
            <w:r>
              <w:rPr>
                <w:rFonts w:hint="eastAsia" w:hAnsi="宋体" w:cs="宋体"/>
                <w:color w:val="auto"/>
                <w:sz w:val="24"/>
                <w:szCs w:val="24"/>
              </w:rPr>
              <w:t>1、登记证号指营业执照/事业单位法人证书/专业服务机构执业许可证/民办非企业单位登记证书中的登记号。</w:t>
            </w:r>
          </w:p>
          <w:p w14:paraId="29FA0DA0">
            <w:pPr>
              <w:keepNext w:val="0"/>
              <w:keepLines w:val="0"/>
              <w:suppressLineNumbers w:val="0"/>
              <w:spacing w:before="0" w:beforeAutospacing="0" w:after="0" w:afterAutospacing="0" w:line="320" w:lineRule="exact"/>
              <w:ind w:left="360" w:right="0" w:hanging="360"/>
              <w:rPr>
                <w:rFonts w:hint="default" w:hAnsi="宋体" w:cs="宋体"/>
                <w:color w:val="auto"/>
                <w:sz w:val="24"/>
                <w:szCs w:val="24"/>
              </w:rPr>
            </w:pPr>
            <w:r>
              <w:rPr>
                <w:rFonts w:hint="eastAsia" w:hAnsi="宋体" w:cs="宋体"/>
                <w:color w:val="auto"/>
                <w:sz w:val="24"/>
                <w:szCs w:val="24"/>
              </w:rPr>
              <w:t>2、成立时间至提交投标文件截止时间不足一年的可不提供“上年度营业收入”。</w:t>
            </w:r>
          </w:p>
          <w:p w14:paraId="10CBE779">
            <w:pPr>
              <w:keepNext w:val="0"/>
              <w:keepLines w:val="0"/>
              <w:suppressLineNumbers w:val="0"/>
              <w:spacing w:before="0" w:beforeAutospacing="0" w:after="0" w:afterAutospacing="0" w:line="320" w:lineRule="exact"/>
              <w:ind w:left="360" w:right="0" w:hanging="360"/>
              <w:rPr>
                <w:rFonts w:hint="default" w:hAnsi="宋体" w:cs="宋体"/>
                <w:color w:val="auto"/>
                <w:sz w:val="24"/>
                <w:szCs w:val="24"/>
              </w:rPr>
            </w:pPr>
            <w:r>
              <w:rPr>
                <w:rFonts w:hint="eastAsia" w:hAnsi="宋体" w:cs="宋体"/>
                <w:color w:val="auto"/>
                <w:sz w:val="24"/>
                <w:szCs w:val="24"/>
              </w:rPr>
              <w:t>3、投标人应如实填写上述信息。</w:t>
            </w:r>
            <w:bookmarkStart w:id="224" w:name="■AcceptUnion_CH5_A■"/>
            <w:r>
              <w:rPr>
                <w:rFonts w:hint="eastAsia" w:hAnsi="宋体" w:cs="宋体"/>
                <w:color w:val="auto"/>
                <w:sz w:val="24"/>
                <w:szCs w:val="24"/>
              </w:rPr>
              <w:t>招标文件允许联合体投标的，联合体各方均应提供。</w:t>
            </w:r>
            <w:bookmarkEnd w:id="224"/>
          </w:p>
        </w:tc>
      </w:tr>
    </w:tbl>
    <w:p w14:paraId="78A48CCD">
      <w:pPr>
        <w:rPr>
          <w:rFonts w:hAnsi="宋体" w:cs="宋体"/>
          <w:b/>
          <w:color w:val="auto"/>
          <w:sz w:val="21"/>
          <w:szCs w:val="21"/>
        </w:rPr>
      </w:pPr>
    </w:p>
    <w:p w14:paraId="56003351">
      <w:pPr>
        <w:pStyle w:val="9"/>
        <w:rPr>
          <w:color w:val="auto"/>
        </w:rPr>
      </w:pPr>
    </w:p>
    <w:p w14:paraId="7AD66B43">
      <w:pPr>
        <w:jc w:val="center"/>
        <w:rPr>
          <w:rFonts w:hAnsi="宋体" w:cs="宋体"/>
          <w:b/>
          <w:color w:val="auto"/>
          <w:sz w:val="21"/>
          <w:szCs w:val="21"/>
        </w:rPr>
      </w:pPr>
      <w:r>
        <w:rPr>
          <w:rFonts w:hint="eastAsia" w:hAnsi="宋体" w:cs="宋体"/>
          <w:b/>
          <w:color w:val="auto"/>
          <w:sz w:val="28"/>
          <w:szCs w:val="28"/>
        </w:rPr>
        <w:t>二、</w:t>
      </w:r>
      <w:r>
        <w:rPr>
          <w:rFonts w:hint="eastAsia" w:hAnsi="宋体" w:cs="宋体"/>
          <w:b/>
          <w:color w:val="auto"/>
          <w:sz w:val="28"/>
          <w:szCs w:val="28"/>
          <w:lang w:val="zh-CN"/>
        </w:rPr>
        <w:t>企业控股关联关系</w:t>
      </w:r>
      <w:r>
        <w:rPr>
          <w:rFonts w:hint="eastAsia" w:hAnsi="宋体" w:cs="宋体"/>
          <w:b/>
          <w:color w:val="auto"/>
          <w:sz w:val="28"/>
          <w:szCs w:val="28"/>
        </w:rPr>
        <w:t>说明</w:t>
      </w:r>
    </w:p>
    <w:p w14:paraId="2CA49BD9">
      <w:pPr>
        <w:spacing w:line="360" w:lineRule="auto"/>
        <w:ind w:firstLine="480" w:firstLineChars="200"/>
        <w:rPr>
          <w:rFonts w:hAnsi="宋体" w:cs="宋体"/>
          <w:color w:val="auto"/>
          <w:sz w:val="24"/>
          <w:szCs w:val="24"/>
        </w:rPr>
      </w:pPr>
      <w:r>
        <w:rPr>
          <w:rFonts w:hint="eastAsia" w:hAnsi="宋体" w:cs="宋体"/>
          <w:color w:val="auto"/>
          <w:sz w:val="24"/>
          <w:szCs w:val="24"/>
        </w:rPr>
        <w:t>1.投标人在本项目投标活动中，不存在与其它参与投标的投标人负责人为同一人，有控股、管理等关联关系承诺：</w:t>
      </w:r>
    </w:p>
    <w:p w14:paraId="3060B045">
      <w:pPr>
        <w:spacing w:line="360" w:lineRule="auto"/>
        <w:ind w:firstLine="480" w:firstLineChars="200"/>
        <w:rPr>
          <w:rFonts w:hAnsi="宋体" w:cs="宋体"/>
          <w:color w:val="auto"/>
          <w:sz w:val="24"/>
          <w:szCs w:val="24"/>
        </w:rPr>
      </w:pPr>
      <w:bookmarkStart w:id="225" w:name="_Toc16856"/>
      <w:r>
        <w:rPr>
          <w:rFonts w:hint="eastAsia"/>
          <w:color w:val="auto"/>
          <w:sz w:val="24"/>
          <w:szCs w:val="24"/>
        </w:rPr>
        <w:t>1.1管理关系说明：</w:t>
      </w:r>
      <w:bookmarkEnd w:id="225"/>
    </w:p>
    <w:p w14:paraId="3D6FA477">
      <w:pPr>
        <w:spacing w:line="360" w:lineRule="auto"/>
        <w:ind w:firstLine="960" w:firstLineChars="400"/>
        <w:rPr>
          <w:rFonts w:hAnsi="宋体" w:cs="宋体"/>
          <w:color w:val="auto"/>
          <w:sz w:val="24"/>
          <w:szCs w:val="24"/>
        </w:rPr>
      </w:pPr>
      <w:r>
        <w:rPr>
          <w:rFonts w:hint="eastAsia" w:hAnsi="宋体" w:cs="宋体"/>
          <w:color w:val="auto"/>
          <w:sz w:val="24"/>
          <w:szCs w:val="24"/>
        </w:rPr>
        <w:t>我单位管理的具有独立法人的下属单位有：</w:t>
      </w:r>
      <w:r>
        <w:rPr>
          <w:rFonts w:hint="eastAsia" w:hAnsi="宋体" w:cs="宋体"/>
          <w:color w:val="auto"/>
          <w:sz w:val="24"/>
          <w:szCs w:val="24"/>
          <w:u w:val="single"/>
        </w:rPr>
        <w:t xml:space="preserve">       </w:t>
      </w:r>
      <w:r>
        <w:rPr>
          <w:rFonts w:hint="eastAsia" w:hAnsi="宋体" w:cs="宋体"/>
          <w:color w:val="auto"/>
          <w:sz w:val="24"/>
          <w:szCs w:val="24"/>
        </w:rPr>
        <w:t>。</w:t>
      </w:r>
    </w:p>
    <w:p w14:paraId="793ADAB1">
      <w:pPr>
        <w:spacing w:line="360" w:lineRule="auto"/>
        <w:ind w:firstLine="960" w:firstLineChars="400"/>
        <w:rPr>
          <w:rFonts w:hAnsi="宋体" w:cs="宋体"/>
          <w:color w:val="auto"/>
          <w:sz w:val="24"/>
          <w:szCs w:val="24"/>
        </w:rPr>
      </w:pPr>
      <w:r>
        <w:rPr>
          <w:rFonts w:hint="eastAsia" w:hAnsi="宋体" w:cs="宋体"/>
          <w:color w:val="auto"/>
          <w:sz w:val="24"/>
          <w:szCs w:val="24"/>
        </w:rPr>
        <w:t>我单位的上级管理单位有</w:t>
      </w:r>
      <w:r>
        <w:rPr>
          <w:rFonts w:hint="eastAsia" w:hAnsi="宋体" w:cs="宋体"/>
          <w:color w:val="auto"/>
          <w:sz w:val="24"/>
          <w:szCs w:val="24"/>
          <w:u w:val="single"/>
        </w:rPr>
        <w:t xml:space="preserve">       </w:t>
      </w:r>
      <w:r>
        <w:rPr>
          <w:rFonts w:hint="eastAsia" w:hAnsi="宋体" w:cs="宋体"/>
          <w:color w:val="auto"/>
          <w:sz w:val="24"/>
          <w:szCs w:val="24"/>
        </w:rPr>
        <w:t>。</w:t>
      </w:r>
    </w:p>
    <w:p w14:paraId="5BE4213D">
      <w:pPr>
        <w:spacing w:line="360" w:lineRule="auto"/>
        <w:ind w:firstLine="480" w:firstLineChars="200"/>
        <w:rPr>
          <w:color w:val="auto"/>
          <w:sz w:val="24"/>
          <w:szCs w:val="24"/>
        </w:rPr>
      </w:pPr>
      <w:bookmarkStart w:id="226" w:name="_Toc12117"/>
      <w:r>
        <w:rPr>
          <w:rFonts w:hint="eastAsia"/>
          <w:color w:val="auto"/>
          <w:sz w:val="24"/>
          <w:szCs w:val="24"/>
        </w:rPr>
        <w:t>1.2股权关系说明：</w:t>
      </w:r>
      <w:bookmarkEnd w:id="226"/>
    </w:p>
    <w:p w14:paraId="5E0DA2BD">
      <w:pPr>
        <w:spacing w:line="360" w:lineRule="auto"/>
        <w:ind w:firstLine="960" w:firstLineChars="400"/>
        <w:rPr>
          <w:rFonts w:hAnsi="宋体" w:cs="宋体"/>
          <w:color w:val="auto"/>
          <w:sz w:val="24"/>
          <w:szCs w:val="24"/>
        </w:rPr>
      </w:pPr>
      <w:r>
        <w:rPr>
          <w:rFonts w:hint="eastAsia" w:hAnsi="宋体" w:cs="宋体"/>
          <w:color w:val="auto"/>
          <w:sz w:val="24"/>
          <w:szCs w:val="24"/>
        </w:rPr>
        <w:t>我单位控股的单位有</w:t>
      </w:r>
      <w:r>
        <w:rPr>
          <w:rFonts w:hint="eastAsia" w:hAnsi="宋体" w:cs="宋体"/>
          <w:color w:val="auto"/>
          <w:sz w:val="24"/>
          <w:szCs w:val="24"/>
          <w:u w:val="single"/>
        </w:rPr>
        <w:t xml:space="preserve">           </w:t>
      </w:r>
      <w:r>
        <w:rPr>
          <w:rFonts w:hint="eastAsia" w:hAnsi="宋体" w:cs="宋体"/>
          <w:color w:val="auto"/>
          <w:sz w:val="24"/>
          <w:szCs w:val="24"/>
        </w:rPr>
        <w:t>。</w:t>
      </w:r>
    </w:p>
    <w:p w14:paraId="2B52F241">
      <w:pPr>
        <w:spacing w:line="360" w:lineRule="auto"/>
        <w:ind w:firstLine="960" w:firstLineChars="400"/>
        <w:rPr>
          <w:rFonts w:hAnsi="宋体" w:cs="宋体"/>
          <w:color w:val="auto"/>
          <w:sz w:val="24"/>
          <w:szCs w:val="24"/>
        </w:rPr>
      </w:pPr>
      <w:r>
        <w:rPr>
          <w:rFonts w:hint="eastAsia" w:hAnsi="宋体" w:cs="宋体"/>
          <w:color w:val="auto"/>
          <w:sz w:val="24"/>
          <w:szCs w:val="24"/>
        </w:rPr>
        <w:t>我单位被</w:t>
      </w:r>
      <w:r>
        <w:rPr>
          <w:rFonts w:hint="eastAsia" w:hAnsi="宋体" w:cs="宋体"/>
          <w:color w:val="auto"/>
          <w:sz w:val="24"/>
          <w:szCs w:val="24"/>
          <w:u w:val="single"/>
        </w:rPr>
        <w:t xml:space="preserve">             </w:t>
      </w:r>
      <w:r>
        <w:rPr>
          <w:rFonts w:hint="eastAsia" w:hAnsi="宋体" w:cs="宋体"/>
          <w:color w:val="auto"/>
          <w:sz w:val="24"/>
          <w:szCs w:val="24"/>
        </w:rPr>
        <w:t>单位控股。</w:t>
      </w:r>
    </w:p>
    <w:p w14:paraId="6E435053">
      <w:pPr>
        <w:spacing w:line="360" w:lineRule="auto"/>
        <w:ind w:firstLine="480" w:firstLineChars="200"/>
        <w:rPr>
          <w:color w:val="auto"/>
          <w:sz w:val="24"/>
          <w:szCs w:val="24"/>
        </w:rPr>
      </w:pPr>
      <w:bookmarkStart w:id="227" w:name="_Toc18126"/>
      <w:r>
        <w:rPr>
          <w:rFonts w:hint="eastAsia"/>
          <w:color w:val="auto"/>
          <w:sz w:val="24"/>
          <w:szCs w:val="24"/>
        </w:rPr>
        <w:t>1.3单位负责人：</w:t>
      </w:r>
      <w:bookmarkEnd w:id="227"/>
      <w:r>
        <w:rPr>
          <w:rFonts w:hint="eastAsia"/>
          <w:color w:val="auto"/>
          <w:sz w:val="24"/>
          <w:szCs w:val="24"/>
          <w:u w:val="single"/>
        </w:rPr>
        <w:t xml:space="preserve">              </w:t>
      </w:r>
      <w:r>
        <w:rPr>
          <w:rFonts w:hint="eastAsia"/>
          <w:color w:val="auto"/>
          <w:sz w:val="24"/>
          <w:szCs w:val="24"/>
        </w:rPr>
        <w:t xml:space="preserve">  </w:t>
      </w:r>
    </w:p>
    <w:p w14:paraId="624D300C">
      <w:pPr>
        <w:spacing w:line="360" w:lineRule="auto"/>
        <w:ind w:firstLine="480" w:firstLineChars="200"/>
        <w:rPr>
          <w:rFonts w:hAnsi="宋体" w:cs="宋体"/>
          <w:color w:val="auto"/>
          <w:sz w:val="24"/>
          <w:szCs w:val="24"/>
        </w:rPr>
      </w:pPr>
      <w:r>
        <w:rPr>
          <w:rFonts w:hint="eastAsia" w:hAnsi="宋体" w:cs="宋体"/>
          <w:color w:val="auto"/>
          <w:sz w:val="24"/>
          <w:szCs w:val="24"/>
        </w:rPr>
        <w:t>2.</w:t>
      </w:r>
      <w:r>
        <w:rPr>
          <w:rFonts w:hint="eastAsia" w:hAnsi="宋体" w:cs="宋体"/>
          <w:color w:val="auto"/>
          <w:sz w:val="24"/>
          <w:szCs w:val="24"/>
          <w:u w:val="single"/>
        </w:rPr>
        <w:t xml:space="preserve">         </w:t>
      </w:r>
      <w:r>
        <w:rPr>
          <w:rFonts w:hint="eastAsia" w:hAnsi="宋体" w:cs="宋体"/>
          <w:color w:val="auto"/>
          <w:sz w:val="24"/>
          <w:szCs w:val="24"/>
        </w:rPr>
        <w:t>（填写是或否）为本采购项目提供</w:t>
      </w:r>
      <w:r>
        <w:rPr>
          <w:rFonts w:hint="eastAsia" w:hAnsi="宋体" w:cs="宋体"/>
          <w:color w:val="auto"/>
          <w:sz w:val="24"/>
          <w:szCs w:val="24"/>
          <w:lang w:val="en-US" w:eastAsia="zh-CN"/>
        </w:rPr>
        <w:t>前期</w:t>
      </w:r>
      <w:r>
        <w:rPr>
          <w:rFonts w:hint="eastAsia" w:hAnsi="宋体" w:cs="宋体"/>
          <w:color w:val="auto"/>
          <w:sz w:val="24"/>
          <w:szCs w:val="24"/>
        </w:rPr>
        <w:t>整体设计、规范编制或者项目管理、监理、检测等服务的投标人。</w:t>
      </w:r>
    </w:p>
    <w:p w14:paraId="149B8399">
      <w:pPr>
        <w:spacing w:line="360" w:lineRule="auto"/>
        <w:ind w:firstLine="480" w:firstLineChars="200"/>
        <w:rPr>
          <w:rFonts w:hAnsi="宋体" w:cs="宋体"/>
          <w:color w:val="auto"/>
          <w:sz w:val="24"/>
          <w:szCs w:val="24"/>
          <w:u w:val="single"/>
        </w:rPr>
      </w:pPr>
      <w:r>
        <w:rPr>
          <w:rFonts w:hint="eastAsia" w:hAnsi="宋体" w:cs="宋体"/>
          <w:color w:val="auto"/>
          <w:sz w:val="24"/>
          <w:szCs w:val="24"/>
        </w:rPr>
        <w:t>3.其他与本项目有关的利害关系说明：</w:t>
      </w:r>
      <w:r>
        <w:rPr>
          <w:rFonts w:hint="eastAsia" w:hAnsi="宋体" w:cs="宋体"/>
          <w:color w:val="auto"/>
          <w:sz w:val="24"/>
          <w:szCs w:val="24"/>
          <w:u w:val="single"/>
        </w:rPr>
        <w:t xml:space="preserve">            </w:t>
      </w:r>
      <w:r>
        <w:rPr>
          <w:rFonts w:hint="eastAsia" w:hAnsi="宋体" w:cs="宋体"/>
          <w:color w:val="auto"/>
          <w:sz w:val="24"/>
          <w:szCs w:val="24"/>
        </w:rPr>
        <w:t>。</w:t>
      </w:r>
    </w:p>
    <w:p w14:paraId="7558DCA1">
      <w:pPr>
        <w:pStyle w:val="9"/>
        <w:spacing w:line="360" w:lineRule="auto"/>
        <w:rPr>
          <w:rFonts w:ascii="宋体" w:hAnsi="宋体" w:cs="宋体"/>
          <w:color w:val="auto"/>
          <w:sz w:val="24"/>
          <w:szCs w:val="24"/>
        </w:rPr>
      </w:pPr>
    </w:p>
    <w:p w14:paraId="7D25EF5E">
      <w:pPr>
        <w:spacing w:line="360" w:lineRule="auto"/>
        <w:ind w:firstLine="720" w:firstLineChars="300"/>
        <w:rPr>
          <w:rFonts w:hAnsi="宋体" w:cs="宋体"/>
          <w:color w:val="auto"/>
          <w:sz w:val="24"/>
          <w:szCs w:val="24"/>
        </w:rPr>
      </w:pPr>
      <w:r>
        <w:rPr>
          <w:rFonts w:hint="eastAsia" w:hAnsi="宋体" w:cs="宋体"/>
          <w:color w:val="auto"/>
          <w:sz w:val="24"/>
          <w:szCs w:val="24"/>
        </w:rPr>
        <w:t>我单位承诺以上说明真实有效，无虚假内容或隐瞒。</w:t>
      </w:r>
    </w:p>
    <w:p w14:paraId="1E86791B">
      <w:pPr>
        <w:spacing w:line="500" w:lineRule="exact"/>
        <w:ind w:firstLine="240" w:firstLineChars="100"/>
        <w:rPr>
          <w:rFonts w:hAnsi="宋体" w:cs="宋体"/>
          <w:color w:val="auto"/>
          <w:sz w:val="24"/>
          <w:szCs w:val="24"/>
        </w:rPr>
      </w:pPr>
    </w:p>
    <w:p w14:paraId="71F73D0D">
      <w:pPr>
        <w:pStyle w:val="9"/>
        <w:rPr>
          <w:color w:val="auto"/>
          <w:sz w:val="24"/>
          <w:szCs w:val="24"/>
        </w:rPr>
      </w:pPr>
    </w:p>
    <w:p w14:paraId="4C5E7E58">
      <w:pPr>
        <w:spacing w:line="500" w:lineRule="exact"/>
        <w:ind w:firstLine="2420" w:firstLineChars="1100"/>
        <w:rPr>
          <w:rFonts w:hAnsi="宋体" w:cs="宋体"/>
          <w:color w:val="auto"/>
          <w:sz w:val="24"/>
          <w:szCs w:val="24"/>
        </w:rPr>
      </w:pPr>
      <w:r>
        <w:rPr>
          <w:rFonts w:hint="eastAsia" w:hAnsi="宋体" w:cs="宋体"/>
          <w:color w:val="auto"/>
          <w:spacing w:val="-10"/>
          <w:sz w:val="24"/>
          <w:szCs w:val="24"/>
          <w:highlight w:val="none"/>
          <w:u w:val="single"/>
          <w:lang w:eastAsia="zh-CN"/>
        </w:rPr>
        <w:t>服务商名称</w:t>
      </w:r>
      <w:r>
        <w:rPr>
          <w:rFonts w:hint="eastAsia" w:hAnsi="宋体" w:cs="宋体"/>
          <w:color w:val="auto"/>
          <w:sz w:val="24"/>
          <w:szCs w:val="24"/>
        </w:rPr>
        <w:t>（加盖公章）</w:t>
      </w:r>
    </w:p>
    <w:p w14:paraId="4910B717">
      <w:pPr>
        <w:spacing w:line="500" w:lineRule="exact"/>
        <w:ind w:firstLine="240" w:firstLineChars="100"/>
        <w:rPr>
          <w:rFonts w:hAnsi="宋体" w:cs="宋体"/>
          <w:color w:val="auto"/>
          <w:sz w:val="24"/>
          <w:szCs w:val="24"/>
        </w:rPr>
      </w:pPr>
    </w:p>
    <w:p w14:paraId="7022D549">
      <w:pPr>
        <w:spacing w:line="500" w:lineRule="exact"/>
        <w:ind w:firstLine="2400" w:firstLineChars="1000"/>
        <w:rPr>
          <w:rFonts w:hAnsi="宋体" w:cs="宋体"/>
          <w:color w:val="auto"/>
          <w:sz w:val="24"/>
          <w:szCs w:val="24"/>
        </w:rPr>
      </w:pPr>
      <w:r>
        <w:rPr>
          <w:rFonts w:hint="eastAsia" w:hAnsi="宋体" w:cs="宋体"/>
          <w:color w:val="auto"/>
          <w:sz w:val="24"/>
          <w:szCs w:val="24"/>
        </w:rPr>
        <w:t>法定代表人或被授权人：</w:t>
      </w:r>
      <w:r>
        <w:rPr>
          <w:rFonts w:hint="eastAsia" w:hAnsi="宋体" w:cs="宋体"/>
          <w:color w:val="auto"/>
          <w:sz w:val="24"/>
          <w:szCs w:val="24"/>
          <w:u w:val="single"/>
        </w:rPr>
        <w:t xml:space="preserve">           </w:t>
      </w:r>
      <w:r>
        <w:rPr>
          <w:rFonts w:hint="eastAsia" w:hAnsi="宋体" w:cs="宋体"/>
          <w:color w:val="auto"/>
          <w:sz w:val="24"/>
          <w:szCs w:val="24"/>
        </w:rPr>
        <w:t>（签字或盖章）</w:t>
      </w:r>
    </w:p>
    <w:p w14:paraId="02F22DAB">
      <w:pPr>
        <w:spacing w:line="500" w:lineRule="exact"/>
        <w:ind w:firstLine="240" w:firstLineChars="100"/>
        <w:rPr>
          <w:rFonts w:hAnsi="宋体" w:cs="宋体"/>
          <w:color w:val="auto"/>
          <w:sz w:val="24"/>
          <w:szCs w:val="24"/>
        </w:rPr>
      </w:pPr>
      <w:r>
        <w:rPr>
          <w:rFonts w:hint="eastAsia" w:hAnsi="宋体" w:cs="宋体"/>
          <w:color w:val="auto"/>
          <w:sz w:val="24"/>
          <w:szCs w:val="24"/>
        </w:rPr>
        <w:t xml:space="preserve">      </w:t>
      </w:r>
    </w:p>
    <w:p w14:paraId="40CBC909">
      <w:pPr>
        <w:spacing w:line="500" w:lineRule="exact"/>
        <w:ind w:firstLine="2400" w:firstLineChars="1000"/>
        <w:rPr>
          <w:rFonts w:hAnsi="宋体" w:cs="宋体"/>
          <w:color w:val="auto"/>
          <w:sz w:val="21"/>
          <w:szCs w:val="21"/>
        </w:rPr>
      </w:pPr>
      <w:r>
        <w:rPr>
          <w:rFonts w:hint="eastAsia" w:hAnsi="宋体" w:cs="宋体"/>
          <w:color w:val="auto"/>
          <w:sz w:val="24"/>
          <w:szCs w:val="24"/>
        </w:rPr>
        <w:t>日期：     年   月   日</w:t>
      </w:r>
    </w:p>
    <w:p w14:paraId="3D5310E7">
      <w:pPr>
        <w:rPr>
          <w:rFonts w:hAnsi="宋体" w:cs="宋体"/>
          <w:b/>
          <w:bCs/>
          <w:color w:val="auto"/>
          <w:sz w:val="21"/>
          <w:szCs w:val="21"/>
        </w:rPr>
      </w:pPr>
    </w:p>
    <w:p w14:paraId="21AD8A5F">
      <w:pPr>
        <w:rPr>
          <w:rFonts w:hAnsi="宋体" w:cs="宋体"/>
          <w:b/>
          <w:bCs/>
          <w:color w:val="auto"/>
          <w:sz w:val="21"/>
          <w:szCs w:val="21"/>
        </w:rPr>
      </w:pPr>
    </w:p>
    <w:p w14:paraId="3EC7F503">
      <w:pPr>
        <w:rPr>
          <w:rFonts w:hAnsi="宋体" w:cs="宋体"/>
          <w:b/>
          <w:bCs/>
          <w:color w:val="auto"/>
          <w:sz w:val="21"/>
          <w:szCs w:val="21"/>
        </w:rPr>
      </w:pPr>
    </w:p>
    <w:p w14:paraId="3B70A4FC">
      <w:pPr>
        <w:rPr>
          <w:rFonts w:hAnsi="宋体" w:cs="宋体"/>
          <w:b/>
          <w:bCs/>
          <w:color w:val="auto"/>
          <w:sz w:val="21"/>
          <w:szCs w:val="21"/>
        </w:rPr>
      </w:pPr>
    </w:p>
    <w:p w14:paraId="688C8A44">
      <w:pPr>
        <w:rPr>
          <w:rFonts w:hAnsi="宋体" w:cs="宋体"/>
          <w:color w:val="auto"/>
          <w:sz w:val="21"/>
          <w:szCs w:val="21"/>
          <w:lang w:val="zh-CN"/>
        </w:rPr>
      </w:pPr>
      <w:r>
        <w:rPr>
          <w:rFonts w:hint="eastAsia" w:hAnsi="宋体" w:cs="宋体"/>
          <w:b/>
          <w:bCs/>
          <w:color w:val="auto"/>
          <w:sz w:val="21"/>
          <w:szCs w:val="21"/>
        </w:rPr>
        <w:t>注：</w:t>
      </w:r>
      <w:r>
        <w:rPr>
          <w:rFonts w:hint="eastAsia" w:hAnsi="宋体" w:cs="宋体"/>
          <w:color w:val="auto"/>
          <w:sz w:val="21"/>
          <w:szCs w:val="21"/>
        </w:rPr>
        <w:t>请详细填写</w:t>
      </w:r>
      <w:r>
        <w:rPr>
          <w:rFonts w:hint="eastAsia" w:hAnsi="宋体" w:cs="宋体"/>
          <w:color w:val="auto"/>
          <w:sz w:val="21"/>
          <w:szCs w:val="21"/>
          <w:lang w:val="zh-CN"/>
        </w:rPr>
        <w:t>企业关系关联说明，未如实填写将否决</w:t>
      </w:r>
      <w:r>
        <w:rPr>
          <w:rFonts w:hint="eastAsia" w:hAnsi="宋体" w:cs="宋体"/>
          <w:color w:val="auto"/>
          <w:sz w:val="21"/>
          <w:szCs w:val="21"/>
        </w:rPr>
        <w:t>投标</w:t>
      </w:r>
      <w:r>
        <w:rPr>
          <w:rFonts w:hint="eastAsia" w:hAnsi="宋体" w:cs="宋体"/>
          <w:color w:val="auto"/>
          <w:sz w:val="21"/>
          <w:szCs w:val="21"/>
          <w:lang w:val="zh-CN"/>
        </w:rPr>
        <w:t>。</w:t>
      </w:r>
    </w:p>
    <w:p w14:paraId="67B97F39">
      <w:pPr>
        <w:jc w:val="center"/>
        <w:rPr>
          <w:color w:val="auto"/>
        </w:rPr>
      </w:pPr>
      <w:r>
        <w:rPr>
          <w:rFonts w:hint="eastAsia" w:hAnsi="宋体" w:cs="宋体"/>
          <w:color w:val="auto"/>
          <w:sz w:val="21"/>
          <w:szCs w:val="21"/>
          <w:lang w:val="zh-CN"/>
        </w:rPr>
        <w:br w:type="page"/>
      </w:r>
      <w:bookmarkStart w:id="228" w:name="OLE_LINK47"/>
      <w:r>
        <w:rPr>
          <w:rFonts w:hint="eastAsia" w:hAnsi="宋体" w:cs="宋体"/>
          <w:b/>
          <w:color w:val="auto"/>
          <w:sz w:val="28"/>
          <w:szCs w:val="28"/>
        </w:rPr>
        <w:t>三、投标人性质</w:t>
      </w:r>
    </w:p>
    <w:p w14:paraId="6FAFB693">
      <w:pPr>
        <w:shd w:val="clear" w:color="auto" w:fill="auto"/>
        <w:spacing w:line="360" w:lineRule="auto"/>
        <w:ind w:firstLine="480" w:firstLineChars="200"/>
        <w:rPr>
          <w:rFonts w:hint="eastAsia"/>
          <w:sz w:val="24"/>
          <w:szCs w:val="24"/>
        </w:rPr>
      </w:pPr>
      <w:r>
        <w:rPr>
          <w:rFonts w:hint="eastAsia"/>
          <w:sz w:val="24"/>
          <w:szCs w:val="24"/>
          <w:lang w:eastAsia="zh-CN"/>
        </w:rPr>
        <w:t>中</w:t>
      </w:r>
      <w:r>
        <w:rPr>
          <w:rFonts w:hint="eastAsia"/>
          <w:sz w:val="24"/>
          <w:szCs w:val="24"/>
          <w:lang w:val="en-US" w:eastAsia="zh-CN"/>
        </w:rPr>
        <w:t>/</w:t>
      </w:r>
      <w:r>
        <w:rPr>
          <w:rFonts w:hint="eastAsia"/>
          <w:sz w:val="24"/>
          <w:szCs w:val="24"/>
        </w:rPr>
        <w:t>小/微型企业、残疾人福利性单位投标时，应提供声明函（按下文给定格式）。未提供或未按给定格式提供声明函或声明函填写错误的，将视同为大型企业，作否决投标处理。监狱企业投标时，应当提供由省级以上监狱管理局、戒毒管理局（含新疆生产建设兵团）出具的属于监狱企业的证明文件（格式不做要求）。</w:t>
      </w:r>
    </w:p>
    <w:p w14:paraId="3DF0CEEF">
      <w:pPr>
        <w:pStyle w:val="13"/>
        <w:rPr>
          <w:rFonts w:hint="eastAsia"/>
          <w:sz w:val="24"/>
          <w:szCs w:val="24"/>
        </w:rPr>
      </w:pPr>
    </w:p>
    <w:p w14:paraId="12E01EC8">
      <w:pPr>
        <w:pStyle w:val="13"/>
        <w:rPr>
          <w:rFonts w:hint="eastAsia"/>
          <w:sz w:val="24"/>
          <w:szCs w:val="24"/>
        </w:rPr>
      </w:pPr>
    </w:p>
    <w:p w14:paraId="55FC0189">
      <w:pPr>
        <w:pStyle w:val="13"/>
        <w:rPr>
          <w:rFonts w:hint="eastAsia"/>
          <w:sz w:val="24"/>
          <w:szCs w:val="24"/>
        </w:rPr>
      </w:pPr>
    </w:p>
    <w:p w14:paraId="22C5F6FE">
      <w:pPr>
        <w:pStyle w:val="13"/>
        <w:rPr>
          <w:rFonts w:hint="eastAsia"/>
          <w:sz w:val="24"/>
          <w:szCs w:val="24"/>
        </w:rPr>
      </w:pPr>
    </w:p>
    <w:p w14:paraId="72D2CC5C">
      <w:pPr>
        <w:pStyle w:val="13"/>
        <w:rPr>
          <w:rFonts w:hint="eastAsia"/>
          <w:sz w:val="24"/>
          <w:szCs w:val="24"/>
        </w:rPr>
      </w:pPr>
    </w:p>
    <w:p w14:paraId="346777FD">
      <w:pPr>
        <w:pStyle w:val="13"/>
        <w:rPr>
          <w:rFonts w:hint="eastAsia"/>
          <w:sz w:val="24"/>
          <w:szCs w:val="24"/>
        </w:rPr>
      </w:pPr>
    </w:p>
    <w:p w14:paraId="5C6F2A6B">
      <w:pPr>
        <w:pStyle w:val="13"/>
        <w:rPr>
          <w:rFonts w:hint="eastAsia"/>
          <w:sz w:val="24"/>
          <w:szCs w:val="24"/>
        </w:rPr>
      </w:pPr>
    </w:p>
    <w:p w14:paraId="018607B1">
      <w:pPr>
        <w:pStyle w:val="13"/>
        <w:rPr>
          <w:rFonts w:hint="eastAsia"/>
          <w:sz w:val="24"/>
          <w:szCs w:val="24"/>
        </w:rPr>
      </w:pPr>
    </w:p>
    <w:p w14:paraId="3B8A18CF">
      <w:pPr>
        <w:pStyle w:val="13"/>
        <w:rPr>
          <w:rFonts w:hint="eastAsia"/>
          <w:sz w:val="24"/>
          <w:szCs w:val="24"/>
        </w:rPr>
      </w:pPr>
    </w:p>
    <w:p w14:paraId="34D68F92">
      <w:pPr>
        <w:pStyle w:val="13"/>
        <w:rPr>
          <w:rFonts w:hint="eastAsia"/>
          <w:sz w:val="24"/>
          <w:szCs w:val="24"/>
        </w:rPr>
      </w:pPr>
    </w:p>
    <w:p w14:paraId="07168CA0">
      <w:pPr>
        <w:pStyle w:val="13"/>
        <w:rPr>
          <w:rFonts w:hint="eastAsia"/>
          <w:sz w:val="24"/>
          <w:szCs w:val="24"/>
        </w:rPr>
      </w:pPr>
    </w:p>
    <w:p w14:paraId="3A8BD0F1">
      <w:pPr>
        <w:pStyle w:val="13"/>
        <w:rPr>
          <w:rFonts w:hint="eastAsia"/>
          <w:sz w:val="24"/>
          <w:szCs w:val="24"/>
        </w:rPr>
      </w:pPr>
    </w:p>
    <w:p w14:paraId="6591D8DD">
      <w:pPr>
        <w:pStyle w:val="13"/>
        <w:rPr>
          <w:rFonts w:hint="eastAsia"/>
          <w:sz w:val="24"/>
          <w:szCs w:val="24"/>
        </w:rPr>
      </w:pPr>
    </w:p>
    <w:p w14:paraId="7408AA59">
      <w:pPr>
        <w:pStyle w:val="13"/>
        <w:ind w:left="0" w:leftChars="0" w:firstLine="0" w:firstLineChars="0"/>
        <w:rPr>
          <w:rFonts w:hint="eastAsia"/>
          <w:sz w:val="24"/>
          <w:szCs w:val="24"/>
        </w:rPr>
      </w:pPr>
    </w:p>
    <w:p w14:paraId="6DE26D4B">
      <w:pPr>
        <w:rPr>
          <w:rFonts w:hint="eastAsia"/>
          <w:sz w:val="24"/>
          <w:szCs w:val="24"/>
        </w:rPr>
      </w:pPr>
    </w:p>
    <w:p w14:paraId="20264565">
      <w:pPr>
        <w:keepNext w:val="0"/>
        <w:keepLines w:val="0"/>
        <w:pageBreakBefore w:val="0"/>
        <w:widowControl/>
        <w:suppressLineNumbers w:val="0"/>
        <w:kinsoku/>
        <w:overflowPunct/>
        <w:topLinePunct w:val="0"/>
        <w:bidi w:val="0"/>
        <w:spacing w:beforeAutospacing="0" w:afterAutospacing="0" w:line="360" w:lineRule="auto"/>
        <w:ind w:left="0" w:right="0"/>
        <w:jc w:val="center"/>
        <w:textAlignment w:val="auto"/>
        <w:rPr>
          <w:rFonts w:hint="eastAsia" w:ascii="宋体" w:hAnsi="宋体" w:eastAsia="宋体" w:cs="宋体"/>
          <w:sz w:val="21"/>
          <w:szCs w:val="21"/>
        </w:rPr>
      </w:pPr>
      <w:r>
        <w:rPr>
          <w:rStyle w:val="27"/>
          <w:rFonts w:hint="eastAsia" w:ascii="宋体" w:hAnsi="宋体" w:eastAsia="宋体" w:cs="宋体"/>
          <w:bCs w:val="0"/>
          <w:color w:val="333333"/>
          <w:kern w:val="0"/>
          <w:sz w:val="21"/>
          <w:szCs w:val="21"/>
          <w:lang w:val="en-US" w:eastAsia="zh-CN" w:bidi="ar"/>
        </w:rPr>
        <w:t>中小企业声明函（工程、服务）</w:t>
      </w:r>
    </w:p>
    <w:p w14:paraId="50B8B5C4">
      <w:pPr>
        <w:keepNext w:val="0"/>
        <w:keepLines w:val="0"/>
        <w:pageBreakBefore w:val="0"/>
        <w:widowControl/>
        <w:suppressLineNumbers w:val="0"/>
        <w:kinsoku/>
        <w:overflowPunct/>
        <w:topLinePunct w:val="0"/>
        <w:bidi w:val="0"/>
        <w:spacing w:beforeAutospacing="0" w:afterAutospacing="0" w:line="360" w:lineRule="auto"/>
        <w:ind w:left="0" w:right="0" w:firstLine="420" w:firstLineChars="200"/>
        <w:jc w:val="left"/>
        <w:textAlignment w:val="auto"/>
        <w:rPr>
          <w:rFonts w:hint="eastAsia" w:ascii="宋体" w:hAnsi="宋体" w:eastAsia="宋体" w:cs="宋体"/>
          <w:sz w:val="21"/>
          <w:szCs w:val="21"/>
        </w:rPr>
      </w:pPr>
      <w:r>
        <w:rPr>
          <w:rFonts w:hint="eastAsia" w:ascii="宋体" w:hAnsi="宋体" w:eastAsia="宋体" w:cs="宋体"/>
          <w:b w:val="0"/>
          <w:bCs w:val="0"/>
          <w:color w:val="333333"/>
          <w:kern w:val="0"/>
          <w:sz w:val="21"/>
          <w:szCs w:val="21"/>
          <w:lang w:val="en-US" w:eastAsia="zh-CN" w:bidi="ar"/>
        </w:rPr>
        <w:t>本公司（联合体）郑重声明，根据《政府采购促进中小企业发展管理办法》（财库﹝2020﹞46 号）的规定，本公司（联合体）参加</w:t>
      </w:r>
      <w:r>
        <w:rPr>
          <w:rFonts w:hint="eastAsia" w:ascii="宋体" w:hAnsi="宋体" w:eastAsia="宋体" w:cs="宋体"/>
          <w:b w:val="0"/>
          <w:bCs w:val="0"/>
          <w:color w:val="333333"/>
          <w:kern w:val="0"/>
          <w:sz w:val="21"/>
          <w:szCs w:val="21"/>
          <w:u w:val="single"/>
          <w:lang w:val="en-US" w:eastAsia="zh-CN" w:bidi="ar"/>
        </w:rPr>
        <w:t xml:space="preserve">    （单位名称）</w:t>
      </w:r>
      <w:r>
        <w:rPr>
          <w:rFonts w:hint="eastAsia" w:ascii="宋体" w:hAnsi="宋体" w:eastAsia="宋体" w:cs="宋体"/>
          <w:b w:val="0"/>
          <w:bCs w:val="0"/>
          <w:color w:val="333333"/>
          <w:kern w:val="0"/>
          <w:sz w:val="21"/>
          <w:szCs w:val="21"/>
          <w:lang w:val="en-US" w:eastAsia="zh-CN" w:bidi="ar"/>
        </w:rPr>
        <w:t>的（项目名称）采购活动，工程的施工单位全部为符合政策要求的中小企业（或者：服务全部由符合政策要求的中小企业承接）。相关企业（含联合体中的中小企业、签订分包意向协议的中小企业）的具体情况如下：</w:t>
      </w:r>
    </w:p>
    <w:p w14:paraId="06968E38">
      <w:pPr>
        <w:keepNext w:val="0"/>
        <w:keepLines w:val="0"/>
        <w:pageBreakBefore w:val="0"/>
        <w:widowControl/>
        <w:suppressLineNumbers w:val="0"/>
        <w:kinsoku/>
        <w:overflowPunct/>
        <w:topLinePunct w:val="0"/>
        <w:bidi w:val="0"/>
        <w:spacing w:beforeAutospacing="0" w:afterAutospacing="0" w:line="360" w:lineRule="auto"/>
        <w:ind w:left="0" w:right="0" w:firstLine="420" w:firstLineChars="200"/>
        <w:jc w:val="left"/>
        <w:textAlignment w:val="auto"/>
        <w:rPr>
          <w:rFonts w:hint="eastAsia" w:ascii="宋体" w:hAnsi="宋体" w:eastAsia="宋体" w:cs="宋体"/>
          <w:sz w:val="21"/>
          <w:szCs w:val="21"/>
        </w:rPr>
      </w:pPr>
      <w:r>
        <w:rPr>
          <w:rFonts w:hint="eastAsia" w:ascii="宋体" w:hAnsi="宋体" w:eastAsia="宋体" w:cs="宋体"/>
          <w:b w:val="0"/>
          <w:bCs w:val="0"/>
          <w:color w:val="333333"/>
          <w:kern w:val="0"/>
          <w:sz w:val="21"/>
          <w:szCs w:val="21"/>
          <w:u w:val="single"/>
          <w:lang w:val="en-US" w:eastAsia="zh-CN" w:bidi="ar"/>
        </w:rPr>
        <w:t>1.   （标的名称）</w:t>
      </w:r>
      <w:r>
        <w:rPr>
          <w:rFonts w:hint="eastAsia" w:ascii="宋体" w:hAnsi="宋体" w:eastAsia="宋体" w:cs="宋体"/>
          <w:b w:val="0"/>
          <w:bCs w:val="0"/>
          <w:color w:val="333333"/>
          <w:kern w:val="0"/>
          <w:sz w:val="21"/>
          <w:szCs w:val="21"/>
          <w:lang w:val="en-US" w:eastAsia="zh-CN" w:bidi="ar"/>
        </w:rPr>
        <w:t>，属于</w:t>
      </w:r>
      <w:r>
        <w:rPr>
          <w:rFonts w:hint="eastAsia" w:ascii="宋体" w:hAnsi="宋体" w:eastAsia="宋体" w:cs="宋体"/>
          <w:b w:val="0"/>
          <w:bCs w:val="0"/>
          <w:color w:val="333333"/>
          <w:kern w:val="0"/>
          <w:sz w:val="21"/>
          <w:szCs w:val="21"/>
          <w:u w:val="single"/>
          <w:lang w:val="en-US" w:eastAsia="zh-CN" w:bidi="ar"/>
        </w:rPr>
        <w:t xml:space="preserve">    （采购文件中明确的所属行业）</w:t>
      </w:r>
      <w:r>
        <w:rPr>
          <w:rFonts w:hint="eastAsia" w:ascii="宋体" w:hAnsi="宋体" w:eastAsia="宋体" w:cs="宋体"/>
          <w:b w:val="0"/>
          <w:bCs w:val="0"/>
          <w:color w:val="333333"/>
          <w:kern w:val="0"/>
          <w:sz w:val="21"/>
          <w:szCs w:val="21"/>
          <w:lang w:val="en-US" w:eastAsia="zh-CN" w:bidi="ar"/>
        </w:rPr>
        <w:t>；承建（承接）企业为</w:t>
      </w:r>
      <w:r>
        <w:rPr>
          <w:rFonts w:hint="eastAsia" w:ascii="宋体" w:hAnsi="宋体" w:eastAsia="宋体" w:cs="宋体"/>
          <w:b w:val="0"/>
          <w:bCs w:val="0"/>
          <w:color w:val="333333"/>
          <w:kern w:val="0"/>
          <w:sz w:val="21"/>
          <w:szCs w:val="21"/>
          <w:u w:val="single"/>
          <w:lang w:val="en-US" w:eastAsia="zh-CN" w:bidi="ar"/>
        </w:rPr>
        <w:t xml:space="preserve">    （企业名称）</w:t>
      </w:r>
      <w:r>
        <w:rPr>
          <w:rFonts w:hint="eastAsia" w:ascii="宋体" w:hAnsi="宋体" w:eastAsia="宋体" w:cs="宋体"/>
          <w:b w:val="0"/>
          <w:bCs w:val="0"/>
          <w:color w:val="333333"/>
          <w:kern w:val="0"/>
          <w:sz w:val="21"/>
          <w:szCs w:val="21"/>
          <w:lang w:val="en-US" w:eastAsia="zh-CN" w:bidi="ar"/>
        </w:rPr>
        <w:t>，从业人员</w:t>
      </w:r>
      <w:r>
        <w:rPr>
          <w:rFonts w:hint="eastAsia" w:ascii="宋体" w:hAnsi="宋体" w:eastAsia="宋体" w:cs="宋体"/>
          <w:b w:val="0"/>
          <w:bCs w:val="0"/>
          <w:color w:val="333333"/>
          <w:kern w:val="0"/>
          <w:sz w:val="21"/>
          <w:szCs w:val="21"/>
          <w:u w:val="single"/>
          <w:lang w:val="en-US" w:eastAsia="zh-CN" w:bidi="ar"/>
        </w:rPr>
        <w:t xml:space="preserve">    </w:t>
      </w:r>
      <w:r>
        <w:rPr>
          <w:rFonts w:hint="eastAsia" w:ascii="宋体" w:hAnsi="宋体" w:eastAsia="宋体" w:cs="宋体"/>
          <w:b w:val="0"/>
          <w:bCs w:val="0"/>
          <w:color w:val="333333"/>
          <w:kern w:val="0"/>
          <w:sz w:val="21"/>
          <w:szCs w:val="21"/>
          <w:lang w:val="en-US" w:eastAsia="zh-CN" w:bidi="ar"/>
        </w:rPr>
        <w:t>人，营业收入为</w:t>
      </w:r>
      <w:r>
        <w:rPr>
          <w:rFonts w:hint="eastAsia" w:ascii="宋体" w:hAnsi="宋体" w:eastAsia="宋体" w:cs="宋体"/>
          <w:b w:val="0"/>
          <w:bCs w:val="0"/>
          <w:color w:val="333333"/>
          <w:kern w:val="0"/>
          <w:sz w:val="21"/>
          <w:szCs w:val="21"/>
          <w:u w:val="single"/>
          <w:lang w:val="en-US" w:eastAsia="zh-CN" w:bidi="ar"/>
        </w:rPr>
        <w:t xml:space="preserve">    </w:t>
      </w:r>
      <w:r>
        <w:rPr>
          <w:rFonts w:hint="eastAsia" w:ascii="宋体" w:hAnsi="宋体" w:eastAsia="宋体" w:cs="宋体"/>
          <w:b w:val="0"/>
          <w:bCs w:val="0"/>
          <w:color w:val="333333"/>
          <w:kern w:val="0"/>
          <w:sz w:val="21"/>
          <w:szCs w:val="21"/>
          <w:lang w:val="en-US" w:eastAsia="zh-CN" w:bidi="ar"/>
        </w:rPr>
        <w:t>万元，资产总额为</w:t>
      </w:r>
      <w:r>
        <w:rPr>
          <w:rFonts w:hint="eastAsia" w:ascii="宋体" w:hAnsi="宋体" w:eastAsia="宋体" w:cs="宋体"/>
          <w:b w:val="0"/>
          <w:bCs w:val="0"/>
          <w:color w:val="333333"/>
          <w:kern w:val="0"/>
          <w:sz w:val="21"/>
          <w:szCs w:val="21"/>
          <w:u w:val="single"/>
          <w:lang w:val="en-US" w:eastAsia="zh-CN" w:bidi="ar"/>
        </w:rPr>
        <w:t xml:space="preserve">    </w:t>
      </w:r>
      <w:r>
        <w:rPr>
          <w:rFonts w:hint="eastAsia" w:ascii="宋体" w:hAnsi="宋体" w:eastAsia="宋体" w:cs="宋体"/>
          <w:b w:val="0"/>
          <w:bCs w:val="0"/>
          <w:color w:val="333333"/>
          <w:kern w:val="0"/>
          <w:sz w:val="21"/>
          <w:szCs w:val="21"/>
          <w:lang w:val="en-US" w:eastAsia="zh-CN" w:bidi="ar"/>
        </w:rPr>
        <w:t>万元，属于</w:t>
      </w:r>
      <w:r>
        <w:rPr>
          <w:rFonts w:hint="eastAsia" w:ascii="宋体" w:hAnsi="宋体" w:eastAsia="宋体" w:cs="宋体"/>
          <w:b w:val="0"/>
          <w:bCs w:val="0"/>
          <w:color w:val="333333"/>
          <w:kern w:val="0"/>
          <w:sz w:val="21"/>
          <w:szCs w:val="21"/>
          <w:u w:val="single"/>
          <w:lang w:val="en-US" w:eastAsia="zh-CN" w:bidi="ar"/>
        </w:rPr>
        <w:t xml:space="preserve">     （中型企业、小型企业、微型企业）</w:t>
      </w:r>
      <w:r>
        <w:rPr>
          <w:rFonts w:hint="eastAsia" w:ascii="宋体" w:hAnsi="宋体" w:eastAsia="宋体" w:cs="宋体"/>
          <w:b w:val="0"/>
          <w:bCs w:val="0"/>
          <w:color w:val="333333"/>
          <w:kern w:val="0"/>
          <w:sz w:val="21"/>
          <w:szCs w:val="21"/>
          <w:lang w:val="en-US" w:eastAsia="zh-CN" w:bidi="ar"/>
        </w:rPr>
        <w:t>；</w:t>
      </w:r>
    </w:p>
    <w:p w14:paraId="2542985A">
      <w:pPr>
        <w:keepNext w:val="0"/>
        <w:keepLines w:val="0"/>
        <w:pageBreakBefore w:val="0"/>
        <w:widowControl/>
        <w:suppressLineNumbers w:val="0"/>
        <w:kinsoku/>
        <w:overflowPunct/>
        <w:topLinePunct w:val="0"/>
        <w:bidi w:val="0"/>
        <w:spacing w:beforeAutospacing="0" w:afterAutospacing="0" w:line="360" w:lineRule="auto"/>
        <w:ind w:left="0" w:right="0" w:firstLine="420" w:firstLineChars="200"/>
        <w:jc w:val="left"/>
        <w:textAlignment w:val="auto"/>
        <w:rPr>
          <w:rFonts w:hint="eastAsia" w:ascii="宋体" w:hAnsi="宋体" w:eastAsia="宋体" w:cs="宋体"/>
          <w:sz w:val="21"/>
          <w:szCs w:val="21"/>
        </w:rPr>
      </w:pPr>
      <w:r>
        <w:rPr>
          <w:rFonts w:hint="eastAsia" w:ascii="宋体" w:hAnsi="宋体" w:eastAsia="宋体" w:cs="宋体"/>
          <w:b w:val="0"/>
          <w:bCs w:val="0"/>
          <w:color w:val="333333"/>
          <w:kern w:val="0"/>
          <w:sz w:val="21"/>
          <w:szCs w:val="21"/>
          <w:lang w:val="en-US" w:eastAsia="zh-CN" w:bidi="ar"/>
        </w:rPr>
        <w:t>2.</w:t>
      </w:r>
      <w:r>
        <w:rPr>
          <w:rFonts w:hint="eastAsia" w:ascii="宋体" w:hAnsi="宋体" w:eastAsia="宋体" w:cs="宋体"/>
          <w:b w:val="0"/>
          <w:bCs w:val="0"/>
          <w:color w:val="333333"/>
          <w:kern w:val="0"/>
          <w:sz w:val="21"/>
          <w:szCs w:val="21"/>
          <w:u w:val="single"/>
          <w:lang w:val="en-US" w:eastAsia="zh-CN" w:bidi="ar"/>
        </w:rPr>
        <w:t xml:space="preserve">     （标的名称）</w:t>
      </w:r>
      <w:r>
        <w:rPr>
          <w:rFonts w:hint="eastAsia" w:ascii="宋体" w:hAnsi="宋体" w:eastAsia="宋体" w:cs="宋体"/>
          <w:b w:val="0"/>
          <w:bCs w:val="0"/>
          <w:color w:val="333333"/>
          <w:kern w:val="0"/>
          <w:sz w:val="21"/>
          <w:szCs w:val="21"/>
          <w:lang w:val="en-US" w:eastAsia="zh-CN" w:bidi="ar"/>
        </w:rPr>
        <w:t>，属于</w:t>
      </w:r>
      <w:r>
        <w:rPr>
          <w:rFonts w:hint="eastAsia" w:ascii="宋体" w:hAnsi="宋体" w:eastAsia="宋体" w:cs="宋体"/>
          <w:b w:val="0"/>
          <w:bCs w:val="0"/>
          <w:color w:val="333333"/>
          <w:kern w:val="0"/>
          <w:sz w:val="21"/>
          <w:szCs w:val="21"/>
          <w:u w:val="single"/>
          <w:lang w:val="en-US" w:eastAsia="zh-CN" w:bidi="ar"/>
        </w:rPr>
        <w:t xml:space="preserve">     （采购文件中明确的所属行业）</w:t>
      </w:r>
      <w:r>
        <w:rPr>
          <w:rFonts w:hint="eastAsia" w:ascii="宋体" w:hAnsi="宋体" w:eastAsia="宋体" w:cs="宋体"/>
          <w:b w:val="0"/>
          <w:bCs w:val="0"/>
          <w:color w:val="333333"/>
          <w:kern w:val="0"/>
          <w:sz w:val="21"/>
          <w:szCs w:val="21"/>
          <w:lang w:val="en-US" w:eastAsia="zh-CN" w:bidi="ar"/>
        </w:rPr>
        <w:t>行业；制造商为</w:t>
      </w:r>
      <w:r>
        <w:rPr>
          <w:rFonts w:hint="eastAsia" w:ascii="宋体" w:hAnsi="宋体" w:eastAsia="宋体" w:cs="宋体"/>
          <w:b w:val="0"/>
          <w:bCs w:val="0"/>
          <w:color w:val="333333"/>
          <w:kern w:val="0"/>
          <w:sz w:val="21"/>
          <w:szCs w:val="21"/>
          <w:u w:val="single"/>
          <w:lang w:val="en-US" w:eastAsia="zh-CN" w:bidi="ar"/>
        </w:rPr>
        <w:t xml:space="preserve">       （企业名称）</w:t>
      </w:r>
      <w:r>
        <w:rPr>
          <w:rFonts w:hint="eastAsia" w:ascii="宋体" w:hAnsi="宋体" w:eastAsia="宋体" w:cs="宋体"/>
          <w:b w:val="0"/>
          <w:bCs w:val="0"/>
          <w:color w:val="333333"/>
          <w:kern w:val="0"/>
          <w:sz w:val="21"/>
          <w:szCs w:val="21"/>
          <w:lang w:val="en-US" w:eastAsia="zh-CN" w:bidi="ar"/>
        </w:rPr>
        <w:t>，从业人员</w:t>
      </w:r>
      <w:r>
        <w:rPr>
          <w:rFonts w:hint="eastAsia" w:ascii="宋体" w:hAnsi="宋体" w:eastAsia="宋体" w:cs="宋体"/>
          <w:b w:val="0"/>
          <w:bCs w:val="0"/>
          <w:color w:val="333333"/>
          <w:kern w:val="0"/>
          <w:sz w:val="21"/>
          <w:szCs w:val="21"/>
          <w:u w:val="single"/>
          <w:lang w:val="en-US" w:eastAsia="zh-CN" w:bidi="ar"/>
        </w:rPr>
        <w:t xml:space="preserve">    </w:t>
      </w:r>
      <w:r>
        <w:rPr>
          <w:rFonts w:hint="eastAsia" w:ascii="宋体" w:hAnsi="宋体" w:eastAsia="宋体" w:cs="宋体"/>
          <w:b w:val="0"/>
          <w:bCs w:val="0"/>
          <w:color w:val="333333"/>
          <w:kern w:val="0"/>
          <w:sz w:val="21"/>
          <w:szCs w:val="21"/>
          <w:lang w:val="en-US" w:eastAsia="zh-CN" w:bidi="ar"/>
        </w:rPr>
        <w:t>人，营业收入为</w:t>
      </w:r>
      <w:r>
        <w:rPr>
          <w:rFonts w:hint="eastAsia" w:ascii="宋体" w:hAnsi="宋体" w:eastAsia="宋体" w:cs="宋体"/>
          <w:b w:val="0"/>
          <w:bCs w:val="0"/>
          <w:color w:val="333333"/>
          <w:kern w:val="0"/>
          <w:sz w:val="21"/>
          <w:szCs w:val="21"/>
          <w:u w:val="single"/>
          <w:lang w:val="en-US" w:eastAsia="zh-CN" w:bidi="ar"/>
        </w:rPr>
        <w:t xml:space="preserve">    </w:t>
      </w:r>
      <w:r>
        <w:rPr>
          <w:rFonts w:hint="eastAsia" w:ascii="宋体" w:hAnsi="宋体" w:eastAsia="宋体" w:cs="宋体"/>
          <w:b w:val="0"/>
          <w:bCs w:val="0"/>
          <w:color w:val="333333"/>
          <w:kern w:val="0"/>
          <w:sz w:val="21"/>
          <w:szCs w:val="21"/>
          <w:lang w:val="en-US" w:eastAsia="zh-CN" w:bidi="ar"/>
        </w:rPr>
        <w:t>万元，资产总额为</w:t>
      </w:r>
      <w:r>
        <w:rPr>
          <w:rFonts w:hint="eastAsia" w:ascii="宋体" w:hAnsi="宋体" w:eastAsia="宋体" w:cs="宋体"/>
          <w:b w:val="0"/>
          <w:bCs w:val="0"/>
          <w:color w:val="333333"/>
          <w:kern w:val="0"/>
          <w:sz w:val="21"/>
          <w:szCs w:val="21"/>
          <w:u w:val="single"/>
          <w:lang w:val="en-US" w:eastAsia="zh-CN" w:bidi="ar"/>
        </w:rPr>
        <w:t xml:space="preserve">   </w:t>
      </w:r>
      <w:r>
        <w:rPr>
          <w:rFonts w:hint="eastAsia" w:ascii="宋体" w:hAnsi="宋体" w:eastAsia="宋体" w:cs="宋体"/>
          <w:b w:val="0"/>
          <w:bCs w:val="0"/>
          <w:color w:val="333333"/>
          <w:kern w:val="0"/>
          <w:sz w:val="21"/>
          <w:szCs w:val="21"/>
          <w:lang w:val="en-US" w:eastAsia="zh-CN" w:bidi="ar"/>
        </w:rPr>
        <w:t>万元</w:t>
      </w:r>
      <w:r>
        <w:rPr>
          <w:rFonts w:hint="eastAsia" w:ascii="宋体" w:hAnsi="宋体" w:eastAsia="宋体" w:cs="宋体"/>
          <w:b w:val="0"/>
          <w:bCs w:val="0"/>
          <w:color w:val="333333"/>
          <w:kern w:val="0"/>
          <w:sz w:val="21"/>
          <w:szCs w:val="21"/>
          <w:vertAlign w:val="superscript"/>
          <w:lang w:val="en-US" w:eastAsia="zh-CN" w:bidi="ar"/>
        </w:rPr>
        <w:t>1</w:t>
      </w:r>
      <w:r>
        <w:rPr>
          <w:rFonts w:hint="eastAsia" w:ascii="宋体" w:hAnsi="宋体" w:eastAsia="宋体" w:cs="宋体"/>
          <w:b w:val="0"/>
          <w:bCs w:val="0"/>
          <w:color w:val="333333"/>
          <w:kern w:val="0"/>
          <w:sz w:val="21"/>
          <w:szCs w:val="21"/>
          <w:lang w:val="en-US" w:eastAsia="zh-CN" w:bidi="ar"/>
        </w:rPr>
        <w:t>，属于</w:t>
      </w:r>
      <w:r>
        <w:rPr>
          <w:rFonts w:hint="eastAsia" w:ascii="宋体" w:hAnsi="宋体" w:eastAsia="宋体" w:cs="宋体"/>
          <w:b w:val="0"/>
          <w:bCs w:val="0"/>
          <w:color w:val="333333"/>
          <w:kern w:val="0"/>
          <w:sz w:val="21"/>
          <w:szCs w:val="21"/>
          <w:u w:val="single"/>
          <w:lang w:val="en-US" w:eastAsia="zh-CN" w:bidi="ar"/>
        </w:rPr>
        <w:t xml:space="preserve">     （中型企业、小型企业、微型企业）</w:t>
      </w:r>
      <w:r>
        <w:rPr>
          <w:rFonts w:hint="eastAsia" w:ascii="宋体" w:hAnsi="宋体" w:eastAsia="宋体" w:cs="宋体"/>
          <w:b w:val="0"/>
          <w:bCs w:val="0"/>
          <w:color w:val="333333"/>
          <w:kern w:val="0"/>
          <w:sz w:val="21"/>
          <w:szCs w:val="21"/>
          <w:lang w:val="en-US" w:eastAsia="zh-CN" w:bidi="ar"/>
        </w:rPr>
        <w:t>；</w:t>
      </w:r>
    </w:p>
    <w:p w14:paraId="1A4D0382">
      <w:pPr>
        <w:keepNext w:val="0"/>
        <w:keepLines w:val="0"/>
        <w:pageBreakBefore w:val="0"/>
        <w:widowControl/>
        <w:suppressLineNumbers w:val="0"/>
        <w:kinsoku/>
        <w:overflowPunct/>
        <w:topLinePunct w:val="0"/>
        <w:bidi w:val="0"/>
        <w:spacing w:beforeAutospacing="0" w:afterAutospacing="0" w:line="360" w:lineRule="auto"/>
        <w:ind w:left="0" w:right="0" w:firstLine="420" w:firstLineChars="200"/>
        <w:jc w:val="left"/>
        <w:textAlignment w:val="auto"/>
        <w:rPr>
          <w:rFonts w:hint="eastAsia" w:ascii="宋体" w:hAnsi="宋体" w:eastAsia="宋体" w:cs="宋体"/>
          <w:sz w:val="21"/>
          <w:szCs w:val="21"/>
        </w:rPr>
      </w:pPr>
      <w:r>
        <w:rPr>
          <w:rFonts w:hint="eastAsia" w:ascii="宋体" w:hAnsi="宋体" w:eastAsia="宋体" w:cs="宋体"/>
          <w:b w:val="0"/>
          <w:bCs w:val="0"/>
          <w:color w:val="333333"/>
          <w:kern w:val="0"/>
          <w:sz w:val="21"/>
          <w:szCs w:val="21"/>
          <w:lang w:val="en-US" w:eastAsia="zh-CN" w:bidi="ar"/>
        </w:rPr>
        <w:t>……</w:t>
      </w:r>
    </w:p>
    <w:p w14:paraId="14BF86BF">
      <w:pPr>
        <w:keepNext w:val="0"/>
        <w:keepLines w:val="0"/>
        <w:pageBreakBefore w:val="0"/>
        <w:widowControl/>
        <w:suppressLineNumbers w:val="0"/>
        <w:kinsoku/>
        <w:overflowPunct/>
        <w:topLinePunct w:val="0"/>
        <w:bidi w:val="0"/>
        <w:spacing w:beforeAutospacing="0" w:afterAutospacing="0" w:line="360" w:lineRule="auto"/>
        <w:ind w:left="0" w:right="0" w:firstLine="420" w:firstLineChars="200"/>
        <w:jc w:val="left"/>
        <w:textAlignment w:val="auto"/>
        <w:rPr>
          <w:rFonts w:hint="eastAsia" w:ascii="宋体" w:hAnsi="宋体" w:eastAsia="宋体" w:cs="宋体"/>
          <w:sz w:val="21"/>
          <w:szCs w:val="21"/>
        </w:rPr>
      </w:pPr>
      <w:r>
        <w:rPr>
          <w:rFonts w:hint="eastAsia" w:ascii="宋体" w:hAnsi="宋体" w:eastAsia="宋体" w:cs="宋体"/>
          <w:b w:val="0"/>
          <w:bCs w:val="0"/>
          <w:color w:val="333333"/>
          <w:kern w:val="0"/>
          <w:sz w:val="21"/>
          <w:szCs w:val="21"/>
          <w:lang w:val="en-US" w:eastAsia="zh-CN" w:bidi="ar"/>
        </w:rPr>
        <w:t>以上企业，不属于大企业的分支机构，不存在控股股东为大企业的情形，也不存在与大企业的负责人为同一人的情形。</w:t>
      </w:r>
    </w:p>
    <w:p w14:paraId="1ED6882D">
      <w:pPr>
        <w:keepNext w:val="0"/>
        <w:keepLines w:val="0"/>
        <w:pageBreakBefore w:val="0"/>
        <w:widowControl/>
        <w:suppressLineNumbers w:val="0"/>
        <w:kinsoku/>
        <w:overflowPunct/>
        <w:topLinePunct w:val="0"/>
        <w:bidi w:val="0"/>
        <w:spacing w:beforeAutospacing="0" w:afterAutospacing="0" w:line="360" w:lineRule="auto"/>
        <w:ind w:left="0" w:right="0" w:firstLine="420" w:firstLineChars="200"/>
        <w:jc w:val="left"/>
        <w:textAlignment w:val="auto"/>
        <w:rPr>
          <w:rFonts w:hint="eastAsia" w:ascii="宋体" w:hAnsi="宋体" w:eastAsia="宋体" w:cs="宋体"/>
          <w:sz w:val="21"/>
          <w:szCs w:val="21"/>
        </w:rPr>
      </w:pPr>
      <w:r>
        <w:rPr>
          <w:rFonts w:hint="eastAsia" w:ascii="宋体" w:hAnsi="宋体" w:eastAsia="宋体" w:cs="宋体"/>
          <w:b w:val="0"/>
          <w:bCs w:val="0"/>
          <w:color w:val="333333"/>
          <w:kern w:val="0"/>
          <w:sz w:val="21"/>
          <w:szCs w:val="21"/>
          <w:lang w:val="en-US" w:eastAsia="zh-CN" w:bidi="ar"/>
        </w:rPr>
        <w:t>本企业对上述声明内容的真实性负责。如有虚假，将依法承担相应责任。 </w:t>
      </w:r>
    </w:p>
    <w:p w14:paraId="1AC2B338">
      <w:pPr>
        <w:keepNext w:val="0"/>
        <w:keepLines w:val="0"/>
        <w:pageBreakBefore w:val="0"/>
        <w:widowControl/>
        <w:suppressLineNumbers w:val="0"/>
        <w:kinsoku/>
        <w:overflowPunct/>
        <w:topLinePunct w:val="0"/>
        <w:bidi w:val="0"/>
        <w:spacing w:beforeAutospacing="0" w:afterAutospacing="0" w:line="360" w:lineRule="auto"/>
        <w:ind w:left="0" w:right="0" w:firstLine="4840" w:firstLineChars="2200"/>
        <w:jc w:val="left"/>
        <w:textAlignment w:val="auto"/>
        <w:rPr>
          <w:rFonts w:hint="eastAsia" w:ascii="宋体" w:hAnsi="宋体" w:eastAsia="宋体" w:cs="宋体"/>
          <w:sz w:val="21"/>
          <w:szCs w:val="21"/>
        </w:rPr>
      </w:pPr>
      <w:r>
        <w:rPr>
          <w:rFonts w:hint="eastAsia" w:hAnsi="宋体" w:cs="宋体"/>
          <w:color w:val="auto"/>
          <w:spacing w:val="-10"/>
          <w:sz w:val="24"/>
          <w:szCs w:val="24"/>
          <w:highlight w:val="none"/>
          <w:u w:val="single"/>
          <w:lang w:eastAsia="zh-CN"/>
        </w:rPr>
        <w:t>服务商名称</w:t>
      </w:r>
      <w:r>
        <w:rPr>
          <w:rFonts w:hint="eastAsia" w:ascii="宋体" w:hAnsi="宋体" w:eastAsia="宋体" w:cs="宋体"/>
          <w:b w:val="0"/>
          <w:bCs w:val="0"/>
          <w:color w:val="333333"/>
          <w:kern w:val="0"/>
          <w:sz w:val="21"/>
          <w:szCs w:val="21"/>
          <w:lang w:val="en-US" w:eastAsia="zh-CN" w:bidi="ar"/>
        </w:rPr>
        <w:t>（盖章）：</w:t>
      </w:r>
    </w:p>
    <w:p w14:paraId="44C9569F">
      <w:pPr>
        <w:keepNext w:val="0"/>
        <w:keepLines w:val="0"/>
        <w:pageBreakBefore w:val="0"/>
        <w:widowControl/>
        <w:suppressLineNumbers w:val="0"/>
        <w:kinsoku/>
        <w:overflowPunct/>
        <w:topLinePunct w:val="0"/>
        <w:bidi w:val="0"/>
        <w:spacing w:beforeAutospacing="0" w:afterAutospacing="0" w:line="360" w:lineRule="auto"/>
        <w:ind w:left="0" w:right="0" w:firstLine="4620" w:firstLineChars="2200"/>
        <w:jc w:val="left"/>
        <w:textAlignment w:val="auto"/>
        <w:rPr>
          <w:rFonts w:hint="eastAsia" w:ascii="宋体" w:hAnsi="宋体" w:eastAsia="宋体" w:cs="宋体"/>
          <w:sz w:val="21"/>
          <w:szCs w:val="21"/>
        </w:rPr>
      </w:pPr>
      <w:r>
        <w:rPr>
          <w:rFonts w:hint="eastAsia" w:ascii="宋体" w:hAnsi="宋体" w:eastAsia="宋体" w:cs="宋体"/>
          <w:b w:val="0"/>
          <w:bCs w:val="0"/>
          <w:color w:val="333333"/>
          <w:kern w:val="0"/>
          <w:sz w:val="21"/>
          <w:szCs w:val="21"/>
          <w:lang w:val="en-US" w:eastAsia="zh-CN" w:bidi="ar"/>
        </w:rPr>
        <w:t>日 期：</w:t>
      </w:r>
    </w:p>
    <w:p w14:paraId="65925080">
      <w:pPr>
        <w:pageBreakBefore w:val="0"/>
        <w:kinsoku/>
        <w:wordWrap w:val="0"/>
        <w:overflowPunct/>
        <w:topLinePunct w:val="0"/>
        <w:bidi w:val="0"/>
        <w:spacing w:beforeAutospacing="0" w:afterAutospacing="0" w:line="360" w:lineRule="auto"/>
        <w:ind w:right="150" w:firstLine="837" w:firstLineChars="399"/>
        <w:jc w:val="right"/>
        <w:textAlignment w:val="auto"/>
        <w:rPr>
          <w:rFonts w:hint="eastAsia" w:ascii="宋体" w:hAnsi="宋体" w:eastAsia="宋体" w:cs="宋体"/>
          <w:sz w:val="21"/>
          <w:szCs w:val="21"/>
        </w:rPr>
      </w:pPr>
      <w:r>
        <w:rPr>
          <w:rFonts w:hint="eastAsia" w:ascii="宋体" w:hAnsi="宋体" w:eastAsia="宋体" w:cs="宋体"/>
          <w:sz w:val="21"/>
          <w:szCs w:val="21"/>
        </w:rPr>
        <w:t>年     月     日</w:t>
      </w:r>
    </w:p>
    <w:p w14:paraId="381E80CF">
      <w:pPr>
        <w:rPr>
          <w:rFonts w:hint="eastAsia"/>
          <w:sz w:val="24"/>
          <w:szCs w:val="24"/>
        </w:rPr>
      </w:pPr>
    </w:p>
    <w:p w14:paraId="156F68A9">
      <w:pPr>
        <w:rPr>
          <w:rFonts w:hint="eastAsia"/>
          <w:sz w:val="24"/>
          <w:szCs w:val="24"/>
        </w:rPr>
      </w:pPr>
    </w:p>
    <w:p w14:paraId="064BD7BB">
      <w:pPr>
        <w:rPr>
          <w:rFonts w:hint="eastAsia"/>
          <w:sz w:val="24"/>
          <w:szCs w:val="24"/>
        </w:rPr>
      </w:pPr>
    </w:p>
    <w:p w14:paraId="07308EDF">
      <w:pPr>
        <w:rPr>
          <w:rFonts w:hint="eastAsia"/>
          <w:sz w:val="24"/>
          <w:szCs w:val="24"/>
        </w:rPr>
      </w:pPr>
    </w:p>
    <w:p w14:paraId="1E13105C">
      <w:pPr>
        <w:rPr>
          <w:rFonts w:hint="eastAsia"/>
          <w:sz w:val="24"/>
          <w:szCs w:val="24"/>
        </w:rPr>
      </w:pPr>
    </w:p>
    <w:p w14:paraId="12E14677">
      <w:pPr>
        <w:rPr>
          <w:rFonts w:hint="eastAsia"/>
          <w:sz w:val="24"/>
          <w:szCs w:val="24"/>
        </w:rPr>
      </w:pPr>
    </w:p>
    <w:p w14:paraId="4E0E0C6E">
      <w:pPr>
        <w:rPr>
          <w:rFonts w:hint="eastAsia"/>
          <w:sz w:val="24"/>
          <w:szCs w:val="24"/>
        </w:rPr>
      </w:pPr>
    </w:p>
    <w:p w14:paraId="1B9EFB87">
      <w:pPr>
        <w:rPr>
          <w:rFonts w:hint="eastAsia"/>
          <w:sz w:val="24"/>
          <w:szCs w:val="24"/>
        </w:rPr>
      </w:pPr>
    </w:p>
    <w:p w14:paraId="120B757C">
      <w:pPr>
        <w:rPr>
          <w:rFonts w:hint="eastAsia"/>
          <w:sz w:val="24"/>
          <w:szCs w:val="24"/>
        </w:rPr>
      </w:pPr>
    </w:p>
    <w:p w14:paraId="6A18BD1C">
      <w:pPr>
        <w:rPr>
          <w:rFonts w:hint="eastAsia"/>
          <w:sz w:val="24"/>
          <w:szCs w:val="24"/>
        </w:rPr>
      </w:pPr>
    </w:p>
    <w:p w14:paraId="02B43387">
      <w:pPr>
        <w:rPr>
          <w:rFonts w:hint="eastAsia"/>
          <w:sz w:val="24"/>
          <w:szCs w:val="24"/>
        </w:rPr>
      </w:pPr>
    </w:p>
    <w:p w14:paraId="2F3593BC">
      <w:pPr>
        <w:rPr>
          <w:rFonts w:hint="eastAsia"/>
          <w:sz w:val="24"/>
          <w:szCs w:val="24"/>
        </w:rPr>
      </w:pPr>
    </w:p>
    <w:p w14:paraId="058688AD">
      <w:pPr>
        <w:rPr>
          <w:rFonts w:hint="eastAsia"/>
          <w:sz w:val="24"/>
          <w:szCs w:val="24"/>
        </w:rPr>
      </w:pPr>
    </w:p>
    <w:p w14:paraId="5C47169D">
      <w:pPr>
        <w:rPr>
          <w:rFonts w:hint="eastAsia"/>
          <w:sz w:val="24"/>
          <w:szCs w:val="24"/>
        </w:rPr>
      </w:pPr>
    </w:p>
    <w:p w14:paraId="63B42B93">
      <w:pPr>
        <w:rPr>
          <w:rFonts w:hint="eastAsia"/>
        </w:rPr>
      </w:pPr>
    </w:p>
    <w:p w14:paraId="376F6ACA">
      <w:pPr>
        <w:pageBreakBefore w:val="0"/>
        <w:kinsoku/>
        <w:bidi w:val="0"/>
        <w:spacing w:line="360" w:lineRule="auto"/>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小微企业声明函</w:t>
      </w:r>
    </w:p>
    <w:p w14:paraId="0A346AB3">
      <w:pPr>
        <w:pageBreakBefore w:val="0"/>
        <w:kinsoku/>
        <w:bidi w:val="0"/>
        <w:spacing w:before="190" w:beforeLines="5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本公司（联合体）郑重声明，根据《政府采购促进中小企业发展管理办法》（财库﹝2020﹞46 号）的规定，本公司（联合体）参加</w:t>
      </w:r>
      <w:r>
        <w:rPr>
          <w:rFonts w:hint="eastAsia" w:ascii="宋体" w:hAnsi="宋体" w:eastAsia="宋体" w:cs="宋体"/>
          <w:color w:val="auto"/>
          <w:sz w:val="24"/>
          <w:szCs w:val="24"/>
          <w:u w:val="single"/>
        </w:rPr>
        <w:t>（单位名称）</w:t>
      </w:r>
      <w:r>
        <w:rPr>
          <w:rFonts w:hint="eastAsia" w:ascii="宋体" w:hAnsi="宋体" w:eastAsia="宋体" w:cs="宋体"/>
          <w:color w:val="auto"/>
          <w:sz w:val="24"/>
          <w:szCs w:val="24"/>
        </w:rPr>
        <w:t>的</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采购活动，服务全部由符合政策要求的小微企业承接）。相关企业（含联合体中的小微企业、签订分包意向协议的小微企业）的具体情况如下：</w:t>
      </w:r>
    </w:p>
    <w:p w14:paraId="66D3FF08">
      <w:pPr>
        <w:pageBreakBefore w:val="0"/>
        <w:kinsoku/>
        <w:bidi w:val="0"/>
        <w:spacing w:before="190" w:beforeLines="5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1. </w:t>
      </w:r>
      <w:r>
        <w:rPr>
          <w:rFonts w:hint="eastAsia" w:ascii="宋体" w:hAnsi="宋体" w:eastAsia="宋体" w:cs="宋体"/>
          <w:color w:val="auto"/>
          <w:sz w:val="24"/>
          <w:szCs w:val="24"/>
          <w:u w:val="single"/>
        </w:rPr>
        <w:t>（标的名称）</w:t>
      </w:r>
      <w:r>
        <w:rPr>
          <w:rFonts w:hint="eastAsia" w:ascii="宋体" w:hAnsi="宋体" w:eastAsia="宋体" w:cs="宋体"/>
          <w:color w:val="auto"/>
          <w:sz w:val="24"/>
          <w:szCs w:val="24"/>
        </w:rPr>
        <w:t xml:space="preserve"> ，属于（采购文件中明确的所属行业）；承接企业为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万元，属于（小型企业、微型企业）；</w:t>
      </w:r>
    </w:p>
    <w:p w14:paraId="09AE5D1E">
      <w:pPr>
        <w:pageBreakBefore w:val="0"/>
        <w:kinsoku/>
        <w:bidi w:val="0"/>
        <w:spacing w:before="190" w:beforeLines="5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2. </w:t>
      </w:r>
      <w:r>
        <w:rPr>
          <w:rFonts w:hint="eastAsia" w:ascii="宋体" w:hAnsi="宋体" w:eastAsia="宋体" w:cs="宋体"/>
          <w:color w:val="auto"/>
          <w:sz w:val="24"/>
          <w:szCs w:val="24"/>
          <w:u w:val="single"/>
        </w:rPr>
        <w:t>（标的名称）</w:t>
      </w:r>
      <w:r>
        <w:rPr>
          <w:rFonts w:hint="eastAsia" w:ascii="宋体" w:hAnsi="宋体" w:eastAsia="宋体" w:cs="宋体"/>
          <w:color w:val="auto"/>
          <w:sz w:val="24"/>
          <w:szCs w:val="24"/>
        </w:rPr>
        <w:t xml:space="preserve"> ，属于（采购文件中明确的所属行业）；承接企业为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万元，属于（小型企业、微型企业）；</w:t>
      </w:r>
    </w:p>
    <w:p w14:paraId="048CC8D4">
      <w:pPr>
        <w:pageBreakBefore w:val="0"/>
        <w:kinsoku/>
        <w:bidi w:val="0"/>
        <w:spacing w:before="190" w:beforeLines="5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4A9C29C4">
      <w:pPr>
        <w:pageBreakBefore w:val="0"/>
        <w:kinsoku/>
        <w:bidi w:val="0"/>
        <w:spacing w:before="190" w:beforeLines="5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以上企业，不属于大企业的分支机构，不存在控股股东为大企业的情形，也不存在与大企业的负责人为同一人的情形。</w:t>
      </w:r>
    </w:p>
    <w:p w14:paraId="6635B442">
      <w:pPr>
        <w:pageBreakBefore w:val="0"/>
        <w:kinsoku/>
        <w:bidi w:val="0"/>
        <w:spacing w:before="190" w:beforeLines="5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本企业对上述声明内容的真实性负责。如有虚假，将依法承担相应责任。</w:t>
      </w:r>
    </w:p>
    <w:p w14:paraId="75F75437">
      <w:pPr>
        <w:pageBreakBefore w:val="0"/>
        <w:kinsoku/>
        <w:bidi w:val="0"/>
        <w:spacing w:before="190" w:beforeLines="5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highlight w:val="none"/>
        </w:rPr>
        <w:t xml:space="preserve"> </w:t>
      </w:r>
      <w:r>
        <w:rPr>
          <w:rFonts w:hint="eastAsia" w:hAnsi="宋体" w:cs="宋体"/>
          <w:color w:val="auto"/>
          <w:spacing w:val="-10"/>
          <w:sz w:val="24"/>
          <w:szCs w:val="24"/>
          <w:highlight w:val="none"/>
          <w:u w:val="single"/>
          <w:lang w:eastAsia="zh-CN"/>
        </w:rPr>
        <w:t>服务商名称</w:t>
      </w:r>
      <w:r>
        <w:rPr>
          <w:rFonts w:hint="eastAsia" w:ascii="宋体" w:hAnsi="宋体" w:eastAsia="宋体" w:cs="宋体"/>
          <w:color w:val="auto"/>
          <w:sz w:val="24"/>
          <w:szCs w:val="24"/>
        </w:rPr>
        <w:t>（盖章）：</w:t>
      </w:r>
    </w:p>
    <w:p w14:paraId="4091207F">
      <w:pPr>
        <w:pageBreakBefore w:val="0"/>
        <w:kinsoku/>
        <w:bidi w:val="0"/>
        <w:spacing w:before="190" w:beforeLines="5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日期：</w:t>
      </w:r>
    </w:p>
    <w:p w14:paraId="66B41F28">
      <w:pPr>
        <w:pageBreakBefore w:val="0"/>
        <w:tabs>
          <w:tab w:val="left" w:pos="5670"/>
        </w:tabs>
        <w:kinsoku/>
        <w:bidi w:val="0"/>
        <w:spacing w:line="36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备注：1、从业人员、营业收入、资产总额填报上一年度数据，无上一年度数据的新成立企业可不填报。</w:t>
      </w:r>
    </w:p>
    <w:p w14:paraId="418CE29F">
      <w:pPr>
        <w:pageBreakBefore w:val="0"/>
        <w:tabs>
          <w:tab w:val="left" w:pos="5670"/>
        </w:tabs>
        <w:kinsoku/>
        <w:bidi w:val="0"/>
        <w:spacing w:line="36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2、项目不分标段的，第___标段空白处填写“/”。</w:t>
      </w:r>
    </w:p>
    <w:p w14:paraId="2F8123B7">
      <w:pPr>
        <w:pageBreakBefore w:val="0"/>
        <w:tabs>
          <w:tab w:val="left" w:pos="5670"/>
        </w:tabs>
        <w:kinsoku/>
        <w:bidi w:val="0"/>
        <w:spacing w:line="36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3、</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非小微企业不填写此表。</w:t>
      </w:r>
    </w:p>
    <w:p w14:paraId="059036EB">
      <w:pPr>
        <w:pStyle w:val="35"/>
        <w:pageBreakBefore w:val="0"/>
        <w:kinsoku/>
        <w:bidi w:val="0"/>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w:t>
      </w:r>
    </w:p>
    <w:p w14:paraId="4090EED6">
      <w:pPr>
        <w:pStyle w:val="35"/>
        <w:pageBreakBefore w:val="0"/>
        <w:kinsoku/>
        <w:bidi w:val="0"/>
        <w:spacing w:line="360" w:lineRule="auto"/>
        <w:textAlignment w:val="auto"/>
        <w:rPr>
          <w:rFonts w:hint="eastAsia" w:ascii="宋体" w:hAnsi="宋体" w:eastAsia="宋体" w:cs="宋体"/>
          <w:color w:val="auto"/>
          <w:sz w:val="24"/>
          <w:szCs w:val="24"/>
          <w:lang w:val="en-US" w:eastAsia="zh-CN"/>
        </w:rPr>
      </w:pPr>
    </w:p>
    <w:p w14:paraId="5A1B0ECF">
      <w:pPr>
        <w:pStyle w:val="35"/>
        <w:pageBreakBefore w:val="0"/>
        <w:kinsoku/>
        <w:bidi w:val="0"/>
        <w:spacing w:line="360" w:lineRule="auto"/>
        <w:textAlignment w:val="auto"/>
        <w:rPr>
          <w:rFonts w:hint="eastAsia" w:ascii="宋体" w:hAnsi="宋体" w:eastAsia="宋体" w:cs="宋体"/>
          <w:color w:val="auto"/>
          <w:sz w:val="24"/>
          <w:szCs w:val="24"/>
          <w:lang w:val="en-US" w:eastAsia="zh-CN"/>
        </w:rPr>
      </w:pPr>
    </w:p>
    <w:p w14:paraId="381EE40F">
      <w:pPr>
        <w:pStyle w:val="35"/>
        <w:pageBreakBefore w:val="0"/>
        <w:kinsoku/>
        <w:bidi w:val="0"/>
        <w:spacing w:line="360" w:lineRule="auto"/>
        <w:textAlignment w:val="auto"/>
        <w:rPr>
          <w:rFonts w:hint="eastAsia" w:ascii="宋体" w:hAnsi="宋体" w:eastAsia="宋体" w:cs="宋体"/>
          <w:color w:val="auto"/>
          <w:sz w:val="24"/>
          <w:szCs w:val="24"/>
          <w:lang w:val="en-US" w:eastAsia="zh-CN"/>
        </w:rPr>
      </w:pPr>
    </w:p>
    <w:p w14:paraId="72DAC4BD">
      <w:pPr>
        <w:pageBreakBefore w:val="0"/>
        <w:kinsoku/>
        <w:bidi w:val="0"/>
        <w:spacing w:before="190" w:beforeLines="50" w:line="360" w:lineRule="auto"/>
        <w:ind w:firstLine="482" w:firstLineChars="200"/>
        <w:jc w:val="center"/>
        <w:textAlignment w:val="auto"/>
        <w:rPr>
          <w:rFonts w:hint="eastAsia" w:ascii="宋体" w:hAnsi="宋体" w:eastAsia="宋体" w:cs="宋体"/>
          <w:b/>
          <w:color w:val="auto"/>
          <w:sz w:val="24"/>
          <w:szCs w:val="24"/>
        </w:rPr>
      </w:pPr>
      <w:bookmarkStart w:id="229" w:name="_Toc48834336"/>
      <w:r>
        <w:rPr>
          <w:rFonts w:hint="eastAsia" w:ascii="宋体" w:hAnsi="宋体" w:eastAsia="宋体" w:cs="宋体"/>
          <w:b/>
          <w:bCs/>
          <w:color w:val="auto"/>
          <w:sz w:val="24"/>
          <w:szCs w:val="24"/>
        </w:rPr>
        <w:t>残疾人福利性单位声明函</w:t>
      </w:r>
      <w:bookmarkEnd w:id="229"/>
    </w:p>
    <w:p w14:paraId="13C18C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u w:val="single"/>
        </w:rPr>
        <w:t xml:space="preserve">   项目名称  </w:t>
      </w:r>
      <w:r>
        <w:rPr>
          <w:rFonts w:hint="eastAsia" w:ascii="宋体" w:hAnsi="宋体" w:eastAsia="宋体" w:cs="宋体"/>
          <w:color w:val="auto"/>
          <w:sz w:val="24"/>
          <w:szCs w:val="24"/>
        </w:rPr>
        <w:t>（项目编号：）第___标段采购活动由本单位提供服务，或者提供其他残疾人福利性单位提供的服务。</w:t>
      </w:r>
    </w:p>
    <w:p w14:paraId="6ACD15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本单位对上述声明的真实性负责。如有虚假，将依法承担相应责任。</w:t>
      </w:r>
    </w:p>
    <w:p w14:paraId="34BA4A58">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4320" w:firstLineChars="18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hAnsi="宋体" w:cs="宋体"/>
          <w:color w:val="auto"/>
          <w:spacing w:val="-10"/>
          <w:sz w:val="24"/>
          <w:szCs w:val="24"/>
          <w:highlight w:val="none"/>
          <w:u w:val="single"/>
          <w:lang w:eastAsia="zh-CN"/>
        </w:rPr>
        <w:t>服务商名称</w:t>
      </w:r>
      <w:r>
        <w:rPr>
          <w:rFonts w:hint="eastAsia" w:ascii="宋体" w:hAnsi="宋体" w:eastAsia="宋体" w:cs="宋体"/>
          <w:color w:val="auto"/>
          <w:sz w:val="24"/>
          <w:szCs w:val="24"/>
        </w:rPr>
        <w:t>（加盖公章）</w:t>
      </w:r>
    </w:p>
    <w:p w14:paraId="3C4AC764">
      <w:pPr>
        <w:keepNext w:val="0"/>
        <w:keepLines w:val="0"/>
        <w:pageBreakBefore w:val="0"/>
        <w:widowControl w:val="0"/>
        <w:tabs>
          <w:tab w:val="left" w:pos="5670"/>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p>
    <w:p w14:paraId="664845E2">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566"/>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备注：</w:t>
      </w:r>
      <w:r>
        <w:rPr>
          <w:rFonts w:hint="eastAsia" w:ascii="宋体" w:hAnsi="宋体" w:eastAsia="宋体" w:cs="宋体"/>
          <w:color w:val="auto"/>
          <w:sz w:val="24"/>
          <w:szCs w:val="24"/>
        </w:rPr>
        <w:t>项目不分标段的，第___标段空白处填写“/”。</w:t>
      </w:r>
    </w:p>
    <w:p w14:paraId="34047D87">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根据《财政部 民政部 中国残疾人联合会关于促进残疾人就业政府采购政策的通知》（财库〔2017〕141号）的规定：</w:t>
      </w:r>
    </w:p>
    <w:p w14:paraId="371756BF">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一、享受政府采购支持政策的残疾人福利性单位应当同时满足以下条件：</w:t>
      </w:r>
    </w:p>
    <w:p w14:paraId="22031D73">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（一）安置的残疾人占本单位在职职工人数的比例不低于25%（含25%），并且安置的残疾人人数不少于10人（含10人）；</w:t>
      </w:r>
    </w:p>
    <w:p w14:paraId="7603D38C">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（二）依法与安置的每位残疾人签订了一年以上（含一年）的劳动合同或服务协议；</w:t>
      </w:r>
    </w:p>
    <w:p w14:paraId="22C7EC07">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（三）为安置的每位残疾人按月足额缴纳了基本养老保险、基本医疗保险、失业保险、工伤保险和生育保险等社会保险费；</w:t>
      </w:r>
    </w:p>
    <w:p w14:paraId="0FE39BC6">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（四）通过银行等金融机构向安置的每位残疾人，按月支付了不低于单位所在区县适用的经省级人民政府批准的月最低工资标准的工资；</w:t>
      </w:r>
    </w:p>
    <w:p w14:paraId="01C6C040">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（五）提供本单位承担的服务（以下简称产品），或者提供其他残疾人福利性单位提供的服。</w:t>
      </w:r>
    </w:p>
    <w:p w14:paraId="726B2FBF">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227C505">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二、中标、成交</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为残疾人福利性单位的，采购人或者其委托的采购代理机构应当随中标、成交结果同时公告其《残疾人福利性单位声明函》，接受社会监督。</w:t>
      </w:r>
    </w:p>
    <w:p w14:paraId="137708AC">
      <w:pPr>
        <w:spacing w:line="288" w:lineRule="auto"/>
        <w:jc w:val="center"/>
        <w:rPr>
          <w:color w:val="auto"/>
        </w:rPr>
      </w:pPr>
      <w:r>
        <w:rPr>
          <w:rFonts w:hint="eastAsia"/>
          <w:b/>
          <w:bCs/>
          <w:color w:val="auto"/>
          <w:sz w:val="28"/>
          <w:szCs w:val="28"/>
        </w:rPr>
        <w:t>四、其他</w:t>
      </w:r>
    </w:p>
    <w:p w14:paraId="07AF8F6B">
      <w:pPr>
        <w:pStyle w:val="22"/>
        <w:ind w:firstLine="180"/>
        <w:rPr>
          <w:rFonts w:hint="default" w:eastAsia="宋体"/>
          <w:color w:val="auto"/>
          <w:lang w:val="en-US" w:eastAsia="zh-CN"/>
        </w:rPr>
      </w:pPr>
      <w:r>
        <w:rPr>
          <w:rFonts w:hint="eastAsia"/>
          <w:color w:val="auto"/>
          <w:sz w:val="24"/>
          <w:szCs w:val="24"/>
          <w:lang w:val="en-US" w:eastAsia="zh-CN"/>
        </w:rPr>
        <w:t>投标认为有必要提供的资料。</w:t>
      </w:r>
    </w:p>
    <w:bookmarkEnd w:id="228"/>
    <w:p w14:paraId="1FFABF5D">
      <w:pPr>
        <w:spacing w:line="288" w:lineRule="auto"/>
        <w:rPr>
          <w:rFonts w:hAnsi="宋体" w:cs="宋体"/>
          <w:color w:val="auto"/>
          <w:sz w:val="21"/>
          <w:szCs w:val="21"/>
        </w:rPr>
      </w:pPr>
    </w:p>
    <w:p w14:paraId="222176CD">
      <w:pPr>
        <w:rPr>
          <w:b/>
          <w:bCs/>
          <w:color w:val="auto"/>
          <w:sz w:val="21"/>
          <w:szCs w:val="16"/>
        </w:rPr>
      </w:pPr>
    </w:p>
    <w:p w14:paraId="50F263BB">
      <w:pPr>
        <w:jc w:val="center"/>
        <w:rPr>
          <w:rFonts w:hint="eastAsia"/>
          <w:b/>
          <w:bCs/>
          <w:color w:val="auto"/>
          <w:sz w:val="32"/>
          <w:szCs w:val="32"/>
        </w:rPr>
      </w:pPr>
    </w:p>
    <w:p w14:paraId="118DB32A">
      <w:pPr>
        <w:jc w:val="center"/>
        <w:rPr>
          <w:rFonts w:hint="eastAsia"/>
          <w:b/>
          <w:bCs/>
          <w:color w:val="auto"/>
          <w:sz w:val="32"/>
          <w:szCs w:val="32"/>
        </w:rPr>
      </w:pPr>
    </w:p>
    <w:p w14:paraId="710FD698">
      <w:pPr>
        <w:jc w:val="center"/>
        <w:rPr>
          <w:rFonts w:hint="eastAsia"/>
          <w:b/>
          <w:bCs/>
          <w:color w:val="auto"/>
          <w:sz w:val="32"/>
          <w:szCs w:val="32"/>
        </w:rPr>
      </w:pPr>
    </w:p>
    <w:p w14:paraId="395BAA1E">
      <w:pPr>
        <w:jc w:val="center"/>
        <w:rPr>
          <w:rFonts w:hint="eastAsia"/>
          <w:b/>
          <w:bCs/>
          <w:color w:val="auto"/>
          <w:sz w:val="32"/>
          <w:szCs w:val="32"/>
        </w:rPr>
      </w:pPr>
    </w:p>
    <w:p w14:paraId="5733DEA8">
      <w:pPr>
        <w:jc w:val="center"/>
        <w:rPr>
          <w:rFonts w:hint="eastAsia"/>
          <w:b/>
          <w:bCs/>
          <w:color w:val="auto"/>
          <w:sz w:val="32"/>
          <w:szCs w:val="32"/>
        </w:rPr>
      </w:pPr>
    </w:p>
    <w:p w14:paraId="165EEB18">
      <w:pPr>
        <w:jc w:val="center"/>
        <w:rPr>
          <w:rFonts w:hint="eastAsia"/>
          <w:b/>
          <w:bCs/>
          <w:color w:val="auto"/>
          <w:sz w:val="32"/>
          <w:szCs w:val="32"/>
        </w:rPr>
      </w:pPr>
    </w:p>
    <w:p w14:paraId="524D0C11">
      <w:pPr>
        <w:jc w:val="center"/>
        <w:rPr>
          <w:rFonts w:hint="eastAsia"/>
          <w:b/>
          <w:bCs/>
          <w:color w:val="auto"/>
          <w:sz w:val="32"/>
          <w:szCs w:val="32"/>
        </w:rPr>
      </w:pPr>
    </w:p>
    <w:p w14:paraId="6ACE6A80">
      <w:pPr>
        <w:jc w:val="center"/>
        <w:rPr>
          <w:rFonts w:hint="eastAsia"/>
          <w:b/>
          <w:bCs/>
          <w:color w:val="auto"/>
          <w:sz w:val="32"/>
          <w:szCs w:val="32"/>
        </w:rPr>
      </w:pPr>
    </w:p>
    <w:p w14:paraId="71D149EE">
      <w:pPr>
        <w:jc w:val="center"/>
        <w:rPr>
          <w:rFonts w:hint="eastAsia"/>
          <w:b/>
          <w:bCs/>
          <w:color w:val="auto"/>
          <w:sz w:val="32"/>
          <w:szCs w:val="32"/>
        </w:rPr>
      </w:pPr>
    </w:p>
    <w:p w14:paraId="67310299">
      <w:pPr>
        <w:jc w:val="center"/>
        <w:rPr>
          <w:rFonts w:hint="eastAsia"/>
          <w:b/>
          <w:bCs/>
          <w:color w:val="auto"/>
          <w:sz w:val="32"/>
          <w:szCs w:val="32"/>
        </w:rPr>
      </w:pPr>
    </w:p>
    <w:p w14:paraId="3733600A">
      <w:pPr>
        <w:jc w:val="center"/>
        <w:rPr>
          <w:rFonts w:hint="eastAsia"/>
          <w:b/>
          <w:bCs/>
          <w:color w:val="auto"/>
          <w:sz w:val="32"/>
          <w:szCs w:val="32"/>
        </w:rPr>
      </w:pPr>
    </w:p>
    <w:p w14:paraId="7A2A7163">
      <w:pPr>
        <w:jc w:val="center"/>
        <w:rPr>
          <w:rFonts w:hint="eastAsia"/>
          <w:b/>
          <w:bCs/>
          <w:color w:val="auto"/>
          <w:sz w:val="32"/>
          <w:szCs w:val="32"/>
        </w:rPr>
      </w:pPr>
    </w:p>
    <w:p w14:paraId="1AC2F745">
      <w:pPr>
        <w:jc w:val="center"/>
        <w:rPr>
          <w:rFonts w:hint="eastAsia"/>
          <w:b/>
          <w:bCs/>
          <w:color w:val="auto"/>
          <w:sz w:val="32"/>
          <w:szCs w:val="32"/>
        </w:rPr>
      </w:pPr>
    </w:p>
    <w:p w14:paraId="773273C6">
      <w:pPr>
        <w:jc w:val="center"/>
        <w:rPr>
          <w:rFonts w:hint="eastAsia"/>
          <w:b/>
          <w:bCs/>
          <w:color w:val="auto"/>
          <w:sz w:val="32"/>
          <w:szCs w:val="32"/>
        </w:rPr>
      </w:pPr>
    </w:p>
    <w:p w14:paraId="5CEDBBCB">
      <w:pPr>
        <w:jc w:val="center"/>
        <w:rPr>
          <w:rFonts w:hint="eastAsia"/>
          <w:b/>
          <w:bCs/>
          <w:color w:val="auto"/>
          <w:sz w:val="32"/>
          <w:szCs w:val="32"/>
        </w:rPr>
      </w:pPr>
    </w:p>
    <w:p w14:paraId="2B51DE26">
      <w:pPr>
        <w:jc w:val="center"/>
        <w:rPr>
          <w:rFonts w:hint="eastAsia"/>
          <w:b/>
          <w:bCs/>
          <w:color w:val="auto"/>
          <w:sz w:val="32"/>
          <w:szCs w:val="32"/>
        </w:rPr>
      </w:pPr>
    </w:p>
    <w:p w14:paraId="7BCBC720">
      <w:pPr>
        <w:jc w:val="center"/>
        <w:rPr>
          <w:rFonts w:hint="eastAsia"/>
          <w:b/>
          <w:bCs/>
          <w:color w:val="auto"/>
          <w:sz w:val="32"/>
          <w:szCs w:val="32"/>
        </w:rPr>
      </w:pPr>
    </w:p>
    <w:p w14:paraId="53B19F7E">
      <w:pPr>
        <w:jc w:val="center"/>
        <w:rPr>
          <w:rFonts w:hint="eastAsia"/>
          <w:b/>
          <w:bCs/>
          <w:color w:val="auto"/>
          <w:sz w:val="32"/>
          <w:szCs w:val="32"/>
        </w:rPr>
      </w:pPr>
    </w:p>
    <w:p w14:paraId="67B82644">
      <w:pPr>
        <w:jc w:val="center"/>
        <w:rPr>
          <w:rFonts w:hAnsi="宋体" w:cs="宋体"/>
          <w:b/>
          <w:color w:val="auto"/>
          <w:sz w:val="21"/>
          <w:szCs w:val="21"/>
        </w:rPr>
      </w:pPr>
      <w:bookmarkStart w:id="230" w:name="OLE_LINK48"/>
      <w:r>
        <w:rPr>
          <w:rFonts w:hint="eastAsia"/>
          <w:b/>
          <w:bCs/>
          <w:color w:val="auto"/>
          <w:sz w:val="32"/>
          <w:szCs w:val="32"/>
        </w:rPr>
        <w:t>第五部分 投标人参加政府采购活动承诺书</w:t>
      </w:r>
    </w:p>
    <w:p w14:paraId="60D521F2">
      <w:pPr>
        <w:spacing w:line="288" w:lineRule="auto"/>
        <w:rPr>
          <w:rFonts w:hAnsi="宋体" w:cs="宋体"/>
          <w:b/>
          <w:color w:val="auto"/>
          <w:sz w:val="21"/>
          <w:szCs w:val="21"/>
        </w:rPr>
      </w:pPr>
      <w:r>
        <w:rPr>
          <w:rFonts w:hint="eastAsia" w:hAnsi="宋体" w:cs="宋体"/>
          <w:b/>
          <w:color w:val="auto"/>
          <w:sz w:val="28"/>
          <w:szCs w:val="28"/>
        </w:rPr>
        <w:t>（一）质量安全责任承诺书</w:t>
      </w:r>
    </w:p>
    <w:p w14:paraId="63D95D2A">
      <w:pPr>
        <w:spacing w:line="360" w:lineRule="auto"/>
        <w:ind w:firstLine="480" w:firstLineChars="200"/>
        <w:rPr>
          <w:rFonts w:hAnsi="宋体" w:cs="宋体"/>
          <w:color w:val="auto"/>
          <w:sz w:val="24"/>
          <w:szCs w:val="24"/>
        </w:rPr>
      </w:pPr>
      <w:r>
        <w:rPr>
          <w:rFonts w:hint="eastAsia" w:hAnsi="宋体" w:cs="宋体"/>
          <w:color w:val="auto"/>
          <w:sz w:val="24"/>
          <w:szCs w:val="24"/>
        </w:rPr>
        <w:t>为保证本采购项目顺利进行，作为投标人，现郑重承诺：</w:t>
      </w:r>
    </w:p>
    <w:p w14:paraId="74B76E90">
      <w:pPr>
        <w:spacing w:line="360" w:lineRule="auto"/>
        <w:ind w:firstLine="480" w:firstLineChars="200"/>
        <w:rPr>
          <w:rFonts w:hAnsi="宋体" w:cs="宋体"/>
          <w:color w:val="auto"/>
          <w:sz w:val="24"/>
          <w:szCs w:val="24"/>
        </w:rPr>
      </w:pPr>
      <w:r>
        <w:rPr>
          <w:rFonts w:hint="eastAsia" w:hAnsi="宋体" w:cs="宋体"/>
          <w:color w:val="auto"/>
          <w:sz w:val="24"/>
          <w:szCs w:val="24"/>
        </w:rPr>
        <w:t>1、我方投标产品的生产（包括设计、制造、安装、改造、维修等）、投入使用的材料等均完全符合国家现行质量、安全、环保标准和要求。</w:t>
      </w:r>
    </w:p>
    <w:p w14:paraId="5DA19082">
      <w:pPr>
        <w:spacing w:line="360" w:lineRule="auto"/>
        <w:ind w:firstLine="480" w:firstLineChars="200"/>
        <w:rPr>
          <w:rFonts w:hAnsi="宋体" w:cs="宋体"/>
          <w:color w:val="auto"/>
          <w:sz w:val="24"/>
          <w:szCs w:val="24"/>
        </w:rPr>
      </w:pPr>
      <w:r>
        <w:rPr>
          <w:rFonts w:hint="eastAsia" w:hAnsi="宋体" w:cs="宋体"/>
          <w:color w:val="auto"/>
          <w:sz w:val="24"/>
          <w:szCs w:val="24"/>
        </w:rPr>
        <w:t>2、我方将严格按照国家现行相关储存、运输、安装调试技术标准及规范、服务标准及规范、施工标准及规范，在规定的时限内，保质、保量完成项目全部内容，并向采购人交付合格产品。</w:t>
      </w:r>
    </w:p>
    <w:p w14:paraId="3327BFF2">
      <w:pPr>
        <w:spacing w:line="360" w:lineRule="auto"/>
        <w:ind w:firstLine="480" w:firstLineChars="200"/>
        <w:rPr>
          <w:rFonts w:hAnsi="宋体" w:cs="宋体"/>
          <w:color w:val="auto"/>
          <w:sz w:val="24"/>
          <w:szCs w:val="24"/>
        </w:rPr>
      </w:pPr>
      <w:r>
        <w:rPr>
          <w:rFonts w:hint="eastAsia" w:hAnsi="宋体" w:cs="宋体"/>
          <w:color w:val="auto"/>
          <w:sz w:val="24"/>
          <w:szCs w:val="24"/>
        </w:rPr>
        <w:t>3、对于因产品生产质量以及储存、运输、安装调试、服务、施工等过程中产生的任何安全事故，我方承担全部责任。</w:t>
      </w:r>
    </w:p>
    <w:p w14:paraId="11F290A2">
      <w:pPr>
        <w:spacing w:line="360" w:lineRule="auto"/>
        <w:ind w:firstLine="480" w:firstLineChars="200"/>
        <w:rPr>
          <w:rFonts w:hAnsi="宋体" w:cs="宋体"/>
          <w:color w:val="auto"/>
          <w:sz w:val="24"/>
          <w:szCs w:val="24"/>
        </w:rPr>
      </w:pPr>
      <w:r>
        <w:rPr>
          <w:rFonts w:hint="eastAsia" w:hAnsi="宋体" w:cs="宋体"/>
          <w:color w:val="auto"/>
          <w:sz w:val="24"/>
          <w:szCs w:val="24"/>
        </w:rPr>
        <w:t>4、我方提供的服务符合现行的国家、行业、地区、企业标准及要求，标准不一致的，以更为严格的为准，我方对提供的服务的质量、安全、环保等承担全部责任。</w:t>
      </w:r>
    </w:p>
    <w:p w14:paraId="638972E6">
      <w:pPr>
        <w:spacing w:line="360" w:lineRule="auto"/>
        <w:ind w:firstLine="480" w:firstLineChars="200"/>
        <w:rPr>
          <w:rFonts w:hAnsi="宋体" w:cs="宋体"/>
          <w:color w:val="auto"/>
          <w:sz w:val="24"/>
          <w:szCs w:val="24"/>
        </w:rPr>
      </w:pPr>
    </w:p>
    <w:p w14:paraId="30A7D2EF">
      <w:pPr>
        <w:spacing w:line="360" w:lineRule="auto"/>
        <w:ind w:firstLine="3960" w:firstLineChars="1800"/>
        <w:rPr>
          <w:rFonts w:hAnsi="宋体" w:cs="宋体"/>
          <w:color w:val="auto"/>
          <w:sz w:val="24"/>
          <w:szCs w:val="24"/>
        </w:rPr>
      </w:pPr>
      <w:r>
        <w:rPr>
          <w:rFonts w:hint="eastAsia" w:hAnsi="宋体" w:cs="宋体"/>
          <w:color w:val="auto"/>
          <w:spacing w:val="-10"/>
          <w:sz w:val="24"/>
          <w:szCs w:val="24"/>
        </w:rPr>
        <w:t xml:space="preserve">    </w:t>
      </w:r>
      <w:r>
        <w:rPr>
          <w:rFonts w:hint="eastAsia" w:hAnsi="宋体" w:cs="宋体"/>
          <w:color w:val="auto"/>
          <w:spacing w:val="-10"/>
          <w:sz w:val="24"/>
          <w:szCs w:val="24"/>
          <w:highlight w:val="none"/>
        </w:rPr>
        <w:t xml:space="preserve">  </w:t>
      </w:r>
      <w:r>
        <w:rPr>
          <w:rFonts w:hint="eastAsia" w:hAnsi="宋体" w:cs="宋体"/>
          <w:color w:val="auto"/>
          <w:spacing w:val="-10"/>
          <w:sz w:val="24"/>
          <w:szCs w:val="24"/>
          <w:highlight w:val="none"/>
          <w:u w:val="single"/>
          <w:lang w:eastAsia="zh-CN"/>
        </w:rPr>
        <w:t>服务商名称</w:t>
      </w:r>
      <w:r>
        <w:rPr>
          <w:rFonts w:hint="eastAsia" w:hAnsi="宋体" w:cs="宋体"/>
          <w:color w:val="auto"/>
          <w:sz w:val="24"/>
          <w:szCs w:val="24"/>
        </w:rPr>
        <w:t>（盖章）</w:t>
      </w:r>
    </w:p>
    <w:p w14:paraId="06340299">
      <w:pPr>
        <w:spacing w:line="360" w:lineRule="auto"/>
        <w:ind w:firstLine="4560" w:firstLineChars="1900"/>
        <w:rPr>
          <w:rFonts w:hAnsi="宋体" w:cs="宋体"/>
          <w:color w:val="auto"/>
          <w:sz w:val="24"/>
          <w:szCs w:val="24"/>
        </w:rPr>
      </w:pPr>
      <w:r>
        <w:rPr>
          <w:rFonts w:hint="eastAsia" w:hAnsi="宋体" w:cs="宋体"/>
          <w:color w:val="auto"/>
          <w:sz w:val="24"/>
          <w:szCs w:val="24"/>
        </w:rPr>
        <w:t>年　月　日</w:t>
      </w:r>
    </w:p>
    <w:p w14:paraId="1972D0B4">
      <w:pPr>
        <w:rPr>
          <w:rFonts w:hAnsi="宋体" w:cs="宋体"/>
          <w:b/>
          <w:color w:val="auto"/>
          <w:sz w:val="21"/>
          <w:szCs w:val="21"/>
        </w:rPr>
      </w:pPr>
    </w:p>
    <w:p w14:paraId="6429392E">
      <w:pPr>
        <w:rPr>
          <w:rFonts w:hAnsi="宋体" w:cs="宋体"/>
          <w:b/>
          <w:color w:val="auto"/>
          <w:sz w:val="21"/>
          <w:szCs w:val="21"/>
        </w:rPr>
      </w:pPr>
    </w:p>
    <w:p w14:paraId="56A274D9">
      <w:pPr>
        <w:rPr>
          <w:rFonts w:hint="eastAsia" w:hAnsi="宋体" w:cs="宋体"/>
          <w:b/>
          <w:color w:val="auto"/>
          <w:sz w:val="28"/>
          <w:szCs w:val="28"/>
        </w:rPr>
        <w:sectPr>
          <w:headerReference r:id="rId9" w:type="default"/>
          <w:footerReference r:id="rId10" w:type="default"/>
          <w:pgSz w:w="11906" w:h="16838"/>
          <w:pgMar w:top="1417" w:right="1417" w:bottom="1417" w:left="1417" w:header="850" w:footer="850" w:gutter="0"/>
          <w:pgNumType w:fmt="numberInDash"/>
          <w:cols w:space="720" w:num="1"/>
          <w:docGrid w:type="lines" w:linePitch="326" w:charSpace="0"/>
        </w:sectPr>
      </w:pPr>
    </w:p>
    <w:p w14:paraId="59A62681">
      <w:pPr>
        <w:rPr>
          <w:rFonts w:hAnsi="宋体" w:cs="宋体"/>
          <w:b/>
          <w:color w:val="auto"/>
          <w:sz w:val="21"/>
          <w:szCs w:val="21"/>
        </w:rPr>
      </w:pPr>
      <w:r>
        <w:rPr>
          <w:rFonts w:hint="eastAsia" w:hAnsi="宋体" w:cs="宋体"/>
          <w:b/>
          <w:color w:val="auto"/>
          <w:sz w:val="28"/>
          <w:szCs w:val="28"/>
        </w:rPr>
        <w:t>（二）拒绝政府采购领域商业贿赂承诺书</w:t>
      </w:r>
    </w:p>
    <w:p w14:paraId="53C09721">
      <w:pPr>
        <w:overflowPunct w:val="0"/>
        <w:topLinePunct/>
        <w:spacing w:line="288" w:lineRule="auto"/>
        <w:ind w:firstLine="480" w:firstLineChars="200"/>
        <w:jc w:val="left"/>
        <w:rPr>
          <w:rFonts w:hAnsi="宋体" w:cs="宋体"/>
          <w:color w:val="auto"/>
          <w:sz w:val="24"/>
          <w:szCs w:val="24"/>
        </w:rPr>
      </w:pPr>
      <w:r>
        <w:rPr>
          <w:rFonts w:hint="eastAsia" w:hAnsi="宋体" w:cs="宋体"/>
          <w:color w:val="auto"/>
          <w:sz w:val="24"/>
          <w:szCs w:val="24"/>
        </w:rPr>
        <w:t>（执行陕财办采管〔2006〕21号文件）</w:t>
      </w:r>
    </w:p>
    <w:p w14:paraId="3D13D105">
      <w:pPr>
        <w:spacing w:line="288" w:lineRule="auto"/>
        <w:ind w:firstLine="480" w:firstLineChars="200"/>
        <w:rPr>
          <w:rFonts w:hAnsi="宋体" w:cs="宋体"/>
          <w:color w:val="auto"/>
          <w:sz w:val="24"/>
          <w:szCs w:val="24"/>
        </w:rPr>
      </w:pPr>
      <w:r>
        <w:rPr>
          <w:rFonts w:hint="eastAsia" w:hAnsi="宋体" w:cs="宋体"/>
          <w:color w:val="auto"/>
          <w:sz w:val="24"/>
          <w:szCs w:val="24"/>
        </w:rPr>
        <w:t>为响应党中央、国务院关于治理政府采购领域商业贿赂行为的号召，我公司在此庄严承诺：</w:t>
      </w:r>
    </w:p>
    <w:p w14:paraId="6DFB8BE3">
      <w:pPr>
        <w:spacing w:line="288" w:lineRule="auto"/>
        <w:ind w:firstLine="480" w:firstLineChars="200"/>
        <w:rPr>
          <w:rFonts w:hAnsi="宋体" w:cs="宋体"/>
          <w:color w:val="auto"/>
          <w:sz w:val="24"/>
          <w:szCs w:val="24"/>
        </w:rPr>
      </w:pPr>
      <w:r>
        <w:rPr>
          <w:rFonts w:hint="eastAsia" w:hAnsi="宋体" w:cs="宋体"/>
          <w:color w:val="auto"/>
          <w:sz w:val="24"/>
          <w:szCs w:val="24"/>
        </w:rPr>
        <w:t>1、在参与政府采购活动中遵纪守法、诚信经营、公平竞标。</w:t>
      </w:r>
    </w:p>
    <w:p w14:paraId="323784A9">
      <w:pPr>
        <w:spacing w:line="288" w:lineRule="auto"/>
        <w:ind w:firstLine="480" w:firstLineChars="200"/>
        <w:rPr>
          <w:rFonts w:hAnsi="宋体" w:cs="宋体"/>
          <w:color w:val="auto"/>
          <w:sz w:val="24"/>
          <w:szCs w:val="24"/>
        </w:rPr>
      </w:pPr>
      <w:r>
        <w:rPr>
          <w:rFonts w:hint="eastAsia" w:hAnsi="宋体" w:cs="宋体"/>
          <w:color w:val="auto"/>
          <w:sz w:val="24"/>
          <w:szCs w:val="24"/>
        </w:rPr>
        <w:t>2、不向政府采购人、采购代理机构和政府采购评审专家进行任何形式的商业贿赂以谋取交易机会。</w:t>
      </w:r>
    </w:p>
    <w:p w14:paraId="227D32A1">
      <w:pPr>
        <w:spacing w:line="288" w:lineRule="auto"/>
        <w:ind w:firstLine="480" w:firstLineChars="200"/>
        <w:rPr>
          <w:rFonts w:hAnsi="宋体" w:cs="宋体"/>
          <w:color w:val="auto"/>
          <w:sz w:val="24"/>
          <w:szCs w:val="24"/>
        </w:rPr>
      </w:pPr>
      <w:r>
        <w:rPr>
          <w:rFonts w:hint="eastAsia" w:hAnsi="宋体" w:cs="宋体"/>
          <w:color w:val="auto"/>
          <w:sz w:val="24"/>
          <w:szCs w:val="24"/>
        </w:rPr>
        <w:t>3、不向政府采购代理机构和采购人提供虚假资质文件或采用虚假应标方式参与政府采购市场竞争并谋取中标、成交。</w:t>
      </w:r>
    </w:p>
    <w:p w14:paraId="6B335ADA">
      <w:pPr>
        <w:spacing w:line="288" w:lineRule="auto"/>
        <w:ind w:firstLine="480" w:firstLineChars="200"/>
        <w:rPr>
          <w:rFonts w:hAnsi="宋体" w:cs="宋体"/>
          <w:color w:val="auto"/>
          <w:sz w:val="24"/>
          <w:szCs w:val="24"/>
        </w:rPr>
      </w:pPr>
      <w:r>
        <w:rPr>
          <w:rFonts w:hint="eastAsia" w:hAnsi="宋体" w:cs="宋体"/>
          <w:color w:val="auto"/>
          <w:sz w:val="24"/>
          <w:szCs w:val="24"/>
        </w:rPr>
        <w:t>4、不采取“围标、陪标”等商业欺诈手段获得政府采购定单。</w:t>
      </w:r>
    </w:p>
    <w:p w14:paraId="1CB354FE">
      <w:pPr>
        <w:spacing w:line="288" w:lineRule="auto"/>
        <w:ind w:firstLine="480" w:firstLineChars="200"/>
        <w:rPr>
          <w:rFonts w:hAnsi="宋体" w:cs="宋体"/>
          <w:color w:val="auto"/>
          <w:sz w:val="24"/>
          <w:szCs w:val="24"/>
        </w:rPr>
      </w:pPr>
      <w:r>
        <w:rPr>
          <w:rFonts w:hint="eastAsia" w:hAnsi="宋体" w:cs="宋体"/>
          <w:color w:val="auto"/>
          <w:sz w:val="24"/>
          <w:szCs w:val="24"/>
        </w:rPr>
        <w:t>5、不采取不正当手段诋毁、排挤其他投标人。</w:t>
      </w:r>
    </w:p>
    <w:p w14:paraId="119F08B2">
      <w:pPr>
        <w:spacing w:line="288" w:lineRule="auto"/>
        <w:ind w:firstLine="480" w:firstLineChars="200"/>
        <w:rPr>
          <w:rFonts w:hAnsi="宋体" w:cs="宋体"/>
          <w:color w:val="auto"/>
          <w:sz w:val="24"/>
          <w:szCs w:val="24"/>
        </w:rPr>
      </w:pPr>
      <w:r>
        <w:rPr>
          <w:rFonts w:hint="eastAsia" w:hAnsi="宋体" w:cs="宋体"/>
          <w:color w:val="auto"/>
          <w:sz w:val="24"/>
          <w:szCs w:val="24"/>
        </w:rPr>
        <w:t>6、不在提供商品和服务时“偷梁换柱、以次充好”损害采购人的合法权益。</w:t>
      </w:r>
    </w:p>
    <w:p w14:paraId="730653CD">
      <w:pPr>
        <w:spacing w:line="288" w:lineRule="auto"/>
        <w:ind w:firstLine="480" w:firstLineChars="200"/>
        <w:rPr>
          <w:rFonts w:hAnsi="宋体" w:cs="宋体"/>
          <w:color w:val="auto"/>
          <w:sz w:val="24"/>
          <w:szCs w:val="24"/>
        </w:rPr>
      </w:pPr>
      <w:r>
        <w:rPr>
          <w:rFonts w:hint="eastAsia" w:hAnsi="宋体" w:cs="宋体"/>
          <w:color w:val="auto"/>
          <w:sz w:val="24"/>
          <w:szCs w:val="24"/>
        </w:rPr>
        <w:t>7、不与采购人、采购代理机构政府采购评审专家或其它投标人恶意串通，进行质疑和投诉，维护政府采购市场秩序。</w:t>
      </w:r>
    </w:p>
    <w:p w14:paraId="7CA183F0">
      <w:pPr>
        <w:spacing w:line="288" w:lineRule="auto"/>
        <w:ind w:firstLine="480" w:firstLineChars="200"/>
        <w:rPr>
          <w:rFonts w:hAnsi="宋体" w:cs="宋体"/>
          <w:color w:val="auto"/>
          <w:sz w:val="24"/>
          <w:szCs w:val="24"/>
        </w:rPr>
      </w:pPr>
      <w:r>
        <w:rPr>
          <w:rFonts w:hint="eastAsia" w:hAnsi="宋体" w:cs="宋体"/>
          <w:color w:val="auto"/>
          <w:sz w:val="24"/>
          <w:szCs w:val="24"/>
        </w:rPr>
        <w:t>8、尊重和接受政府采购监督管理部门的监督和政府采购代理机构招标采购要求，承担因违约行为给采购人造成的损失。</w:t>
      </w:r>
    </w:p>
    <w:p w14:paraId="6CE98FED">
      <w:pPr>
        <w:spacing w:line="288" w:lineRule="auto"/>
        <w:ind w:firstLine="480" w:firstLineChars="200"/>
        <w:rPr>
          <w:rFonts w:hAnsi="宋体" w:cs="宋体"/>
          <w:color w:val="auto"/>
          <w:sz w:val="24"/>
          <w:szCs w:val="24"/>
        </w:rPr>
      </w:pPr>
      <w:r>
        <w:rPr>
          <w:rFonts w:hint="eastAsia" w:hAnsi="宋体" w:cs="宋体"/>
          <w:color w:val="auto"/>
          <w:sz w:val="24"/>
          <w:szCs w:val="24"/>
        </w:rPr>
        <w:t>9、不发生其他有悖于政府采购公开、公平、公正和诚信原则的行为。</w:t>
      </w:r>
    </w:p>
    <w:p w14:paraId="7B3BB36F">
      <w:pPr>
        <w:spacing w:line="288" w:lineRule="auto"/>
        <w:rPr>
          <w:rFonts w:hAnsi="宋体" w:cs="宋体"/>
          <w:color w:val="auto"/>
          <w:sz w:val="24"/>
          <w:szCs w:val="24"/>
        </w:rPr>
      </w:pPr>
    </w:p>
    <w:p w14:paraId="6D4EA249">
      <w:pPr>
        <w:spacing w:line="288" w:lineRule="auto"/>
        <w:ind w:firstLine="3960" w:firstLineChars="1800"/>
        <w:rPr>
          <w:rFonts w:ascii="仿宋" w:hAnsi="仿宋" w:eastAsia="仿宋"/>
          <w:color w:val="auto"/>
          <w:sz w:val="24"/>
          <w:szCs w:val="24"/>
        </w:rPr>
      </w:pPr>
      <w:r>
        <w:rPr>
          <w:rFonts w:hint="eastAsia" w:hAnsi="宋体" w:cs="宋体"/>
          <w:color w:val="auto"/>
          <w:spacing w:val="-10"/>
          <w:sz w:val="24"/>
          <w:szCs w:val="24"/>
        </w:rPr>
        <w:t xml:space="preserve">     </w:t>
      </w:r>
      <w:r>
        <w:rPr>
          <w:rFonts w:hint="eastAsia" w:hAnsi="宋体" w:cs="宋体"/>
          <w:color w:val="auto"/>
          <w:spacing w:val="-10"/>
          <w:sz w:val="24"/>
          <w:szCs w:val="24"/>
          <w:highlight w:val="none"/>
        </w:rPr>
        <w:t xml:space="preserve"> </w:t>
      </w:r>
      <w:r>
        <w:rPr>
          <w:rFonts w:hint="eastAsia" w:hAnsi="宋体" w:cs="宋体"/>
          <w:color w:val="auto"/>
          <w:spacing w:val="-10"/>
          <w:sz w:val="24"/>
          <w:szCs w:val="24"/>
          <w:highlight w:val="none"/>
          <w:u w:val="single"/>
          <w:lang w:eastAsia="zh-CN"/>
        </w:rPr>
        <w:t>服务商名称</w:t>
      </w:r>
      <w:r>
        <w:rPr>
          <w:rFonts w:hint="eastAsia" w:hAnsi="宋体" w:cs="宋体"/>
          <w:color w:val="auto"/>
          <w:sz w:val="24"/>
          <w:szCs w:val="24"/>
        </w:rPr>
        <w:t>（盖章）</w:t>
      </w:r>
    </w:p>
    <w:p w14:paraId="2CEEACE4">
      <w:pPr>
        <w:rPr>
          <w:rFonts w:hAnsi="宋体" w:cs="宋体"/>
          <w:color w:val="auto"/>
          <w:sz w:val="24"/>
          <w:szCs w:val="24"/>
        </w:rPr>
      </w:pPr>
      <w:r>
        <w:rPr>
          <w:rFonts w:ascii="仿宋" w:hAnsi="仿宋" w:eastAsia="仿宋"/>
          <w:color w:val="auto"/>
          <w:sz w:val="24"/>
          <w:szCs w:val="24"/>
        </w:rPr>
        <w:t xml:space="preserve">　  </w:t>
      </w:r>
      <w:r>
        <w:rPr>
          <w:rFonts w:hint="eastAsia" w:ascii="仿宋" w:hAnsi="仿宋" w:eastAsia="仿宋"/>
          <w:color w:val="auto"/>
          <w:sz w:val="24"/>
          <w:szCs w:val="24"/>
        </w:rPr>
        <w:t xml:space="preserve">                            </w:t>
      </w:r>
      <w:r>
        <w:rPr>
          <w:rFonts w:hint="eastAsia" w:ascii="仿宋" w:hAnsi="仿宋" w:eastAsia="仿宋"/>
          <w:color w:val="auto"/>
          <w:sz w:val="24"/>
          <w:szCs w:val="24"/>
          <w:lang w:val="en-US" w:eastAsia="zh-CN"/>
        </w:rPr>
        <w:t xml:space="preserve">     </w:t>
      </w:r>
      <w:r>
        <w:rPr>
          <w:rFonts w:hint="eastAsia" w:ascii="仿宋" w:hAnsi="仿宋" w:eastAsia="仿宋"/>
          <w:color w:val="auto"/>
          <w:sz w:val="24"/>
          <w:szCs w:val="24"/>
        </w:rPr>
        <w:t xml:space="preserve"> </w:t>
      </w:r>
      <w:r>
        <w:rPr>
          <w:rFonts w:hint="eastAsia" w:hAnsi="宋体" w:cs="宋体"/>
          <w:color w:val="auto"/>
          <w:sz w:val="24"/>
          <w:szCs w:val="24"/>
        </w:rPr>
        <w:t>年　月　日</w:t>
      </w:r>
    </w:p>
    <w:bookmarkEnd w:id="230"/>
    <w:p w14:paraId="1224717C">
      <w:pPr>
        <w:jc w:val="center"/>
        <w:rPr>
          <w:b/>
          <w:bCs/>
          <w:color w:val="auto"/>
          <w:sz w:val="21"/>
          <w:szCs w:val="16"/>
        </w:rPr>
      </w:pPr>
      <w:r>
        <w:rPr>
          <w:rFonts w:hint="eastAsia" w:hAnsi="宋体" w:cs="宋体"/>
          <w:color w:val="auto"/>
          <w:sz w:val="21"/>
          <w:szCs w:val="16"/>
        </w:rPr>
        <w:br w:type="page"/>
      </w:r>
      <w:bookmarkStart w:id="231" w:name="OLE_LINK49"/>
      <w:r>
        <w:rPr>
          <w:rFonts w:hint="eastAsia"/>
          <w:b/>
          <w:bCs/>
          <w:color w:val="auto"/>
          <w:sz w:val="32"/>
          <w:szCs w:val="32"/>
        </w:rPr>
        <w:t>第六部分 投标响应方案</w:t>
      </w:r>
    </w:p>
    <w:p w14:paraId="4E043B1F">
      <w:pPr>
        <w:spacing w:line="500" w:lineRule="exact"/>
        <w:rPr>
          <w:rFonts w:hAnsi="宋体" w:cs="宋体"/>
          <w:b/>
          <w:color w:val="auto"/>
          <w:sz w:val="21"/>
          <w:szCs w:val="21"/>
        </w:rPr>
      </w:pPr>
      <w:bookmarkStart w:id="232" w:name="_Toc3092"/>
      <w:bookmarkStart w:id="233" w:name="_Toc9336"/>
      <w:bookmarkStart w:id="234" w:name="_Toc48834205"/>
      <w:bookmarkStart w:id="235" w:name="_Toc48834338"/>
      <w:bookmarkStart w:id="236" w:name="_Toc4295"/>
      <w:bookmarkStart w:id="237" w:name="_Toc3411"/>
      <w:bookmarkStart w:id="238" w:name="_Toc14867"/>
      <w:bookmarkStart w:id="239" w:name="_Toc12342"/>
      <w:bookmarkStart w:id="240" w:name="_Toc48834135"/>
      <w:r>
        <w:rPr>
          <w:rFonts w:hint="eastAsia" w:hAnsi="宋体" w:cs="宋体"/>
          <w:b/>
          <w:bCs/>
          <w:color w:val="auto"/>
          <w:sz w:val="28"/>
          <w:szCs w:val="28"/>
        </w:rPr>
        <w:t>一、</w:t>
      </w:r>
      <w:bookmarkEnd w:id="232"/>
      <w:bookmarkEnd w:id="233"/>
      <w:bookmarkEnd w:id="234"/>
      <w:bookmarkEnd w:id="235"/>
      <w:bookmarkEnd w:id="236"/>
      <w:bookmarkEnd w:id="237"/>
      <w:bookmarkEnd w:id="238"/>
      <w:bookmarkEnd w:id="239"/>
      <w:bookmarkEnd w:id="240"/>
      <w:r>
        <w:rPr>
          <w:rFonts w:hint="eastAsia" w:hAnsi="宋体" w:cs="宋体"/>
          <w:b/>
          <w:bCs/>
          <w:color w:val="auto"/>
          <w:sz w:val="28"/>
          <w:szCs w:val="28"/>
          <w:lang w:val="en-US" w:eastAsia="zh-CN"/>
        </w:rPr>
        <w:t>技术及商务</w:t>
      </w:r>
      <w:r>
        <w:rPr>
          <w:rFonts w:hint="eastAsia" w:hAnsi="宋体" w:cs="宋体"/>
          <w:b/>
          <w:bCs/>
          <w:color w:val="auto"/>
          <w:sz w:val="28"/>
          <w:szCs w:val="28"/>
        </w:rPr>
        <w:t>偏离表</w:t>
      </w:r>
    </w:p>
    <w:tbl>
      <w:tblPr>
        <w:tblStyle w:val="2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2891"/>
        <w:gridCol w:w="2727"/>
        <w:gridCol w:w="1236"/>
        <w:gridCol w:w="2143"/>
      </w:tblGrid>
      <w:tr w14:paraId="17982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642" w:type="dxa"/>
            <w:shd w:val="clear" w:color="auto" w:fill="D8D8D8"/>
            <w:noWrap w:val="0"/>
            <w:vAlign w:val="center"/>
          </w:tcPr>
          <w:p w14:paraId="12A8C329">
            <w:pPr>
              <w:keepNext w:val="0"/>
              <w:keepLines w:val="0"/>
              <w:suppressLineNumbers w:val="0"/>
              <w:adjustRightInd w:val="0"/>
              <w:snapToGrid w:val="0"/>
              <w:spacing w:before="0" w:beforeAutospacing="0" w:after="0" w:afterAutospacing="0"/>
              <w:ind w:left="0" w:right="0"/>
              <w:jc w:val="center"/>
              <w:rPr>
                <w:rFonts w:hint="default" w:hAnsi="宋体" w:cs="宋体"/>
                <w:b/>
                <w:color w:val="auto"/>
                <w:sz w:val="24"/>
                <w:szCs w:val="24"/>
              </w:rPr>
            </w:pPr>
            <w:r>
              <w:rPr>
                <w:rFonts w:hint="eastAsia" w:hAnsi="宋体" w:cs="宋体"/>
                <w:b/>
                <w:color w:val="auto"/>
                <w:sz w:val="24"/>
                <w:szCs w:val="24"/>
              </w:rPr>
              <w:t>序号</w:t>
            </w:r>
          </w:p>
        </w:tc>
        <w:tc>
          <w:tcPr>
            <w:tcW w:w="2891" w:type="dxa"/>
            <w:shd w:val="clear" w:color="auto" w:fill="D8D8D8"/>
            <w:noWrap w:val="0"/>
            <w:vAlign w:val="center"/>
          </w:tcPr>
          <w:p w14:paraId="5A1B87FA">
            <w:pPr>
              <w:keepNext w:val="0"/>
              <w:keepLines w:val="0"/>
              <w:suppressLineNumbers w:val="0"/>
              <w:adjustRightInd w:val="0"/>
              <w:snapToGrid w:val="0"/>
              <w:spacing w:before="0" w:beforeAutospacing="0" w:after="0" w:afterAutospacing="0"/>
              <w:ind w:left="0" w:right="0"/>
              <w:jc w:val="center"/>
              <w:rPr>
                <w:rFonts w:hint="default" w:hAnsi="宋体" w:cs="宋体"/>
                <w:b/>
                <w:color w:val="auto"/>
                <w:sz w:val="24"/>
                <w:szCs w:val="24"/>
              </w:rPr>
            </w:pPr>
            <w:r>
              <w:rPr>
                <w:rFonts w:hint="eastAsia" w:hAnsi="宋体" w:cs="宋体"/>
                <w:b/>
                <w:color w:val="auto"/>
                <w:sz w:val="24"/>
                <w:szCs w:val="24"/>
                <w:lang w:eastAsia="zh-CN"/>
              </w:rPr>
              <w:t>采购</w:t>
            </w:r>
            <w:r>
              <w:rPr>
                <w:rFonts w:hint="eastAsia" w:hAnsi="宋体" w:cs="宋体"/>
                <w:b/>
                <w:color w:val="auto"/>
                <w:sz w:val="24"/>
                <w:szCs w:val="24"/>
              </w:rPr>
              <w:t>文件要求</w:t>
            </w:r>
          </w:p>
        </w:tc>
        <w:tc>
          <w:tcPr>
            <w:tcW w:w="2727" w:type="dxa"/>
            <w:shd w:val="clear" w:color="auto" w:fill="D8D8D8"/>
            <w:noWrap w:val="0"/>
            <w:vAlign w:val="center"/>
          </w:tcPr>
          <w:p w14:paraId="50D8CF8A">
            <w:pPr>
              <w:keepNext w:val="0"/>
              <w:keepLines w:val="0"/>
              <w:suppressLineNumbers w:val="0"/>
              <w:adjustRightInd w:val="0"/>
              <w:snapToGrid w:val="0"/>
              <w:spacing w:before="0" w:beforeAutospacing="0" w:after="0" w:afterAutospacing="0"/>
              <w:ind w:left="0" w:right="0"/>
              <w:jc w:val="both"/>
              <w:rPr>
                <w:rFonts w:hint="default" w:hAnsi="宋体" w:cs="宋体"/>
                <w:b/>
                <w:color w:val="auto"/>
                <w:sz w:val="24"/>
                <w:szCs w:val="24"/>
              </w:rPr>
            </w:pPr>
            <w:r>
              <w:rPr>
                <w:rFonts w:hint="eastAsia" w:hAnsi="宋体" w:cs="宋体"/>
                <w:b/>
                <w:color w:val="auto"/>
                <w:sz w:val="24"/>
                <w:szCs w:val="24"/>
                <w:lang w:eastAsia="zh-CN"/>
              </w:rPr>
              <w:t>响应</w:t>
            </w:r>
            <w:r>
              <w:rPr>
                <w:rFonts w:hint="eastAsia" w:hAnsi="宋体" w:cs="宋体"/>
                <w:b/>
                <w:color w:val="auto"/>
                <w:sz w:val="24"/>
                <w:szCs w:val="24"/>
              </w:rPr>
              <w:t>文件响应条款</w:t>
            </w:r>
          </w:p>
        </w:tc>
        <w:tc>
          <w:tcPr>
            <w:tcW w:w="1236" w:type="dxa"/>
            <w:shd w:val="clear" w:color="auto" w:fill="D8D8D8"/>
            <w:noWrap w:val="0"/>
            <w:vAlign w:val="center"/>
          </w:tcPr>
          <w:p w14:paraId="2234ECF0">
            <w:pPr>
              <w:keepNext w:val="0"/>
              <w:keepLines w:val="0"/>
              <w:suppressLineNumbers w:val="0"/>
              <w:adjustRightInd w:val="0"/>
              <w:snapToGrid w:val="0"/>
              <w:spacing w:before="0" w:beforeAutospacing="0" w:after="0" w:afterAutospacing="0"/>
              <w:ind w:left="0" w:right="0"/>
              <w:jc w:val="center"/>
              <w:rPr>
                <w:rFonts w:hint="default" w:hAnsi="宋体" w:cs="宋体"/>
                <w:b/>
                <w:color w:val="auto"/>
                <w:sz w:val="24"/>
                <w:szCs w:val="24"/>
              </w:rPr>
            </w:pPr>
            <w:r>
              <w:rPr>
                <w:rFonts w:hint="eastAsia" w:hAnsi="宋体" w:cs="宋体"/>
                <w:b/>
                <w:color w:val="auto"/>
                <w:sz w:val="24"/>
                <w:szCs w:val="24"/>
              </w:rPr>
              <w:t>偏离程度</w:t>
            </w:r>
          </w:p>
        </w:tc>
        <w:tc>
          <w:tcPr>
            <w:tcW w:w="2143" w:type="dxa"/>
            <w:shd w:val="clear" w:color="auto" w:fill="D8D8D8"/>
            <w:noWrap w:val="0"/>
            <w:vAlign w:val="center"/>
          </w:tcPr>
          <w:p w14:paraId="59F8387C">
            <w:pPr>
              <w:keepNext w:val="0"/>
              <w:keepLines w:val="0"/>
              <w:suppressLineNumbers w:val="0"/>
              <w:adjustRightInd w:val="0"/>
              <w:snapToGrid w:val="0"/>
              <w:spacing w:before="0" w:beforeAutospacing="0" w:after="0" w:afterAutospacing="0"/>
              <w:ind w:left="0" w:right="0"/>
              <w:jc w:val="center"/>
              <w:rPr>
                <w:rFonts w:hint="default" w:hAnsi="宋体" w:cs="宋体"/>
                <w:b/>
                <w:color w:val="auto"/>
                <w:sz w:val="24"/>
                <w:szCs w:val="24"/>
              </w:rPr>
            </w:pPr>
            <w:r>
              <w:rPr>
                <w:rFonts w:hint="eastAsia" w:hAnsi="宋体" w:cs="宋体"/>
                <w:b/>
                <w:color w:val="auto"/>
                <w:sz w:val="24"/>
                <w:szCs w:val="24"/>
              </w:rPr>
              <w:t>偏离简述</w:t>
            </w:r>
          </w:p>
          <w:p w14:paraId="7B4BA37F">
            <w:pPr>
              <w:keepNext w:val="0"/>
              <w:keepLines w:val="0"/>
              <w:suppressLineNumbers w:val="0"/>
              <w:adjustRightInd w:val="0"/>
              <w:snapToGrid w:val="0"/>
              <w:spacing w:before="0" w:beforeAutospacing="0" w:after="0" w:afterAutospacing="0"/>
              <w:ind w:left="0" w:right="0"/>
              <w:jc w:val="center"/>
              <w:rPr>
                <w:rFonts w:hint="default" w:hAnsi="宋体" w:cs="宋体"/>
                <w:b/>
                <w:color w:val="auto"/>
                <w:sz w:val="24"/>
                <w:szCs w:val="24"/>
              </w:rPr>
            </w:pPr>
            <w:r>
              <w:rPr>
                <w:rFonts w:hint="eastAsia" w:hAnsi="宋体" w:cs="宋体"/>
                <w:b/>
                <w:color w:val="auto"/>
                <w:sz w:val="24"/>
                <w:szCs w:val="24"/>
              </w:rPr>
              <w:t>或相关证明材料</w:t>
            </w:r>
          </w:p>
        </w:tc>
      </w:tr>
      <w:tr w14:paraId="5A87A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642" w:type="dxa"/>
            <w:noWrap w:val="0"/>
            <w:vAlign w:val="center"/>
          </w:tcPr>
          <w:p w14:paraId="4F2A0D53">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r>
              <w:rPr>
                <w:rFonts w:hint="eastAsia" w:hAnsi="宋体" w:cs="宋体"/>
                <w:color w:val="auto"/>
                <w:sz w:val="24"/>
                <w:szCs w:val="24"/>
              </w:rPr>
              <w:t>1</w:t>
            </w:r>
          </w:p>
        </w:tc>
        <w:tc>
          <w:tcPr>
            <w:tcW w:w="2891" w:type="dxa"/>
            <w:noWrap w:val="0"/>
            <w:vAlign w:val="center"/>
          </w:tcPr>
          <w:p w14:paraId="656CEA4F">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p>
        </w:tc>
        <w:tc>
          <w:tcPr>
            <w:tcW w:w="2727" w:type="dxa"/>
            <w:noWrap w:val="0"/>
            <w:vAlign w:val="center"/>
          </w:tcPr>
          <w:p w14:paraId="220A39A6">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p>
        </w:tc>
        <w:tc>
          <w:tcPr>
            <w:tcW w:w="1236" w:type="dxa"/>
            <w:noWrap w:val="0"/>
            <w:vAlign w:val="center"/>
          </w:tcPr>
          <w:p w14:paraId="6A6C0066">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p>
        </w:tc>
        <w:tc>
          <w:tcPr>
            <w:tcW w:w="2143" w:type="dxa"/>
            <w:noWrap w:val="0"/>
            <w:vAlign w:val="center"/>
          </w:tcPr>
          <w:p w14:paraId="165D3023">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p>
        </w:tc>
      </w:tr>
      <w:tr w14:paraId="049DC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642" w:type="dxa"/>
            <w:noWrap w:val="0"/>
            <w:vAlign w:val="center"/>
          </w:tcPr>
          <w:p w14:paraId="7B83EE49">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r>
              <w:rPr>
                <w:rFonts w:hint="eastAsia" w:hAnsi="宋体" w:cs="宋体"/>
                <w:color w:val="auto"/>
                <w:sz w:val="24"/>
                <w:szCs w:val="24"/>
              </w:rPr>
              <w:t>2</w:t>
            </w:r>
          </w:p>
        </w:tc>
        <w:tc>
          <w:tcPr>
            <w:tcW w:w="2891" w:type="dxa"/>
            <w:noWrap w:val="0"/>
            <w:vAlign w:val="center"/>
          </w:tcPr>
          <w:p w14:paraId="663F91EC">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p>
        </w:tc>
        <w:tc>
          <w:tcPr>
            <w:tcW w:w="2727" w:type="dxa"/>
            <w:noWrap w:val="0"/>
            <w:vAlign w:val="center"/>
          </w:tcPr>
          <w:p w14:paraId="785A2B35">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p>
        </w:tc>
        <w:tc>
          <w:tcPr>
            <w:tcW w:w="1236" w:type="dxa"/>
            <w:noWrap w:val="0"/>
            <w:vAlign w:val="center"/>
          </w:tcPr>
          <w:p w14:paraId="7E9166C7">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p>
        </w:tc>
        <w:tc>
          <w:tcPr>
            <w:tcW w:w="2143" w:type="dxa"/>
            <w:noWrap w:val="0"/>
            <w:vAlign w:val="center"/>
          </w:tcPr>
          <w:p w14:paraId="0C05ABED">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p>
        </w:tc>
      </w:tr>
      <w:tr w14:paraId="75F6B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642" w:type="dxa"/>
            <w:noWrap w:val="0"/>
            <w:vAlign w:val="center"/>
          </w:tcPr>
          <w:p w14:paraId="70346217">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r>
              <w:rPr>
                <w:rFonts w:hint="eastAsia" w:hAnsi="宋体" w:cs="宋体"/>
                <w:color w:val="auto"/>
                <w:sz w:val="24"/>
                <w:szCs w:val="24"/>
              </w:rPr>
              <w:t>3</w:t>
            </w:r>
          </w:p>
        </w:tc>
        <w:tc>
          <w:tcPr>
            <w:tcW w:w="2891" w:type="dxa"/>
            <w:noWrap w:val="0"/>
            <w:vAlign w:val="center"/>
          </w:tcPr>
          <w:p w14:paraId="379E1CFF">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p>
        </w:tc>
        <w:tc>
          <w:tcPr>
            <w:tcW w:w="2727" w:type="dxa"/>
            <w:noWrap w:val="0"/>
            <w:vAlign w:val="center"/>
          </w:tcPr>
          <w:p w14:paraId="38A12F6B">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p>
        </w:tc>
        <w:tc>
          <w:tcPr>
            <w:tcW w:w="1236" w:type="dxa"/>
            <w:noWrap w:val="0"/>
            <w:vAlign w:val="center"/>
          </w:tcPr>
          <w:p w14:paraId="79D0DC31">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p>
        </w:tc>
        <w:tc>
          <w:tcPr>
            <w:tcW w:w="2143" w:type="dxa"/>
            <w:noWrap w:val="0"/>
            <w:vAlign w:val="center"/>
          </w:tcPr>
          <w:p w14:paraId="5CB6A0FB">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p>
        </w:tc>
      </w:tr>
      <w:tr w14:paraId="4FB94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642" w:type="dxa"/>
            <w:noWrap w:val="0"/>
            <w:vAlign w:val="center"/>
          </w:tcPr>
          <w:p w14:paraId="04A24FA9">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r>
              <w:rPr>
                <w:rFonts w:hint="eastAsia" w:hAnsi="宋体" w:cs="宋体"/>
                <w:color w:val="auto"/>
                <w:sz w:val="24"/>
                <w:szCs w:val="24"/>
              </w:rPr>
              <w:t>4</w:t>
            </w:r>
          </w:p>
        </w:tc>
        <w:tc>
          <w:tcPr>
            <w:tcW w:w="2891" w:type="dxa"/>
            <w:noWrap w:val="0"/>
            <w:vAlign w:val="center"/>
          </w:tcPr>
          <w:p w14:paraId="3E2B1DD9">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p>
        </w:tc>
        <w:tc>
          <w:tcPr>
            <w:tcW w:w="2727" w:type="dxa"/>
            <w:noWrap w:val="0"/>
            <w:vAlign w:val="center"/>
          </w:tcPr>
          <w:p w14:paraId="5417DBD9">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p>
        </w:tc>
        <w:tc>
          <w:tcPr>
            <w:tcW w:w="1236" w:type="dxa"/>
            <w:noWrap w:val="0"/>
            <w:vAlign w:val="center"/>
          </w:tcPr>
          <w:p w14:paraId="47003650">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p>
        </w:tc>
        <w:tc>
          <w:tcPr>
            <w:tcW w:w="2143" w:type="dxa"/>
            <w:noWrap w:val="0"/>
            <w:vAlign w:val="center"/>
          </w:tcPr>
          <w:p w14:paraId="55578727">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p>
        </w:tc>
      </w:tr>
      <w:tr w14:paraId="6039A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642" w:type="dxa"/>
            <w:noWrap w:val="0"/>
            <w:vAlign w:val="center"/>
          </w:tcPr>
          <w:p w14:paraId="15E1CE46">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r>
              <w:rPr>
                <w:rFonts w:hint="eastAsia" w:hAnsi="宋体" w:cs="宋体"/>
                <w:color w:val="auto"/>
                <w:sz w:val="24"/>
                <w:szCs w:val="24"/>
              </w:rPr>
              <w:t>5</w:t>
            </w:r>
          </w:p>
        </w:tc>
        <w:tc>
          <w:tcPr>
            <w:tcW w:w="2891" w:type="dxa"/>
            <w:noWrap w:val="0"/>
            <w:vAlign w:val="center"/>
          </w:tcPr>
          <w:p w14:paraId="17A7313B">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p>
        </w:tc>
        <w:tc>
          <w:tcPr>
            <w:tcW w:w="2727" w:type="dxa"/>
            <w:noWrap w:val="0"/>
            <w:vAlign w:val="center"/>
          </w:tcPr>
          <w:p w14:paraId="31D2F6A7">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p>
        </w:tc>
        <w:tc>
          <w:tcPr>
            <w:tcW w:w="1236" w:type="dxa"/>
            <w:noWrap w:val="0"/>
            <w:vAlign w:val="center"/>
          </w:tcPr>
          <w:p w14:paraId="6678218A">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p>
        </w:tc>
        <w:tc>
          <w:tcPr>
            <w:tcW w:w="2143" w:type="dxa"/>
            <w:noWrap w:val="0"/>
            <w:vAlign w:val="center"/>
          </w:tcPr>
          <w:p w14:paraId="5DD8D5C1">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p>
        </w:tc>
      </w:tr>
      <w:tr w14:paraId="40B09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642" w:type="dxa"/>
            <w:noWrap w:val="0"/>
            <w:vAlign w:val="center"/>
          </w:tcPr>
          <w:p w14:paraId="05DDF2C9">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r>
              <w:rPr>
                <w:rFonts w:hint="eastAsia" w:hAnsi="宋体" w:cs="宋体"/>
                <w:color w:val="auto"/>
                <w:sz w:val="24"/>
                <w:szCs w:val="24"/>
              </w:rPr>
              <w:t>6</w:t>
            </w:r>
          </w:p>
        </w:tc>
        <w:tc>
          <w:tcPr>
            <w:tcW w:w="2891" w:type="dxa"/>
            <w:noWrap w:val="0"/>
            <w:vAlign w:val="center"/>
          </w:tcPr>
          <w:p w14:paraId="7E62B146">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p>
        </w:tc>
        <w:tc>
          <w:tcPr>
            <w:tcW w:w="2727" w:type="dxa"/>
            <w:noWrap w:val="0"/>
            <w:vAlign w:val="center"/>
          </w:tcPr>
          <w:p w14:paraId="2B49C932">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p>
        </w:tc>
        <w:tc>
          <w:tcPr>
            <w:tcW w:w="1236" w:type="dxa"/>
            <w:noWrap w:val="0"/>
            <w:vAlign w:val="center"/>
          </w:tcPr>
          <w:p w14:paraId="0386E53D">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p>
        </w:tc>
        <w:tc>
          <w:tcPr>
            <w:tcW w:w="2143" w:type="dxa"/>
            <w:noWrap w:val="0"/>
            <w:vAlign w:val="center"/>
          </w:tcPr>
          <w:p w14:paraId="77B14E02">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p>
        </w:tc>
      </w:tr>
      <w:tr w14:paraId="12191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42" w:type="dxa"/>
            <w:noWrap w:val="0"/>
            <w:vAlign w:val="center"/>
          </w:tcPr>
          <w:p w14:paraId="443875A6">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r>
              <w:rPr>
                <w:rFonts w:hint="eastAsia" w:hAnsi="宋体" w:cs="宋体"/>
                <w:color w:val="auto"/>
                <w:sz w:val="24"/>
                <w:szCs w:val="24"/>
              </w:rPr>
              <w:t>……</w:t>
            </w:r>
          </w:p>
        </w:tc>
        <w:tc>
          <w:tcPr>
            <w:tcW w:w="2891" w:type="dxa"/>
            <w:noWrap w:val="0"/>
            <w:vAlign w:val="center"/>
          </w:tcPr>
          <w:p w14:paraId="0D403EA1">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p>
        </w:tc>
        <w:tc>
          <w:tcPr>
            <w:tcW w:w="2727" w:type="dxa"/>
            <w:noWrap w:val="0"/>
            <w:vAlign w:val="center"/>
          </w:tcPr>
          <w:p w14:paraId="1FE2A940">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p>
        </w:tc>
        <w:tc>
          <w:tcPr>
            <w:tcW w:w="1236" w:type="dxa"/>
            <w:noWrap w:val="0"/>
            <w:vAlign w:val="center"/>
          </w:tcPr>
          <w:p w14:paraId="5C1B022F">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p>
        </w:tc>
        <w:tc>
          <w:tcPr>
            <w:tcW w:w="2143" w:type="dxa"/>
            <w:noWrap w:val="0"/>
            <w:vAlign w:val="center"/>
          </w:tcPr>
          <w:p w14:paraId="7CB48D39">
            <w:pPr>
              <w:keepNext w:val="0"/>
              <w:keepLines w:val="0"/>
              <w:suppressLineNumbers w:val="0"/>
              <w:spacing w:before="0" w:beforeAutospacing="0" w:after="0" w:afterAutospacing="0" w:line="500" w:lineRule="exact"/>
              <w:ind w:left="0" w:right="0"/>
              <w:jc w:val="center"/>
              <w:rPr>
                <w:rFonts w:hint="default" w:hAnsi="宋体" w:cs="宋体"/>
                <w:color w:val="auto"/>
                <w:sz w:val="24"/>
                <w:szCs w:val="24"/>
              </w:rPr>
            </w:pPr>
          </w:p>
        </w:tc>
      </w:tr>
    </w:tbl>
    <w:p w14:paraId="7DFE5F47">
      <w:pPr>
        <w:rPr>
          <w:rFonts w:hAnsi="宋体" w:cs="宋体"/>
          <w:b/>
          <w:bCs/>
          <w:color w:val="auto"/>
          <w:sz w:val="21"/>
          <w:szCs w:val="21"/>
        </w:rPr>
      </w:pPr>
    </w:p>
    <w:p w14:paraId="6F453A3F">
      <w:pPr>
        <w:rPr>
          <w:rFonts w:hAnsi="宋体" w:cs="宋体"/>
          <w:b/>
          <w:bCs/>
          <w:color w:val="auto"/>
          <w:sz w:val="21"/>
          <w:szCs w:val="21"/>
        </w:rPr>
      </w:pPr>
    </w:p>
    <w:p w14:paraId="61CF5820">
      <w:pPr>
        <w:rPr>
          <w:rFonts w:hAnsi="宋体" w:cs="宋体"/>
          <w:color w:val="auto"/>
          <w:sz w:val="21"/>
          <w:szCs w:val="21"/>
        </w:rPr>
      </w:pPr>
      <w:r>
        <w:rPr>
          <w:rFonts w:hint="eastAsia" w:hAnsi="宋体" w:cs="宋体"/>
          <w:b/>
          <w:bCs/>
          <w:color w:val="auto"/>
          <w:sz w:val="21"/>
          <w:szCs w:val="21"/>
        </w:rPr>
        <w:t>注：</w:t>
      </w:r>
      <w:r>
        <w:rPr>
          <w:rFonts w:hint="eastAsia" w:hAnsi="宋体" w:cs="宋体"/>
          <w:color w:val="auto"/>
          <w:sz w:val="21"/>
          <w:szCs w:val="21"/>
        </w:rPr>
        <w:t>1.本表“</w:t>
      </w:r>
      <w:r>
        <w:rPr>
          <w:rFonts w:hint="eastAsia" w:hAnsi="宋体" w:cs="宋体"/>
          <w:color w:val="auto"/>
          <w:sz w:val="21"/>
          <w:szCs w:val="21"/>
          <w:lang w:eastAsia="zh-CN"/>
        </w:rPr>
        <w:t>采购</w:t>
      </w:r>
      <w:r>
        <w:rPr>
          <w:rFonts w:hint="eastAsia" w:hAnsi="宋体" w:cs="宋体"/>
          <w:color w:val="auto"/>
          <w:sz w:val="21"/>
          <w:szCs w:val="21"/>
        </w:rPr>
        <w:t>文件要求”以招标文件第</w:t>
      </w:r>
      <w:r>
        <w:rPr>
          <w:rFonts w:hint="eastAsia" w:hAnsi="宋体" w:cs="宋体"/>
          <w:color w:val="auto"/>
          <w:sz w:val="21"/>
          <w:szCs w:val="21"/>
          <w:lang w:eastAsia="zh-CN"/>
        </w:rPr>
        <w:t>五章</w:t>
      </w:r>
      <w:r>
        <w:rPr>
          <w:rFonts w:hint="eastAsia" w:hAnsi="宋体" w:cs="宋体"/>
          <w:color w:val="auto"/>
          <w:sz w:val="21"/>
          <w:szCs w:val="21"/>
        </w:rPr>
        <w:t>《</w:t>
      </w:r>
      <w:r>
        <w:rPr>
          <w:rFonts w:hint="eastAsia" w:hAnsi="宋体" w:cs="宋体"/>
          <w:color w:val="auto"/>
          <w:sz w:val="21"/>
          <w:szCs w:val="21"/>
          <w:lang w:eastAsia="zh-CN"/>
        </w:rPr>
        <w:t>商务要求</w:t>
      </w:r>
      <w:r>
        <w:rPr>
          <w:rFonts w:hint="eastAsia" w:hAnsi="宋体" w:cs="宋体"/>
          <w:color w:val="auto"/>
          <w:sz w:val="21"/>
          <w:szCs w:val="21"/>
        </w:rPr>
        <w:t>》为基本要求。</w:t>
      </w:r>
    </w:p>
    <w:p w14:paraId="74569913">
      <w:pPr>
        <w:ind w:firstLine="420" w:firstLineChars="200"/>
        <w:rPr>
          <w:rFonts w:hAnsi="宋体" w:cs="宋体"/>
          <w:color w:val="auto"/>
          <w:sz w:val="21"/>
          <w:szCs w:val="21"/>
        </w:rPr>
      </w:pPr>
      <w:r>
        <w:rPr>
          <w:rFonts w:hint="eastAsia" w:hAnsi="宋体" w:cs="宋体"/>
          <w:color w:val="auto"/>
          <w:sz w:val="21"/>
          <w:szCs w:val="21"/>
        </w:rPr>
        <w:t>2</w:t>
      </w:r>
      <w:r>
        <w:rPr>
          <w:rFonts w:hAnsi="宋体" w:cs="宋体"/>
          <w:color w:val="auto"/>
          <w:sz w:val="21"/>
          <w:szCs w:val="21"/>
        </w:rPr>
        <w:t>.</w:t>
      </w:r>
      <w:r>
        <w:rPr>
          <w:rFonts w:hint="eastAsia" w:hAnsi="宋体" w:cs="宋体"/>
          <w:color w:val="auto"/>
          <w:sz w:val="21"/>
          <w:szCs w:val="21"/>
        </w:rPr>
        <w:t>本表“偏离程度”栏列出“+”、“-”偏差，无偏差填“0”，“偏离简述或相关证明材料”栏注明技术支撑材料所在页码或位置；</w:t>
      </w:r>
    </w:p>
    <w:p w14:paraId="5BC4646B">
      <w:pPr>
        <w:ind w:firstLine="420" w:firstLineChars="200"/>
        <w:rPr>
          <w:rFonts w:hAnsi="宋体" w:cs="宋体"/>
          <w:color w:val="auto"/>
          <w:sz w:val="21"/>
          <w:szCs w:val="21"/>
        </w:rPr>
      </w:pPr>
      <w:r>
        <w:rPr>
          <w:rFonts w:hint="eastAsia" w:hAnsi="宋体" w:cs="宋体"/>
          <w:color w:val="auto"/>
          <w:sz w:val="21"/>
          <w:szCs w:val="21"/>
        </w:rPr>
        <w:t>3</w:t>
      </w:r>
      <w:r>
        <w:rPr>
          <w:rFonts w:hAnsi="宋体" w:cs="宋体"/>
          <w:color w:val="auto"/>
          <w:sz w:val="21"/>
          <w:szCs w:val="21"/>
        </w:rPr>
        <w:t>.</w:t>
      </w:r>
      <w:r>
        <w:rPr>
          <w:rFonts w:hint="eastAsia" w:hAnsi="宋体" w:cs="宋体"/>
          <w:color w:val="auto"/>
          <w:sz w:val="21"/>
          <w:szCs w:val="21"/>
        </w:rPr>
        <w:t>“</w:t>
      </w:r>
      <w:r>
        <w:rPr>
          <w:rFonts w:hint="eastAsia" w:hAnsi="宋体" w:cs="宋体"/>
          <w:color w:val="auto"/>
          <w:sz w:val="21"/>
          <w:szCs w:val="21"/>
          <w:lang w:eastAsia="zh-CN"/>
        </w:rPr>
        <w:t>响应</w:t>
      </w:r>
      <w:r>
        <w:rPr>
          <w:rFonts w:hint="eastAsia" w:hAnsi="宋体" w:cs="宋体"/>
          <w:color w:val="auto"/>
          <w:sz w:val="21"/>
          <w:szCs w:val="21"/>
        </w:rPr>
        <w:t>文件响应条款”为正偏离的必须提供技术支撑材料，未提供技术支撑材料的将视为非正偏离项，不做加分评判。</w:t>
      </w:r>
    </w:p>
    <w:p w14:paraId="7F336C55">
      <w:pPr>
        <w:tabs>
          <w:tab w:val="right" w:pos="9070"/>
        </w:tabs>
        <w:ind w:firstLine="420" w:firstLineChars="200"/>
        <w:rPr>
          <w:rFonts w:hAnsi="宋体" w:cs="宋体"/>
          <w:color w:val="auto"/>
          <w:sz w:val="21"/>
          <w:szCs w:val="21"/>
        </w:rPr>
      </w:pPr>
      <w:r>
        <w:rPr>
          <w:rFonts w:hint="eastAsia" w:hAnsi="宋体" w:cs="宋体"/>
          <w:color w:val="auto"/>
          <w:sz w:val="21"/>
          <w:szCs w:val="21"/>
        </w:rPr>
        <w:t>4.</w:t>
      </w:r>
      <w:r>
        <w:rPr>
          <w:rFonts w:hint="eastAsia" w:hAnsi="宋体" w:cs="宋体"/>
          <w:color w:val="auto"/>
          <w:sz w:val="21"/>
          <w:szCs w:val="21"/>
          <w:lang w:eastAsia="zh-CN"/>
        </w:rPr>
        <w:t>服务商</w:t>
      </w:r>
      <w:r>
        <w:rPr>
          <w:rFonts w:hint="eastAsia" w:hAnsi="宋体" w:cs="宋体"/>
          <w:color w:val="auto"/>
          <w:sz w:val="21"/>
          <w:szCs w:val="21"/>
        </w:rPr>
        <w:t>必须据实填写，不得虚假响应，否则，将取消其投标或中标资格。</w:t>
      </w:r>
    </w:p>
    <w:p w14:paraId="57390BEA">
      <w:pPr>
        <w:pStyle w:val="9"/>
        <w:spacing w:line="500" w:lineRule="exact"/>
        <w:ind w:firstLine="6090" w:firstLineChars="2900"/>
        <w:rPr>
          <w:rFonts w:ascii="宋体" w:hAnsi="宋体" w:cs="宋体"/>
          <w:color w:val="auto"/>
          <w:szCs w:val="21"/>
          <w:u w:val="single"/>
        </w:rPr>
      </w:pPr>
    </w:p>
    <w:p w14:paraId="6B7037C4">
      <w:pPr>
        <w:pStyle w:val="9"/>
        <w:spacing w:line="500" w:lineRule="exact"/>
        <w:ind w:firstLine="6480" w:firstLineChars="2700"/>
        <w:rPr>
          <w:rFonts w:ascii="宋体" w:hAnsi="宋体" w:cs="宋体"/>
          <w:bCs/>
          <w:color w:val="auto"/>
          <w:sz w:val="24"/>
          <w:szCs w:val="24"/>
        </w:rPr>
      </w:pPr>
      <w:r>
        <w:rPr>
          <w:rFonts w:hint="eastAsia" w:ascii="宋体" w:hAnsi="宋体" w:cs="宋体"/>
          <w:color w:val="auto"/>
          <w:sz w:val="24"/>
          <w:szCs w:val="24"/>
          <w:highlight w:val="none"/>
          <w:u w:val="single"/>
          <w:lang w:eastAsia="zh-CN"/>
        </w:rPr>
        <w:t>服务商名称</w:t>
      </w:r>
      <w:r>
        <w:rPr>
          <w:rFonts w:hint="eastAsia" w:ascii="宋体" w:hAnsi="宋体" w:cs="宋体"/>
          <w:bCs/>
          <w:color w:val="auto"/>
          <w:sz w:val="24"/>
          <w:szCs w:val="24"/>
        </w:rPr>
        <w:t>（盖章）</w:t>
      </w:r>
      <w:r>
        <w:rPr>
          <w:rFonts w:hint="eastAsia" w:ascii="宋体" w:hAnsi="宋体" w:cs="宋体"/>
          <w:bCs/>
          <w:color w:val="auto"/>
          <w:sz w:val="24"/>
          <w:szCs w:val="24"/>
        </w:rPr>
        <w:tab/>
      </w:r>
    </w:p>
    <w:p w14:paraId="5FE0C46F">
      <w:pPr>
        <w:rPr>
          <w:rFonts w:hAnsi="宋体" w:cs="宋体"/>
          <w:color w:val="auto"/>
          <w:sz w:val="21"/>
          <w:szCs w:val="21"/>
        </w:rPr>
      </w:pPr>
      <w:r>
        <w:rPr>
          <w:rFonts w:hint="eastAsia" w:hAnsi="宋体" w:cs="宋体"/>
          <w:color w:val="auto"/>
          <w:sz w:val="24"/>
          <w:szCs w:val="24"/>
        </w:rPr>
        <w:t xml:space="preserve">                                      　                  年　月　日</w:t>
      </w:r>
    </w:p>
    <w:p w14:paraId="3195BCA8">
      <w:pPr>
        <w:rPr>
          <w:rFonts w:hAnsi="宋体" w:cs="宋体"/>
          <w:b/>
          <w:bCs/>
          <w:color w:val="auto"/>
          <w:sz w:val="21"/>
          <w:szCs w:val="21"/>
        </w:rPr>
      </w:pPr>
    </w:p>
    <w:p w14:paraId="6E8BB8DF">
      <w:pPr>
        <w:spacing w:line="288" w:lineRule="auto"/>
        <w:ind w:firstLine="422" w:firstLineChars="200"/>
        <w:rPr>
          <w:rFonts w:hAnsi="宋体" w:cs="宋体"/>
          <w:b/>
          <w:color w:val="auto"/>
          <w:sz w:val="21"/>
          <w:szCs w:val="21"/>
        </w:rPr>
      </w:pPr>
    </w:p>
    <w:p w14:paraId="7FCEA15E">
      <w:pPr>
        <w:spacing w:line="500" w:lineRule="exact"/>
        <w:rPr>
          <w:rFonts w:hint="eastAsia" w:hAnsi="宋体" w:cs="宋体"/>
          <w:b/>
          <w:bCs/>
          <w:color w:val="auto"/>
          <w:sz w:val="21"/>
          <w:szCs w:val="21"/>
        </w:rPr>
        <w:sectPr>
          <w:pgSz w:w="11906" w:h="16838"/>
          <w:pgMar w:top="1417" w:right="1417" w:bottom="1417" w:left="1417" w:header="850" w:footer="850" w:gutter="0"/>
          <w:pgNumType w:fmt="numberInDash"/>
          <w:cols w:space="720" w:num="1"/>
          <w:docGrid w:type="lines" w:linePitch="326" w:charSpace="0"/>
        </w:sectPr>
      </w:pPr>
    </w:p>
    <w:p w14:paraId="380F4B89">
      <w:pPr>
        <w:spacing w:line="500" w:lineRule="exact"/>
        <w:rPr>
          <w:rFonts w:hint="eastAsia" w:hAnsi="宋体" w:eastAsia="宋体" w:cs="宋体"/>
          <w:b/>
          <w:bCs/>
          <w:color w:val="auto"/>
          <w:sz w:val="21"/>
          <w:szCs w:val="21"/>
          <w:lang w:eastAsia="zh-CN"/>
        </w:rPr>
      </w:pPr>
      <w:r>
        <w:rPr>
          <w:rFonts w:hint="eastAsia" w:hAnsi="宋体" w:cs="宋体"/>
          <w:b/>
          <w:bCs/>
          <w:color w:val="auto"/>
          <w:sz w:val="28"/>
          <w:szCs w:val="28"/>
        </w:rPr>
        <w:t>二、合同基本条款及格式响应</w:t>
      </w:r>
      <w:r>
        <w:rPr>
          <w:rFonts w:hint="eastAsia" w:hAnsi="宋体" w:cs="宋体"/>
          <w:b/>
          <w:bCs/>
          <w:color w:val="auto"/>
          <w:sz w:val="28"/>
          <w:szCs w:val="28"/>
          <w:lang w:eastAsia="zh-CN"/>
        </w:rPr>
        <w:t>（附承诺书）</w:t>
      </w:r>
    </w:p>
    <w:p w14:paraId="07AAE7F8">
      <w:pPr>
        <w:spacing w:line="288" w:lineRule="auto"/>
        <w:ind w:firstLine="420" w:firstLineChars="200"/>
        <w:rPr>
          <w:rFonts w:hAnsi="宋体" w:cs="宋体"/>
          <w:bCs/>
          <w:color w:val="auto"/>
          <w:sz w:val="21"/>
          <w:szCs w:val="21"/>
        </w:rPr>
      </w:pPr>
    </w:p>
    <w:p w14:paraId="74A91598">
      <w:pPr>
        <w:spacing w:line="288" w:lineRule="auto"/>
        <w:ind w:firstLine="3570" w:firstLineChars="1700"/>
        <w:rPr>
          <w:rFonts w:hAnsi="宋体" w:cs="宋体"/>
          <w:bCs/>
          <w:color w:val="auto"/>
          <w:sz w:val="21"/>
          <w:szCs w:val="21"/>
        </w:rPr>
      </w:pPr>
    </w:p>
    <w:p w14:paraId="13F682F7">
      <w:pPr>
        <w:pStyle w:val="3"/>
        <w:rPr>
          <w:color w:val="auto"/>
        </w:rPr>
      </w:pPr>
    </w:p>
    <w:p w14:paraId="05505949">
      <w:pPr>
        <w:pStyle w:val="9"/>
        <w:spacing w:after="0" w:line="288" w:lineRule="auto"/>
        <w:rPr>
          <w:rFonts w:ascii="宋体" w:hAnsi="宋体" w:cs="宋体"/>
          <w:color w:val="auto"/>
          <w:szCs w:val="21"/>
        </w:rPr>
      </w:pPr>
    </w:p>
    <w:p w14:paraId="2480ADCA">
      <w:pPr>
        <w:pStyle w:val="9"/>
        <w:spacing w:after="0" w:line="288" w:lineRule="auto"/>
        <w:ind w:firstLine="6480" w:firstLineChars="2700"/>
        <w:rPr>
          <w:rFonts w:ascii="宋体" w:hAnsi="宋体" w:cs="宋体"/>
          <w:bCs/>
          <w:color w:val="auto"/>
          <w:sz w:val="24"/>
          <w:szCs w:val="24"/>
        </w:rPr>
      </w:pPr>
      <w:r>
        <w:rPr>
          <w:rFonts w:hint="eastAsia" w:ascii="宋体" w:hAnsi="宋体" w:cs="宋体"/>
          <w:color w:val="auto"/>
          <w:sz w:val="24"/>
          <w:szCs w:val="24"/>
          <w:highlight w:val="none"/>
          <w:u w:val="single"/>
          <w:lang w:eastAsia="zh-CN"/>
        </w:rPr>
        <w:t>服务商名称</w:t>
      </w:r>
      <w:r>
        <w:rPr>
          <w:rFonts w:hint="eastAsia" w:ascii="宋体" w:hAnsi="宋体" w:cs="宋体"/>
          <w:bCs/>
          <w:color w:val="auto"/>
          <w:sz w:val="24"/>
          <w:szCs w:val="24"/>
          <w:highlight w:val="none"/>
        </w:rPr>
        <w:t>（</w:t>
      </w:r>
      <w:r>
        <w:rPr>
          <w:rFonts w:hint="eastAsia" w:ascii="宋体" w:hAnsi="宋体" w:cs="宋体"/>
          <w:bCs/>
          <w:color w:val="auto"/>
          <w:sz w:val="24"/>
          <w:szCs w:val="24"/>
        </w:rPr>
        <w:t>盖章）</w:t>
      </w:r>
      <w:r>
        <w:rPr>
          <w:rFonts w:hint="eastAsia" w:ascii="宋体" w:hAnsi="宋体" w:cs="宋体"/>
          <w:bCs/>
          <w:color w:val="auto"/>
          <w:sz w:val="24"/>
          <w:szCs w:val="24"/>
        </w:rPr>
        <w:tab/>
      </w:r>
    </w:p>
    <w:p w14:paraId="701836EF">
      <w:pPr>
        <w:spacing w:line="500" w:lineRule="exact"/>
        <w:rPr>
          <w:rFonts w:hAnsi="宋体" w:cs="宋体"/>
          <w:bCs/>
          <w:color w:val="auto"/>
          <w:sz w:val="21"/>
          <w:szCs w:val="21"/>
        </w:rPr>
      </w:pPr>
      <w:r>
        <w:rPr>
          <w:rFonts w:hint="eastAsia" w:hAnsi="宋体" w:cs="宋体"/>
          <w:bCs/>
          <w:color w:val="auto"/>
          <w:sz w:val="24"/>
          <w:szCs w:val="24"/>
        </w:rPr>
        <w:t xml:space="preserve">                                               　     </w:t>
      </w:r>
      <w:r>
        <w:rPr>
          <w:rFonts w:hAnsi="宋体" w:cs="宋体"/>
          <w:bCs/>
          <w:color w:val="auto"/>
          <w:sz w:val="24"/>
          <w:szCs w:val="24"/>
        </w:rPr>
        <w:t xml:space="preserve">  </w:t>
      </w:r>
      <w:r>
        <w:rPr>
          <w:rFonts w:hint="eastAsia" w:hAnsi="宋体" w:cs="宋体"/>
          <w:bCs/>
          <w:color w:val="auto"/>
          <w:sz w:val="24"/>
          <w:szCs w:val="24"/>
        </w:rPr>
        <w:t xml:space="preserve"> </w:t>
      </w:r>
      <w:r>
        <w:rPr>
          <w:rFonts w:hAnsi="宋体" w:cs="宋体"/>
          <w:bCs/>
          <w:color w:val="auto"/>
          <w:sz w:val="24"/>
          <w:szCs w:val="24"/>
        </w:rPr>
        <w:t xml:space="preserve"> </w:t>
      </w:r>
      <w:r>
        <w:rPr>
          <w:rFonts w:hint="eastAsia" w:hAnsi="宋体" w:cs="宋体"/>
          <w:bCs/>
          <w:color w:val="auto"/>
          <w:sz w:val="24"/>
          <w:szCs w:val="24"/>
        </w:rPr>
        <w:t>年　月　日</w:t>
      </w:r>
    </w:p>
    <w:p w14:paraId="311C9619">
      <w:pPr>
        <w:widowControl/>
        <w:jc w:val="left"/>
        <w:rPr>
          <w:rFonts w:hAnsi="宋体" w:cs="宋体"/>
          <w:b/>
          <w:color w:val="auto"/>
          <w:sz w:val="21"/>
          <w:szCs w:val="21"/>
        </w:rPr>
      </w:pPr>
    </w:p>
    <w:p w14:paraId="16F9E344">
      <w:pPr>
        <w:pStyle w:val="9"/>
        <w:rPr>
          <w:rFonts w:hAnsi="宋体" w:cs="宋体"/>
          <w:b/>
          <w:color w:val="auto"/>
          <w:sz w:val="21"/>
          <w:szCs w:val="21"/>
        </w:rPr>
      </w:pPr>
    </w:p>
    <w:p w14:paraId="1E701F3E">
      <w:pPr>
        <w:rPr>
          <w:rFonts w:hAnsi="宋体" w:cs="宋体"/>
          <w:b/>
          <w:color w:val="auto"/>
          <w:sz w:val="21"/>
          <w:szCs w:val="21"/>
        </w:rPr>
      </w:pPr>
    </w:p>
    <w:p w14:paraId="53723652">
      <w:pPr>
        <w:pStyle w:val="9"/>
        <w:rPr>
          <w:rFonts w:hAnsi="宋体" w:cs="宋体"/>
          <w:b/>
          <w:color w:val="auto"/>
          <w:sz w:val="21"/>
          <w:szCs w:val="21"/>
        </w:rPr>
      </w:pPr>
    </w:p>
    <w:p w14:paraId="4351438C">
      <w:pPr>
        <w:rPr>
          <w:rFonts w:hAnsi="宋体" w:cs="宋体"/>
          <w:b/>
          <w:color w:val="auto"/>
          <w:sz w:val="21"/>
          <w:szCs w:val="21"/>
        </w:rPr>
      </w:pPr>
    </w:p>
    <w:p w14:paraId="61827DF3">
      <w:pPr>
        <w:pStyle w:val="9"/>
        <w:rPr>
          <w:rFonts w:hAnsi="宋体" w:cs="宋体"/>
          <w:b/>
          <w:color w:val="auto"/>
          <w:sz w:val="21"/>
          <w:szCs w:val="21"/>
        </w:rPr>
      </w:pPr>
    </w:p>
    <w:p w14:paraId="5A43EAA5">
      <w:pPr>
        <w:rPr>
          <w:rFonts w:hAnsi="宋体" w:cs="宋体"/>
          <w:b/>
          <w:color w:val="auto"/>
          <w:sz w:val="21"/>
          <w:szCs w:val="21"/>
        </w:rPr>
      </w:pPr>
    </w:p>
    <w:p w14:paraId="1551C7C2">
      <w:pPr>
        <w:pStyle w:val="9"/>
        <w:rPr>
          <w:rFonts w:hAnsi="宋体" w:cs="宋体"/>
          <w:b/>
          <w:color w:val="auto"/>
          <w:sz w:val="21"/>
          <w:szCs w:val="21"/>
        </w:rPr>
      </w:pPr>
    </w:p>
    <w:p w14:paraId="46F09C72">
      <w:pPr>
        <w:rPr>
          <w:rFonts w:hAnsi="宋体" w:cs="宋体"/>
          <w:b/>
          <w:color w:val="auto"/>
          <w:sz w:val="21"/>
          <w:szCs w:val="21"/>
        </w:rPr>
      </w:pPr>
    </w:p>
    <w:p w14:paraId="2C73BF45">
      <w:pPr>
        <w:pStyle w:val="9"/>
        <w:rPr>
          <w:rFonts w:hAnsi="宋体" w:cs="宋体"/>
          <w:b/>
          <w:color w:val="auto"/>
          <w:sz w:val="21"/>
          <w:szCs w:val="21"/>
        </w:rPr>
      </w:pPr>
    </w:p>
    <w:p w14:paraId="53346B1B">
      <w:pPr>
        <w:rPr>
          <w:rFonts w:hAnsi="宋体" w:cs="宋体"/>
          <w:b/>
          <w:color w:val="auto"/>
          <w:sz w:val="21"/>
          <w:szCs w:val="21"/>
        </w:rPr>
      </w:pPr>
    </w:p>
    <w:p w14:paraId="730E9D65">
      <w:pPr>
        <w:pStyle w:val="9"/>
        <w:rPr>
          <w:rFonts w:hAnsi="宋体" w:cs="宋体"/>
          <w:b/>
          <w:color w:val="auto"/>
          <w:sz w:val="21"/>
          <w:szCs w:val="21"/>
        </w:rPr>
      </w:pPr>
    </w:p>
    <w:p w14:paraId="1C0DBC15">
      <w:pPr>
        <w:rPr>
          <w:rFonts w:hAnsi="宋体" w:cs="宋体"/>
          <w:b/>
          <w:color w:val="auto"/>
          <w:sz w:val="21"/>
          <w:szCs w:val="21"/>
        </w:rPr>
      </w:pPr>
    </w:p>
    <w:p w14:paraId="29A4301A">
      <w:pPr>
        <w:pStyle w:val="9"/>
        <w:rPr>
          <w:rFonts w:hAnsi="宋体" w:cs="宋体"/>
          <w:b/>
          <w:color w:val="auto"/>
          <w:sz w:val="21"/>
          <w:szCs w:val="21"/>
        </w:rPr>
      </w:pPr>
    </w:p>
    <w:p w14:paraId="708A8D57">
      <w:pPr>
        <w:rPr>
          <w:rFonts w:hAnsi="宋体" w:cs="宋体"/>
          <w:b/>
          <w:color w:val="auto"/>
          <w:sz w:val="21"/>
          <w:szCs w:val="21"/>
        </w:rPr>
      </w:pPr>
    </w:p>
    <w:p w14:paraId="76E74305">
      <w:pPr>
        <w:pStyle w:val="9"/>
        <w:rPr>
          <w:rFonts w:hAnsi="宋体" w:cs="宋体"/>
          <w:b/>
          <w:color w:val="auto"/>
          <w:sz w:val="21"/>
          <w:szCs w:val="21"/>
        </w:rPr>
      </w:pPr>
    </w:p>
    <w:p w14:paraId="0F91CBD9">
      <w:pPr>
        <w:rPr>
          <w:rFonts w:hAnsi="宋体" w:cs="宋体"/>
          <w:b/>
          <w:color w:val="auto"/>
          <w:sz w:val="21"/>
          <w:szCs w:val="21"/>
        </w:rPr>
      </w:pPr>
    </w:p>
    <w:p w14:paraId="7554BF76">
      <w:pPr>
        <w:pStyle w:val="9"/>
        <w:rPr>
          <w:rFonts w:hAnsi="宋体" w:cs="宋体"/>
          <w:b/>
          <w:color w:val="auto"/>
          <w:sz w:val="21"/>
          <w:szCs w:val="21"/>
        </w:rPr>
      </w:pPr>
    </w:p>
    <w:p w14:paraId="4542C447">
      <w:pPr>
        <w:rPr>
          <w:rFonts w:hAnsi="宋体" w:cs="宋体"/>
          <w:b/>
          <w:color w:val="auto"/>
          <w:sz w:val="21"/>
          <w:szCs w:val="21"/>
        </w:rPr>
      </w:pPr>
    </w:p>
    <w:p w14:paraId="5327D2F1">
      <w:pPr>
        <w:pStyle w:val="9"/>
        <w:rPr>
          <w:rFonts w:hAnsi="宋体" w:cs="宋体"/>
          <w:b/>
          <w:color w:val="auto"/>
          <w:sz w:val="21"/>
          <w:szCs w:val="21"/>
        </w:rPr>
      </w:pPr>
    </w:p>
    <w:p w14:paraId="0A04320F">
      <w:pPr>
        <w:rPr>
          <w:rFonts w:hAnsi="宋体" w:cs="宋体"/>
          <w:b/>
          <w:color w:val="auto"/>
          <w:sz w:val="21"/>
          <w:szCs w:val="21"/>
        </w:rPr>
      </w:pPr>
    </w:p>
    <w:p w14:paraId="048EAF36">
      <w:pPr>
        <w:pStyle w:val="9"/>
        <w:rPr>
          <w:rFonts w:hAnsi="宋体" w:cs="宋体"/>
          <w:b/>
          <w:color w:val="auto"/>
          <w:sz w:val="21"/>
          <w:szCs w:val="21"/>
        </w:rPr>
      </w:pPr>
    </w:p>
    <w:p w14:paraId="0F79ECF5">
      <w:pPr>
        <w:rPr>
          <w:rFonts w:hAnsi="宋体" w:cs="宋体"/>
          <w:b/>
          <w:color w:val="auto"/>
          <w:sz w:val="21"/>
          <w:szCs w:val="21"/>
        </w:rPr>
      </w:pPr>
    </w:p>
    <w:p w14:paraId="6256F25D">
      <w:pPr>
        <w:pStyle w:val="9"/>
        <w:rPr>
          <w:rFonts w:hAnsi="宋体" w:cs="宋体"/>
          <w:b/>
          <w:color w:val="auto"/>
          <w:sz w:val="21"/>
          <w:szCs w:val="21"/>
        </w:rPr>
      </w:pPr>
    </w:p>
    <w:p w14:paraId="302C87D8">
      <w:pPr>
        <w:rPr>
          <w:rFonts w:hAnsi="宋体" w:cs="宋体"/>
          <w:b/>
          <w:color w:val="auto"/>
          <w:sz w:val="21"/>
          <w:szCs w:val="21"/>
        </w:rPr>
      </w:pPr>
    </w:p>
    <w:p w14:paraId="46440442">
      <w:pPr>
        <w:pStyle w:val="9"/>
        <w:rPr>
          <w:rFonts w:hAnsi="宋体" w:cs="宋体"/>
          <w:b/>
          <w:color w:val="auto"/>
          <w:sz w:val="21"/>
          <w:szCs w:val="21"/>
        </w:rPr>
      </w:pPr>
    </w:p>
    <w:p w14:paraId="6014A177">
      <w:pPr>
        <w:rPr>
          <w:rFonts w:hAnsi="宋体" w:cs="宋体"/>
          <w:b/>
          <w:color w:val="auto"/>
          <w:sz w:val="21"/>
          <w:szCs w:val="21"/>
        </w:rPr>
      </w:pPr>
    </w:p>
    <w:p w14:paraId="0222DB0F">
      <w:pPr>
        <w:pStyle w:val="9"/>
      </w:pPr>
    </w:p>
    <w:p w14:paraId="4BFFD3D1">
      <w:pPr>
        <w:spacing w:line="500" w:lineRule="exact"/>
        <w:rPr>
          <w:rFonts w:hAnsi="宋体" w:cs="宋体"/>
          <w:b/>
          <w:color w:val="auto"/>
          <w:sz w:val="28"/>
          <w:szCs w:val="28"/>
        </w:rPr>
      </w:pPr>
      <w:r>
        <w:rPr>
          <w:rFonts w:hint="eastAsia" w:hAnsi="宋体" w:cs="宋体"/>
          <w:b/>
          <w:color w:val="auto"/>
          <w:sz w:val="28"/>
          <w:szCs w:val="28"/>
        </w:rPr>
        <w:t>三、投标方案</w:t>
      </w:r>
    </w:p>
    <w:p w14:paraId="0DA58FD2">
      <w:pPr>
        <w:spacing w:line="500" w:lineRule="exact"/>
        <w:ind w:firstLine="480" w:firstLineChars="200"/>
        <w:rPr>
          <w:rFonts w:hint="eastAsia" w:hAnsi="宋体" w:cs="宋体"/>
          <w:bCs/>
          <w:color w:val="auto"/>
          <w:sz w:val="24"/>
          <w:szCs w:val="24"/>
        </w:rPr>
      </w:pPr>
      <w:r>
        <w:rPr>
          <w:rFonts w:hint="eastAsia" w:hAnsi="宋体" w:cs="宋体"/>
          <w:bCs/>
          <w:color w:val="auto"/>
          <w:sz w:val="24"/>
          <w:szCs w:val="24"/>
        </w:rPr>
        <w:t>参照招标文件第三章《评审要素及分值一览表》各条款要素，结合第四章《</w:t>
      </w:r>
      <w:r>
        <w:rPr>
          <w:rFonts w:hint="eastAsia"/>
          <w:color w:val="auto"/>
          <w:sz w:val="24"/>
          <w:szCs w:val="24"/>
        </w:rPr>
        <w:t>招标采购内容</w:t>
      </w:r>
      <w:r>
        <w:rPr>
          <w:color w:val="auto"/>
          <w:sz w:val="24"/>
          <w:szCs w:val="24"/>
        </w:rPr>
        <w:t>及</w:t>
      </w:r>
      <w:r>
        <w:rPr>
          <w:rFonts w:hint="eastAsia"/>
          <w:color w:val="auto"/>
          <w:sz w:val="24"/>
          <w:szCs w:val="24"/>
        </w:rPr>
        <w:t>要求</w:t>
      </w:r>
      <w:r>
        <w:rPr>
          <w:rFonts w:hint="eastAsia" w:hAnsi="宋体" w:cs="宋体"/>
          <w:bCs/>
          <w:color w:val="auto"/>
          <w:sz w:val="24"/>
          <w:szCs w:val="24"/>
        </w:rPr>
        <w:t>》编制投标方案。</w:t>
      </w:r>
    </w:p>
    <w:p w14:paraId="2C9CEBF8">
      <w:pPr>
        <w:pStyle w:val="29"/>
        <w:rPr>
          <w:rFonts w:hint="eastAsia" w:ascii="宋体" w:hAnsi="宋体" w:eastAsia="宋体" w:cs="宋体"/>
          <w:color w:val="auto"/>
          <w:kern w:val="0"/>
          <w:sz w:val="24"/>
          <w:szCs w:val="24"/>
          <w:lang w:val="en-US" w:eastAsia="zh-CN" w:bidi="ar"/>
        </w:rPr>
      </w:pPr>
    </w:p>
    <w:p w14:paraId="53EF6465">
      <w:pPr>
        <w:pStyle w:val="29"/>
        <w:rPr>
          <w:rFonts w:hint="eastAsia" w:ascii="宋体" w:hAnsi="宋体" w:eastAsia="宋体" w:cs="宋体"/>
          <w:color w:val="auto"/>
          <w:kern w:val="0"/>
          <w:sz w:val="24"/>
          <w:szCs w:val="24"/>
          <w:lang w:val="en-US" w:eastAsia="zh-CN" w:bidi="ar"/>
        </w:rPr>
      </w:pPr>
    </w:p>
    <w:p w14:paraId="1644369D">
      <w:pPr>
        <w:pStyle w:val="29"/>
        <w:rPr>
          <w:rFonts w:hint="eastAsia" w:ascii="宋体" w:hAnsi="宋体" w:eastAsia="宋体" w:cs="宋体"/>
          <w:color w:val="auto"/>
          <w:kern w:val="0"/>
          <w:sz w:val="24"/>
          <w:szCs w:val="24"/>
          <w:lang w:val="en-US" w:eastAsia="zh-CN" w:bidi="ar"/>
        </w:rPr>
      </w:pPr>
    </w:p>
    <w:p w14:paraId="4003D03D">
      <w:pPr>
        <w:pStyle w:val="29"/>
        <w:rPr>
          <w:rFonts w:hint="eastAsia" w:ascii="宋体" w:hAnsi="宋体" w:eastAsia="宋体" w:cs="宋体"/>
          <w:color w:val="auto"/>
          <w:kern w:val="0"/>
          <w:sz w:val="24"/>
          <w:szCs w:val="24"/>
          <w:lang w:val="en-US" w:eastAsia="zh-CN" w:bidi="ar"/>
        </w:rPr>
      </w:pPr>
    </w:p>
    <w:p w14:paraId="47FB19C2">
      <w:pPr>
        <w:pStyle w:val="29"/>
        <w:rPr>
          <w:rFonts w:hint="eastAsia" w:ascii="宋体" w:hAnsi="宋体" w:eastAsia="宋体" w:cs="宋体"/>
          <w:color w:val="auto"/>
          <w:kern w:val="0"/>
          <w:sz w:val="24"/>
          <w:szCs w:val="24"/>
          <w:lang w:val="en-US" w:eastAsia="zh-CN" w:bidi="ar"/>
        </w:rPr>
      </w:pPr>
    </w:p>
    <w:p w14:paraId="2C1E480A">
      <w:pPr>
        <w:pStyle w:val="29"/>
        <w:rPr>
          <w:rFonts w:hint="eastAsia" w:ascii="宋体" w:hAnsi="宋体" w:eastAsia="宋体" w:cs="宋体"/>
          <w:color w:val="auto"/>
          <w:kern w:val="0"/>
          <w:sz w:val="24"/>
          <w:szCs w:val="24"/>
          <w:lang w:val="en-US" w:eastAsia="zh-CN" w:bidi="ar"/>
        </w:rPr>
      </w:pPr>
    </w:p>
    <w:p w14:paraId="186F45B0">
      <w:pPr>
        <w:pStyle w:val="29"/>
        <w:rPr>
          <w:rFonts w:hint="eastAsia" w:ascii="宋体" w:hAnsi="宋体" w:eastAsia="宋体" w:cs="宋体"/>
          <w:color w:val="auto"/>
          <w:kern w:val="0"/>
          <w:sz w:val="24"/>
          <w:szCs w:val="24"/>
          <w:lang w:val="en-US" w:eastAsia="zh-CN" w:bidi="ar"/>
        </w:rPr>
      </w:pPr>
    </w:p>
    <w:p w14:paraId="407C9C5C">
      <w:pPr>
        <w:pStyle w:val="29"/>
        <w:rPr>
          <w:rFonts w:hint="eastAsia" w:ascii="宋体" w:hAnsi="宋体" w:eastAsia="宋体" w:cs="宋体"/>
          <w:color w:val="auto"/>
          <w:kern w:val="0"/>
          <w:sz w:val="24"/>
          <w:szCs w:val="24"/>
          <w:lang w:val="en-US" w:eastAsia="zh-CN" w:bidi="ar"/>
        </w:rPr>
      </w:pPr>
    </w:p>
    <w:p w14:paraId="672D7919">
      <w:pPr>
        <w:pStyle w:val="29"/>
        <w:rPr>
          <w:rFonts w:hint="eastAsia" w:ascii="宋体" w:hAnsi="宋体" w:eastAsia="宋体" w:cs="宋体"/>
          <w:color w:val="auto"/>
          <w:kern w:val="0"/>
          <w:sz w:val="24"/>
          <w:szCs w:val="24"/>
          <w:lang w:val="en-US" w:eastAsia="zh-CN" w:bidi="ar"/>
        </w:rPr>
      </w:pPr>
    </w:p>
    <w:p w14:paraId="1FDC0CA8">
      <w:pPr>
        <w:pStyle w:val="29"/>
        <w:rPr>
          <w:rFonts w:hint="eastAsia" w:ascii="宋体" w:hAnsi="宋体" w:eastAsia="宋体" w:cs="宋体"/>
          <w:color w:val="auto"/>
          <w:kern w:val="0"/>
          <w:sz w:val="24"/>
          <w:szCs w:val="24"/>
          <w:lang w:val="en-US" w:eastAsia="zh-CN" w:bidi="ar"/>
        </w:rPr>
      </w:pPr>
    </w:p>
    <w:p w14:paraId="0FB850FB">
      <w:pPr>
        <w:pStyle w:val="29"/>
        <w:rPr>
          <w:rFonts w:hint="eastAsia" w:ascii="宋体" w:hAnsi="宋体" w:eastAsia="宋体" w:cs="宋体"/>
          <w:color w:val="auto"/>
          <w:kern w:val="0"/>
          <w:sz w:val="24"/>
          <w:szCs w:val="24"/>
          <w:lang w:val="en-US" w:eastAsia="zh-CN" w:bidi="ar"/>
        </w:rPr>
      </w:pPr>
    </w:p>
    <w:p w14:paraId="49A5D11F">
      <w:pPr>
        <w:pStyle w:val="29"/>
        <w:rPr>
          <w:rFonts w:hint="eastAsia" w:ascii="宋体" w:hAnsi="宋体" w:eastAsia="宋体" w:cs="宋体"/>
          <w:color w:val="auto"/>
          <w:kern w:val="0"/>
          <w:sz w:val="24"/>
          <w:szCs w:val="24"/>
          <w:lang w:val="en-US" w:eastAsia="zh-CN" w:bidi="ar"/>
        </w:rPr>
      </w:pPr>
    </w:p>
    <w:p w14:paraId="36C1928F">
      <w:pPr>
        <w:pStyle w:val="29"/>
        <w:rPr>
          <w:rFonts w:hint="eastAsia" w:ascii="宋体" w:hAnsi="宋体" w:eastAsia="宋体" w:cs="宋体"/>
          <w:color w:val="auto"/>
          <w:kern w:val="0"/>
          <w:sz w:val="24"/>
          <w:szCs w:val="24"/>
          <w:lang w:val="en-US" w:eastAsia="zh-CN" w:bidi="ar"/>
        </w:rPr>
      </w:pPr>
    </w:p>
    <w:p w14:paraId="7A75B71E">
      <w:pPr>
        <w:pStyle w:val="29"/>
        <w:rPr>
          <w:rFonts w:hint="eastAsia" w:ascii="宋体" w:hAnsi="宋体" w:eastAsia="宋体" w:cs="宋体"/>
          <w:color w:val="auto"/>
          <w:kern w:val="0"/>
          <w:sz w:val="24"/>
          <w:szCs w:val="24"/>
          <w:lang w:val="en-US" w:eastAsia="zh-CN" w:bidi="ar"/>
        </w:rPr>
      </w:pPr>
    </w:p>
    <w:p w14:paraId="3EC95745">
      <w:pPr>
        <w:pStyle w:val="29"/>
        <w:rPr>
          <w:rFonts w:hint="eastAsia" w:ascii="宋体" w:hAnsi="宋体" w:eastAsia="宋体" w:cs="宋体"/>
          <w:color w:val="auto"/>
          <w:kern w:val="0"/>
          <w:sz w:val="24"/>
          <w:szCs w:val="24"/>
          <w:lang w:val="en-US" w:eastAsia="zh-CN" w:bidi="ar"/>
        </w:rPr>
      </w:pPr>
    </w:p>
    <w:p w14:paraId="5DD069B7">
      <w:pPr>
        <w:pStyle w:val="29"/>
        <w:rPr>
          <w:rFonts w:hint="eastAsia" w:ascii="宋体" w:hAnsi="宋体" w:eastAsia="宋体" w:cs="宋体"/>
          <w:color w:val="auto"/>
          <w:kern w:val="0"/>
          <w:sz w:val="24"/>
          <w:szCs w:val="24"/>
          <w:lang w:val="en-US" w:eastAsia="zh-CN" w:bidi="ar"/>
        </w:rPr>
      </w:pPr>
    </w:p>
    <w:p w14:paraId="5A52744C">
      <w:pPr>
        <w:pStyle w:val="29"/>
        <w:rPr>
          <w:rFonts w:hint="eastAsia" w:ascii="宋体" w:hAnsi="宋体" w:eastAsia="宋体" w:cs="宋体"/>
          <w:color w:val="auto"/>
          <w:kern w:val="0"/>
          <w:sz w:val="24"/>
          <w:szCs w:val="24"/>
          <w:lang w:val="en-US" w:eastAsia="zh-CN" w:bidi="ar"/>
        </w:rPr>
      </w:pPr>
    </w:p>
    <w:p w14:paraId="5EC5B42C">
      <w:pPr>
        <w:pStyle w:val="29"/>
        <w:rPr>
          <w:rFonts w:hint="eastAsia" w:ascii="宋体" w:hAnsi="宋体" w:eastAsia="宋体" w:cs="宋体"/>
          <w:color w:val="auto"/>
          <w:kern w:val="0"/>
          <w:sz w:val="24"/>
          <w:szCs w:val="24"/>
          <w:lang w:val="en-US" w:eastAsia="zh-CN" w:bidi="ar"/>
        </w:rPr>
      </w:pPr>
    </w:p>
    <w:p w14:paraId="5F424C4D">
      <w:pPr>
        <w:pStyle w:val="29"/>
        <w:rPr>
          <w:rFonts w:hint="eastAsia" w:ascii="宋体" w:hAnsi="宋体" w:eastAsia="宋体" w:cs="宋体"/>
          <w:color w:val="auto"/>
          <w:kern w:val="0"/>
          <w:sz w:val="24"/>
          <w:szCs w:val="24"/>
          <w:lang w:val="en-US" w:eastAsia="zh-CN" w:bidi="ar"/>
        </w:rPr>
      </w:pPr>
    </w:p>
    <w:p w14:paraId="2D028F08">
      <w:pPr>
        <w:pStyle w:val="29"/>
        <w:rPr>
          <w:rFonts w:hint="eastAsia" w:ascii="宋体" w:hAnsi="宋体" w:eastAsia="宋体" w:cs="宋体"/>
          <w:color w:val="auto"/>
          <w:kern w:val="0"/>
          <w:sz w:val="24"/>
          <w:szCs w:val="24"/>
          <w:lang w:val="en-US" w:eastAsia="zh-CN" w:bidi="ar"/>
        </w:rPr>
      </w:pPr>
    </w:p>
    <w:p w14:paraId="617B5CA3">
      <w:pPr>
        <w:pStyle w:val="29"/>
        <w:rPr>
          <w:rFonts w:hint="eastAsia" w:ascii="宋体" w:hAnsi="宋体" w:eastAsia="宋体" w:cs="宋体"/>
          <w:color w:val="auto"/>
          <w:kern w:val="0"/>
          <w:sz w:val="24"/>
          <w:szCs w:val="24"/>
          <w:lang w:val="en-US" w:eastAsia="zh-CN" w:bidi="ar"/>
        </w:rPr>
      </w:pPr>
    </w:p>
    <w:p w14:paraId="5443739B">
      <w:pPr>
        <w:pStyle w:val="29"/>
        <w:rPr>
          <w:rFonts w:hint="eastAsia" w:ascii="宋体" w:hAnsi="宋体" w:eastAsia="宋体" w:cs="宋体"/>
          <w:color w:val="auto"/>
          <w:kern w:val="0"/>
          <w:sz w:val="24"/>
          <w:szCs w:val="24"/>
          <w:lang w:val="en-US" w:eastAsia="zh-CN" w:bidi="ar"/>
        </w:rPr>
      </w:pPr>
    </w:p>
    <w:p w14:paraId="5B430CB7">
      <w:pPr>
        <w:pStyle w:val="29"/>
        <w:rPr>
          <w:rFonts w:hint="eastAsia" w:ascii="宋体" w:hAnsi="宋体" w:eastAsia="宋体" w:cs="宋体"/>
          <w:color w:val="auto"/>
          <w:kern w:val="0"/>
          <w:sz w:val="24"/>
          <w:szCs w:val="24"/>
          <w:lang w:val="en-US" w:eastAsia="zh-CN" w:bidi="ar"/>
        </w:rPr>
      </w:pPr>
    </w:p>
    <w:p w14:paraId="175BB405">
      <w:pPr>
        <w:pStyle w:val="29"/>
        <w:rPr>
          <w:rFonts w:hint="eastAsia" w:ascii="宋体" w:hAnsi="宋体" w:eastAsia="宋体" w:cs="宋体"/>
          <w:color w:val="auto"/>
          <w:kern w:val="0"/>
          <w:sz w:val="24"/>
          <w:szCs w:val="24"/>
          <w:lang w:val="en-US" w:eastAsia="zh-CN" w:bidi="ar"/>
        </w:rPr>
      </w:pPr>
    </w:p>
    <w:p w14:paraId="53A73E95">
      <w:pPr>
        <w:pStyle w:val="29"/>
        <w:rPr>
          <w:rFonts w:hint="eastAsia" w:ascii="宋体" w:hAnsi="宋体" w:eastAsia="宋体" w:cs="宋体"/>
          <w:color w:val="auto"/>
          <w:kern w:val="0"/>
          <w:sz w:val="24"/>
          <w:szCs w:val="24"/>
          <w:lang w:val="en-US" w:eastAsia="zh-CN" w:bidi="ar"/>
        </w:rPr>
      </w:pPr>
    </w:p>
    <w:p w14:paraId="4CC94CF6">
      <w:pPr>
        <w:pStyle w:val="29"/>
        <w:rPr>
          <w:rFonts w:hint="eastAsia" w:ascii="宋体" w:hAnsi="宋体" w:eastAsia="宋体" w:cs="宋体"/>
          <w:color w:val="auto"/>
          <w:kern w:val="0"/>
          <w:sz w:val="24"/>
          <w:szCs w:val="24"/>
          <w:lang w:val="en-US" w:eastAsia="zh-CN" w:bidi="ar"/>
        </w:rPr>
      </w:pPr>
    </w:p>
    <w:p w14:paraId="6A4E38C6">
      <w:pPr>
        <w:pStyle w:val="29"/>
        <w:rPr>
          <w:rFonts w:hint="eastAsia" w:ascii="宋体" w:hAnsi="宋体" w:eastAsia="宋体" w:cs="宋体"/>
          <w:color w:val="auto"/>
          <w:kern w:val="0"/>
          <w:sz w:val="24"/>
          <w:szCs w:val="24"/>
          <w:lang w:val="en-US" w:eastAsia="zh-CN" w:bidi="ar"/>
        </w:rPr>
      </w:pPr>
    </w:p>
    <w:p w14:paraId="186F6AF0">
      <w:pPr>
        <w:pStyle w:val="29"/>
        <w:rPr>
          <w:rFonts w:hint="eastAsia" w:ascii="宋体" w:hAnsi="宋体" w:eastAsia="宋体" w:cs="宋体"/>
          <w:color w:val="auto"/>
          <w:kern w:val="0"/>
          <w:sz w:val="24"/>
          <w:szCs w:val="24"/>
          <w:lang w:val="en-US" w:eastAsia="zh-CN" w:bidi="ar"/>
        </w:rPr>
      </w:pPr>
    </w:p>
    <w:p w14:paraId="440D2589">
      <w:pPr>
        <w:pStyle w:val="29"/>
        <w:rPr>
          <w:rFonts w:hint="eastAsia" w:ascii="宋体" w:hAnsi="宋体" w:eastAsia="宋体" w:cs="宋体"/>
          <w:color w:val="auto"/>
          <w:kern w:val="0"/>
          <w:sz w:val="24"/>
          <w:szCs w:val="24"/>
          <w:lang w:val="en-US" w:eastAsia="zh-CN" w:bidi="ar"/>
        </w:rPr>
      </w:pPr>
    </w:p>
    <w:p w14:paraId="1C167A9D">
      <w:pPr>
        <w:pStyle w:val="29"/>
        <w:rPr>
          <w:rFonts w:hint="eastAsia" w:ascii="宋体" w:hAnsi="宋体" w:eastAsia="宋体" w:cs="宋体"/>
          <w:color w:val="auto"/>
          <w:kern w:val="0"/>
          <w:sz w:val="24"/>
          <w:szCs w:val="24"/>
          <w:lang w:val="en-US" w:eastAsia="zh-CN" w:bidi="ar"/>
        </w:rPr>
      </w:pPr>
    </w:p>
    <w:p w14:paraId="362728F3">
      <w:pPr>
        <w:pStyle w:val="29"/>
        <w:rPr>
          <w:rFonts w:hint="eastAsia" w:ascii="宋体" w:hAnsi="宋体" w:eastAsia="宋体" w:cs="宋体"/>
          <w:color w:val="auto"/>
          <w:kern w:val="0"/>
          <w:sz w:val="24"/>
          <w:szCs w:val="24"/>
          <w:lang w:val="en-US" w:eastAsia="zh-CN" w:bidi="ar"/>
        </w:rPr>
      </w:pPr>
    </w:p>
    <w:p w14:paraId="429CBE33">
      <w:pPr>
        <w:pStyle w:val="29"/>
        <w:rPr>
          <w:rFonts w:hint="eastAsia" w:ascii="宋体" w:hAnsi="宋体" w:eastAsia="宋体" w:cs="宋体"/>
          <w:color w:val="auto"/>
          <w:kern w:val="0"/>
          <w:sz w:val="24"/>
          <w:szCs w:val="24"/>
          <w:lang w:val="en-US" w:eastAsia="zh-CN" w:bidi="ar"/>
        </w:rPr>
      </w:pPr>
    </w:p>
    <w:p w14:paraId="34DA46CC">
      <w:pPr>
        <w:pStyle w:val="29"/>
        <w:rPr>
          <w:rFonts w:hint="eastAsia" w:ascii="宋体" w:hAnsi="宋体" w:eastAsia="宋体" w:cs="宋体"/>
          <w:color w:val="auto"/>
          <w:kern w:val="0"/>
          <w:sz w:val="24"/>
          <w:szCs w:val="24"/>
          <w:lang w:val="en-US" w:eastAsia="zh-CN" w:bidi="ar"/>
        </w:rPr>
      </w:pPr>
    </w:p>
    <w:p w14:paraId="0DBE5F32">
      <w:pPr>
        <w:pStyle w:val="29"/>
        <w:rPr>
          <w:rFonts w:hint="eastAsia" w:ascii="宋体" w:hAnsi="宋体" w:eastAsia="宋体" w:cs="宋体"/>
          <w:color w:val="auto"/>
          <w:kern w:val="0"/>
          <w:sz w:val="24"/>
          <w:szCs w:val="24"/>
          <w:lang w:val="en-US" w:eastAsia="zh-CN" w:bidi="ar"/>
        </w:rPr>
      </w:pPr>
    </w:p>
    <w:p w14:paraId="27F84FCF">
      <w:pPr>
        <w:pStyle w:val="29"/>
        <w:rPr>
          <w:rFonts w:hint="eastAsia" w:ascii="宋体" w:hAnsi="宋体" w:eastAsia="宋体" w:cs="宋体"/>
          <w:color w:val="auto"/>
          <w:kern w:val="0"/>
          <w:sz w:val="24"/>
          <w:szCs w:val="24"/>
          <w:lang w:val="en-US" w:eastAsia="zh-CN" w:bidi="ar"/>
        </w:rPr>
      </w:pPr>
    </w:p>
    <w:p w14:paraId="6DEF168C">
      <w:pPr>
        <w:pStyle w:val="29"/>
        <w:rPr>
          <w:rFonts w:hint="eastAsia" w:ascii="宋体" w:hAnsi="宋体" w:eastAsia="宋体" w:cs="宋体"/>
          <w:color w:val="auto"/>
          <w:kern w:val="0"/>
          <w:sz w:val="24"/>
          <w:szCs w:val="24"/>
          <w:lang w:val="en-US" w:eastAsia="zh-CN" w:bidi="ar"/>
        </w:rPr>
      </w:pPr>
    </w:p>
    <w:p w14:paraId="0E645D8B">
      <w:pPr>
        <w:pStyle w:val="29"/>
        <w:rPr>
          <w:rFonts w:hint="eastAsia" w:ascii="宋体" w:hAnsi="宋体" w:eastAsia="宋体" w:cs="宋体"/>
          <w:color w:val="auto"/>
          <w:kern w:val="0"/>
          <w:sz w:val="24"/>
          <w:szCs w:val="24"/>
          <w:lang w:val="en-US" w:eastAsia="zh-CN" w:bidi="ar"/>
        </w:rPr>
      </w:pPr>
    </w:p>
    <w:p w14:paraId="0B453899">
      <w:pPr>
        <w:pStyle w:val="29"/>
        <w:rPr>
          <w:rFonts w:hint="eastAsia" w:ascii="宋体" w:hAnsi="宋体" w:eastAsia="宋体" w:cs="宋体"/>
          <w:color w:val="auto"/>
          <w:kern w:val="0"/>
          <w:sz w:val="24"/>
          <w:szCs w:val="24"/>
          <w:lang w:val="en-US" w:eastAsia="zh-CN" w:bidi="ar"/>
        </w:rPr>
      </w:pPr>
    </w:p>
    <w:p w14:paraId="6E6CA0CB">
      <w:pPr>
        <w:spacing w:line="500" w:lineRule="exact"/>
        <w:rPr>
          <w:rFonts w:hAnsi="宋体" w:cs="宋体"/>
          <w:b/>
          <w:color w:val="auto"/>
          <w:sz w:val="21"/>
          <w:szCs w:val="21"/>
        </w:rPr>
      </w:pPr>
      <w:r>
        <w:rPr>
          <w:rFonts w:hint="eastAsia" w:hAnsi="宋体" w:cs="宋体"/>
          <w:b/>
          <w:color w:val="auto"/>
          <w:sz w:val="28"/>
          <w:szCs w:val="28"/>
        </w:rPr>
        <w:t>四、同类业绩统计样表（仅供参考）</w:t>
      </w:r>
      <w:bookmarkStart w:id="241" w:name="_Hlk113455940"/>
    </w:p>
    <w:bookmarkEnd w:id="241"/>
    <w:tbl>
      <w:tblPr>
        <w:tblStyle w:val="24"/>
        <w:tblW w:w="493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1"/>
        <w:gridCol w:w="1948"/>
        <w:gridCol w:w="1341"/>
        <w:gridCol w:w="1948"/>
        <w:gridCol w:w="2575"/>
      </w:tblGrid>
      <w:tr w14:paraId="4F60A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42" w:type="pct"/>
            <w:shd w:val="clear" w:color="auto" w:fill="DDD9C4"/>
            <w:noWrap w:val="0"/>
            <w:vAlign w:val="center"/>
          </w:tcPr>
          <w:p w14:paraId="79A8AA0B">
            <w:pPr>
              <w:keepNext w:val="0"/>
              <w:keepLines w:val="0"/>
              <w:suppressLineNumbers w:val="0"/>
              <w:adjustRightInd w:val="0"/>
              <w:snapToGrid w:val="0"/>
              <w:spacing w:before="0" w:beforeAutospacing="0" w:after="0" w:afterAutospacing="0"/>
              <w:ind w:left="0" w:right="0"/>
              <w:jc w:val="center"/>
              <w:rPr>
                <w:rFonts w:hint="default" w:hAnsi="宋体" w:cs="宋体"/>
                <w:b/>
                <w:color w:val="auto"/>
                <w:sz w:val="24"/>
                <w:szCs w:val="24"/>
              </w:rPr>
            </w:pPr>
            <w:r>
              <w:rPr>
                <w:rFonts w:hint="eastAsia" w:hAnsi="宋体" w:cs="宋体"/>
                <w:b/>
                <w:color w:val="auto"/>
                <w:sz w:val="24"/>
                <w:szCs w:val="24"/>
              </w:rPr>
              <w:t>序号</w:t>
            </w:r>
          </w:p>
        </w:tc>
        <w:tc>
          <w:tcPr>
            <w:tcW w:w="1062" w:type="pct"/>
            <w:shd w:val="clear" w:color="auto" w:fill="DDD9C4"/>
            <w:noWrap w:val="0"/>
            <w:vAlign w:val="center"/>
          </w:tcPr>
          <w:p w14:paraId="42E6DE07">
            <w:pPr>
              <w:keepNext w:val="0"/>
              <w:keepLines w:val="0"/>
              <w:suppressLineNumbers w:val="0"/>
              <w:spacing w:before="0" w:beforeAutospacing="0" w:after="0" w:afterAutospacing="0"/>
              <w:ind w:left="0" w:right="0"/>
              <w:jc w:val="center"/>
              <w:rPr>
                <w:rFonts w:hint="default" w:hAnsi="宋体" w:cs="宋体"/>
                <w:b/>
                <w:color w:val="auto"/>
                <w:sz w:val="24"/>
                <w:szCs w:val="24"/>
              </w:rPr>
            </w:pPr>
            <w:r>
              <w:rPr>
                <w:rFonts w:hint="eastAsia" w:hAnsi="宋体" w:cs="宋体"/>
                <w:b/>
                <w:color w:val="auto"/>
                <w:sz w:val="24"/>
                <w:szCs w:val="24"/>
              </w:rPr>
              <w:t>采购单位名称</w:t>
            </w:r>
          </w:p>
        </w:tc>
        <w:tc>
          <w:tcPr>
            <w:tcW w:w="731" w:type="pct"/>
            <w:shd w:val="clear" w:color="auto" w:fill="DDD9C4"/>
            <w:noWrap w:val="0"/>
            <w:vAlign w:val="center"/>
          </w:tcPr>
          <w:p w14:paraId="1E9453A4">
            <w:pPr>
              <w:keepNext w:val="0"/>
              <w:keepLines w:val="0"/>
              <w:suppressLineNumbers w:val="0"/>
              <w:spacing w:before="0" w:beforeAutospacing="0" w:after="0" w:afterAutospacing="0"/>
              <w:ind w:left="0" w:right="0"/>
              <w:jc w:val="center"/>
              <w:rPr>
                <w:rFonts w:hint="default" w:hAnsi="宋体" w:cs="宋体"/>
                <w:b/>
                <w:color w:val="auto"/>
                <w:sz w:val="24"/>
                <w:szCs w:val="24"/>
              </w:rPr>
            </w:pPr>
            <w:r>
              <w:rPr>
                <w:rFonts w:hint="eastAsia" w:hAnsi="宋体" w:cs="宋体"/>
                <w:b/>
                <w:color w:val="auto"/>
                <w:sz w:val="24"/>
                <w:szCs w:val="24"/>
              </w:rPr>
              <w:t>合同名称</w:t>
            </w:r>
          </w:p>
        </w:tc>
        <w:tc>
          <w:tcPr>
            <w:tcW w:w="1062" w:type="pct"/>
            <w:shd w:val="clear" w:color="auto" w:fill="DDD9C4"/>
            <w:noWrap w:val="0"/>
            <w:vAlign w:val="center"/>
          </w:tcPr>
          <w:p w14:paraId="599F0785">
            <w:pPr>
              <w:keepNext w:val="0"/>
              <w:keepLines w:val="0"/>
              <w:suppressLineNumbers w:val="0"/>
              <w:spacing w:before="0" w:beforeAutospacing="0" w:after="0" w:afterAutospacing="0"/>
              <w:ind w:left="0" w:right="0"/>
              <w:jc w:val="center"/>
              <w:rPr>
                <w:rFonts w:hint="default" w:hAnsi="宋体" w:cs="宋体"/>
                <w:b/>
                <w:color w:val="auto"/>
                <w:sz w:val="24"/>
                <w:szCs w:val="24"/>
              </w:rPr>
            </w:pPr>
            <w:r>
              <w:rPr>
                <w:rFonts w:hint="eastAsia" w:hAnsi="宋体" w:cs="宋体"/>
                <w:b/>
                <w:color w:val="auto"/>
                <w:sz w:val="24"/>
                <w:szCs w:val="24"/>
              </w:rPr>
              <w:t>合同起止时间</w:t>
            </w:r>
          </w:p>
        </w:tc>
        <w:tc>
          <w:tcPr>
            <w:tcW w:w="1401" w:type="pct"/>
            <w:shd w:val="clear" w:color="auto" w:fill="DDD9C4"/>
            <w:noWrap w:val="0"/>
            <w:vAlign w:val="center"/>
          </w:tcPr>
          <w:p w14:paraId="557FDBB6">
            <w:pPr>
              <w:keepNext w:val="0"/>
              <w:keepLines w:val="0"/>
              <w:suppressLineNumbers w:val="0"/>
              <w:spacing w:before="0" w:beforeAutospacing="0" w:after="0" w:afterAutospacing="0"/>
              <w:ind w:left="0" w:right="0"/>
              <w:jc w:val="center"/>
              <w:rPr>
                <w:rFonts w:hint="default" w:hAnsi="宋体" w:cs="宋体"/>
                <w:b/>
                <w:color w:val="auto"/>
                <w:sz w:val="24"/>
                <w:szCs w:val="24"/>
              </w:rPr>
            </w:pPr>
            <w:r>
              <w:rPr>
                <w:rFonts w:hint="eastAsia" w:hAnsi="宋体" w:cs="宋体"/>
                <w:b/>
                <w:color w:val="auto"/>
                <w:sz w:val="24"/>
                <w:szCs w:val="24"/>
              </w:rPr>
              <w:t>合同金额（万元）</w:t>
            </w:r>
          </w:p>
        </w:tc>
      </w:tr>
      <w:tr w14:paraId="69BE9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42" w:type="pct"/>
            <w:noWrap w:val="0"/>
            <w:vAlign w:val="center"/>
          </w:tcPr>
          <w:p w14:paraId="6984C463">
            <w:pPr>
              <w:keepNext w:val="0"/>
              <w:keepLines w:val="0"/>
              <w:suppressLineNumbers w:val="0"/>
              <w:spacing w:before="0" w:beforeAutospacing="0" w:after="0" w:afterAutospacing="0"/>
              <w:ind w:left="0" w:right="0"/>
              <w:jc w:val="center"/>
              <w:rPr>
                <w:rFonts w:hint="default" w:hAnsi="宋体" w:cs="宋体"/>
                <w:bCs/>
                <w:color w:val="auto"/>
                <w:sz w:val="24"/>
                <w:szCs w:val="24"/>
              </w:rPr>
            </w:pPr>
            <w:r>
              <w:rPr>
                <w:rFonts w:hint="eastAsia" w:hAnsi="宋体" w:cs="宋体"/>
                <w:bCs/>
                <w:color w:val="auto"/>
                <w:sz w:val="24"/>
                <w:szCs w:val="24"/>
              </w:rPr>
              <w:t>1</w:t>
            </w:r>
          </w:p>
        </w:tc>
        <w:tc>
          <w:tcPr>
            <w:tcW w:w="1062" w:type="pct"/>
            <w:noWrap w:val="0"/>
            <w:vAlign w:val="center"/>
          </w:tcPr>
          <w:p w14:paraId="1E15FD3F">
            <w:pPr>
              <w:keepNext w:val="0"/>
              <w:keepLines w:val="0"/>
              <w:suppressLineNumbers w:val="0"/>
              <w:spacing w:before="0" w:beforeAutospacing="0" w:after="0" w:afterAutospacing="0" w:line="500" w:lineRule="exact"/>
              <w:ind w:left="0" w:right="0"/>
              <w:jc w:val="center"/>
              <w:rPr>
                <w:rFonts w:hint="default" w:hAnsi="宋体" w:cs="宋体"/>
                <w:bCs/>
                <w:color w:val="auto"/>
                <w:sz w:val="24"/>
                <w:szCs w:val="24"/>
              </w:rPr>
            </w:pPr>
          </w:p>
        </w:tc>
        <w:tc>
          <w:tcPr>
            <w:tcW w:w="731" w:type="pct"/>
            <w:noWrap w:val="0"/>
            <w:vAlign w:val="center"/>
          </w:tcPr>
          <w:p w14:paraId="3603E582">
            <w:pPr>
              <w:keepNext w:val="0"/>
              <w:keepLines w:val="0"/>
              <w:suppressLineNumbers w:val="0"/>
              <w:spacing w:before="0" w:beforeAutospacing="0" w:after="0" w:afterAutospacing="0" w:line="500" w:lineRule="exact"/>
              <w:ind w:left="0" w:right="0"/>
              <w:jc w:val="center"/>
              <w:rPr>
                <w:rFonts w:hint="default" w:hAnsi="宋体" w:cs="宋体"/>
                <w:bCs/>
                <w:color w:val="auto"/>
                <w:sz w:val="24"/>
                <w:szCs w:val="24"/>
              </w:rPr>
            </w:pPr>
          </w:p>
        </w:tc>
        <w:tc>
          <w:tcPr>
            <w:tcW w:w="1062" w:type="pct"/>
            <w:noWrap w:val="0"/>
            <w:vAlign w:val="center"/>
          </w:tcPr>
          <w:p w14:paraId="1B94A455">
            <w:pPr>
              <w:keepNext w:val="0"/>
              <w:keepLines w:val="0"/>
              <w:suppressLineNumbers w:val="0"/>
              <w:spacing w:before="0" w:beforeAutospacing="0" w:after="0" w:afterAutospacing="0" w:line="500" w:lineRule="exact"/>
              <w:ind w:left="0" w:right="0"/>
              <w:jc w:val="center"/>
              <w:rPr>
                <w:rFonts w:hint="default" w:hAnsi="宋体" w:cs="宋体"/>
                <w:bCs/>
                <w:color w:val="auto"/>
                <w:sz w:val="24"/>
                <w:szCs w:val="24"/>
              </w:rPr>
            </w:pPr>
          </w:p>
        </w:tc>
        <w:tc>
          <w:tcPr>
            <w:tcW w:w="1401" w:type="pct"/>
            <w:noWrap w:val="0"/>
            <w:vAlign w:val="center"/>
          </w:tcPr>
          <w:p w14:paraId="663EAE49">
            <w:pPr>
              <w:keepNext w:val="0"/>
              <w:keepLines w:val="0"/>
              <w:suppressLineNumbers w:val="0"/>
              <w:spacing w:before="0" w:beforeAutospacing="0" w:after="0" w:afterAutospacing="0" w:line="500" w:lineRule="exact"/>
              <w:ind w:left="0" w:right="0"/>
              <w:jc w:val="center"/>
              <w:rPr>
                <w:rFonts w:hint="default" w:hAnsi="宋体" w:cs="宋体"/>
                <w:bCs/>
                <w:color w:val="auto"/>
                <w:sz w:val="24"/>
                <w:szCs w:val="24"/>
              </w:rPr>
            </w:pPr>
          </w:p>
        </w:tc>
      </w:tr>
      <w:tr w14:paraId="6A212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42" w:type="pct"/>
            <w:noWrap w:val="0"/>
            <w:vAlign w:val="center"/>
          </w:tcPr>
          <w:p w14:paraId="6164B88E">
            <w:pPr>
              <w:keepNext w:val="0"/>
              <w:keepLines w:val="0"/>
              <w:suppressLineNumbers w:val="0"/>
              <w:spacing w:before="0" w:beforeAutospacing="0" w:after="0" w:afterAutospacing="0"/>
              <w:ind w:left="0" w:right="0"/>
              <w:jc w:val="center"/>
              <w:rPr>
                <w:rFonts w:hint="default" w:hAnsi="宋体" w:cs="宋体"/>
                <w:bCs/>
                <w:color w:val="auto"/>
                <w:sz w:val="24"/>
                <w:szCs w:val="24"/>
              </w:rPr>
            </w:pPr>
            <w:r>
              <w:rPr>
                <w:rFonts w:hint="eastAsia" w:hAnsi="宋体" w:cs="宋体"/>
                <w:bCs/>
                <w:color w:val="auto"/>
                <w:sz w:val="24"/>
                <w:szCs w:val="24"/>
              </w:rPr>
              <w:t>2</w:t>
            </w:r>
          </w:p>
        </w:tc>
        <w:tc>
          <w:tcPr>
            <w:tcW w:w="1062" w:type="pct"/>
            <w:noWrap w:val="0"/>
            <w:vAlign w:val="center"/>
          </w:tcPr>
          <w:p w14:paraId="58192E26">
            <w:pPr>
              <w:keepNext w:val="0"/>
              <w:keepLines w:val="0"/>
              <w:suppressLineNumbers w:val="0"/>
              <w:spacing w:before="0" w:beforeAutospacing="0" w:after="0" w:afterAutospacing="0" w:line="500" w:lineRule="exact"/>
              <w:ind w:left="0" w:right="0"/>
              <w:jc w:val="center"/>
              <w:rPr>
                <w:rFonts w:hint="default" w:hAnsi="宋体" w:cs="宋体"/>
                <w:bCs/>
                <w:color w:val="auto"/>
                <w:sz w:val="24"/>
                <w:szCs w:val="24"/>
              </w:rPr>
            </w:pPr>
          </w:p>
        </w:tc>
        <w:tc>
          <w:tcPr>
            <w:tcW w:w="731" w:type="pct"/>
            <w:noWrap w:val="0"/>
            <w:vAlign w:val="center"/>
          </w:tcPr>
          <w:p w14:paraId="39D4C717">
            <w:pPr>
              <w:keepNext w:val="0"/>
              <w:keepLines w:val="0"/>
              <w:suppressLineNumbers w:val="0"/>
              <w:spacing w:before="0" w:beforeAutospacing="0" w:after="0" w:afterAutospacing="0" w:line="500" w:lineRule="exact"/>
              <w:ind w:left="0" w:right="0"/>
              <w:jc w:val="center"/>
              <w:rPr>
                <w:rFonts w:hint="default" w:hAnsi="宋体" w:cs="宋体"/>
                <w:bCs/>
                <w:color w:val="auto"/>
                <w:sz w:val="24"/>
                <w:szCs w:val="24"/>
              </w:rPr>
            </w:pPr>
          </w:p>
        </w:tc>
        <w:tc>
          <w:tcPr>
            <w:tcW w:w="1062" w:type="pct"/>
            <w:noWrap w:val="0"/>
            <w:vAlign w:val="center"/>
          </w:tcPr>
          <w:p w14:paraId="7C88DFC3">
            <w:pPr>
              <w:keepNext w:val="0"/>
              <w:keepLines w:val="0"/>
              <w:suppressLineNumbers w:val="0"/>
              <w:spacing w:before="0" w:beforeAutospacing="0" w:after="0" w:afterAutospacing="0" w:line="500" w:lineRule="exact"/>
              <w:ind w:left="0" w:right="0"/>
              <w:jc w:val="center"/>
              <w:rPr>
                <w:rFonts w:hint="default" w:hAnsi="宋体" w:cs="宋体"/>
                <w:bCs/>
                <w:color w:val="auto"/>
                <w:sz w:val="24"/>
                <w:szCs w:val="24"/>
              </w:rPr>
            </w:pPr>
          </w:p>
        </w:tc>
        <w:tc>
          <w:tcPr>
            <w:tcW w:w="1401" w:type="pct"/>
            <w:noWrap w:val="0"/>
            <w:vAlign w:val="center"/>
          </w:tcPr>
          <w:p w14:paraId="42624459">
            <w:pPr>
              <w:keepNext w:val="0"/>
              <w:keepLines w:val="0"/>
              <w:suppressLineNumbers w:val="0"/>
              <w:spacing w:before="0" w:beforeAutospacing="0" w:after="0" w:afterAutospacing="0" w:line="500" w:lineRule="exact"/>
              <w:ind w:left="0" w:right="0"/>
              <w:jc w:val="center"/>
              <w:rPr>
                <w:rFonts w:hint="default" w:hAnsi="宋体" w:cs="宋体"/>
                <w:bCs/>
                <w:color w:val="auto"/>
                <w:sz w:val="24"/>
                <w:szCs w:val="24"/>
              </w:rPr>
            </w:pPr>
          </w:p>
        </w:tc>
      </w:tr>
      <w:tr w14:paraId="3A3B6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42" w:type="pct"/>
            <w:noWrap w:val="0"/>
            <w:vAlign w:val="center"/>
          </w:tcPr>
          <w:p w14:paraId="14C95BCD">
            <w:pPr>
              <w:keepNext w:val="0"/>
              <w:keepLines w:val="0"/>
              <w:suppressLineNumbers w:val="0"/>
              <w:spacing w:before="0" w:beforeAutospacing="0" w:after="0" w:afterAutospacing="0"/>
              <w:ind w:left="0" w:right="0"/>
              <w:jc w:val="center"/>
              <w:rPr>
                <w:rFonts w:hint="default" w:hAnsi="宋体" w:cs="宋体"/>
                <w:bCs/>
                <w:color w:val="auto"/>
                <w:sz w:val="24"/>
                <w:szCs w:val="24"/>
              </w:rPr>
            </w:pPr>
            <w:r>
              <w:rPr>
                <w:rFonts w:hint="eastAsia" w:hAnsi="宋体" w:cs="宋体"/>
                <w:bCs/>
                <w:color w:val="auto"/>
                <w:sz w:val="24"/>
                <w:szCs w:val="24"/>
              </w:rPr>
              <w:t>……</w:t>
            </w:r>
          </w:p>
        </w:tc>
        <w:tc>
          <w:tcPr>
            <w:tcW w:w="1062" w:type="pct"/>
            <w:noWrap w:val="0"/>
            <w:vAlign w:val="center"/>
          </w:tcPr>
          <w:p w14:paraId="56B45A9B">
            <w:pPr>
              <w:keepNext w:val="0"/>
              <w:keepLines w:val="0"/>
              <w:suppressLineNumbers w:val="0"/>
              <w:spacing w:before="0" w:beforeAutospacing="0" w:after="0" w:afterAutospacing="0" w:line="500" w:lineRule="exact"/>
              <w:ind w:left="0" w:right="0"/>
              <w:jc w:val="center"/>
              <w:rPr>
                <w:rFonts w:hint="default" w:hAnsi="宋体" w:cs="宋体"/>
                <w:bCs/>
                <w:color w:val="auto"/>
                <w:sz w:val="24"/>
                <w:szCs w:val="24"/>
              </w:rPr>
            </w:pPr>
          </w:p>
        </w:tc>
        <w:tc>
          <w:tcPr>
            <w:tcW w:w="731" w:type="pct"/>
            <w:noWrap w:val="0"/>
            <w:vAlign w:val="center"/>
          </w:tcPr>
          <w:p w14:paraId="73308DCF">
            <w:pPr>
              <w:keepNext w:val="0"/>
              <w:keepLines w:val="0"/>
              <w:suppressLineNumbers w:val="0"/>
              <w:spacing w:before="0" w:beforeAutospacing="0" w:after="0" w:afterAutospacing="0" w:line="500" w:lineRule="exact"/>
              <w:ind w:left="0" w:right="0"/>
              <w:jc w:val="center"/>
              <w:rPr>
                <w:rFonts w:hint="default" w:hAnsi="宋体" w:cs="宋体"/>
                <w:bCs/>
                <w:color w:val="auto"/>
                <w:sz w:val="24"/>
                <w:szCs w:val="24"/>
              </w:rPr>
            </w:pPr>
          </w:p>
        </w:tc>
        <w:tc>
          <w:tcPr>
            <w:tcW w:w="1062" w:type="pct"/>
            <w:noWrap w:val="0"/>
            <w:vAlign w:val="center"/>
          </w:tcPr>
          <w:p w14:paraId="2020258D">
            <w:pPr>
              <w:keepNext w:val="0"/>
              <w:keepLines w:val="0"/>
              <w:suppressLineNumbers w:val="0"/>
              <w:spacing w:before="0" w:beforeAutospacing="0" w:after="0" w:afterAutospacing="0" w:line="500" w:lineRule="exact"/>
              <w:ind w:left="0" w:right="0"/>
              <w:jc w:val="center"/>
              <w:rPr>
                <w:rFonts w:hint="default" w:hAnsi="宋体" w:cs="宋体"/>
                <w:bCs/>
                <w:color w:val="auto"/>
                <w:sz w:val="24"/>
                <w:szCs w:val="24"/>
              </w:rPr>
            </w:pPr>
          </w:p>
        </w:tc>
        <w:tc>
          <w:tcPr>
            <w:tcW w:w="1401" w:type="pct"/>
            <w:noWrap w:val="0"/>
            <w:vAlign w:val="center"/>
          </w:tcPr>
          <w:p w14:paraId="4BF59531">
            <w:pPr>
              <w:keepNext w:val="0"/>
              <w:keepLines w:val="0"/>
              <w:suppressLineNumbers w:val="0"/>
              <w:spacing w:before="0" w:beforeAutospacing="0" w:after="0" w:afterAutospacing="0" w:line="500" w:lineRule="exact"/>
              <w:ind w:left="0" w:right="0"/>
              <w:jc w:val="center"/>
              <w:rPr>
                <w:rFonts w:hint="default" w:hAnsi="宋体" w:cs="宋体"/>
                <w:bCs/>
                <w:color w:val="auto"/>
                <w:sz w:val="24"/>
                <w:szCs w:val="24"/>
              </w:rPr>
            </w:pPr>
          </w:p>
        </w:tc>
      </w:tr>
      <w:tr w14:paraId="46C60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000" w:type="pct"/>
            <w:gridSpan w:val="5"/>
            <w:noWrap w:val="0"/>
            <w:vAlign w:val="center"/>
          </w:tcPr>
          <w:p w14:paraId="068F35FE">
            <w:pPr>
              <w:keepNext w:val="0"/>
              <w:keepLines w:val="0"/>
              <w:suppressLineNumbers w:val="0"/>
              <w:spacing w:before="0" w:beforeAutospacing="0" w:after="0" w:afterAutospacing="0"/>
              <w:ind w:left="0" w:right="0"/>
              <w:jc w:val="left"/>
              <w:rPr>
                <w:rFonts w:hint="default" w:hAnsi="宋体" w:cs="宋体"/>
                <w:b/>
                <w:color w:val="auto"/>
                <w:sz w:val="24"/>
                <w:szCs w:val="24"/>
              </w:rPr>
            </w:pPr>
            <w:r>
              <w:rPr>
                <w:rFonts w:hint="eastAsia" w:hAnsi="宋体" w:cs="宋体"/>
                <w:b/>
                <w:color w:val="auto"/>
                <w:sz w:val="24"/>
                <w:szCs w:val="24"/>
              </w:rPr>
              <w:t>数量合计（个）：</w:t>
            </w:r>
          </w:p>
        </w:tc>
      </w:tr>
    </w:tbl>
    <w:p w14:paraId="7B9183EE">
      <w:pPr>
        <w:pStyle w:val="19"/>
        <w:spacing w:line="500" w:lineRule="exact"/>
        <w:rPr>
          <w:rFonts w:ascii="宋体" w:hAnsi="宋体" w:cs="宋体"/>
          <w:color w:val="auto"/>
          <w:sz w:val="21"/>
          <w:szCs w:val="21"/>
        </w:rPr>
      </w:pPr>
    </w:p>
    <w:p w14:paraId="336263BD">
      <w:pPr>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eastAsia="zh-CN"/>
        </w:rPr>
        <w:t>五、</w:t>
      </w:r>
      <w:r>
        <w:rPr>
          <w:rFonts w:hint="eastAsia" w:ascii="宋体" w:hAnsi="宋体" w:eastAsia="宋体" w:cs="宋体"/>
          <w:b/>
          <w:color w:val="auto"/>
          <w:sz w:val="28"/>
          <w:szCs w:val="28"/>
        </w:rPr>
        <w:t>投标人认为有利于中标的其他情况说明</w:t>
      </w:r>
    </w:p>
    <w:p w14:paraId="3EE657CC">
      <w:pPr>
        <w:pStyle w:val="9"/>
        <w:numPr>
          <w:ilvl w:val="0"/>
          <w:numId w:val="0"/>
        </w:numPr>
        <w:rPr>
          <w:color w:val="auto"/>
        </w:rPr>
      </w:pPr>
    </w:p>
    <w:p w14:paraId="6D9D9678">
      <w:pPr>
        <w:rPr>
          <w:color w:val="auto"/>
        </w:rPr>
      </w:pPr>
    </w:p>
    <w:p w14:paraId="4F07A683">
      <w:pPr>
        <w:pStyle w:val="3"/>
        <w:rPr>
          <w:color w:val="auto"/>
        </w:rPr>
      </w:pPr>
    </w:p>
    <w:p w14:paraId="06580B4E">
      <w:pPr>
        <w:rPr>
          <w:color w:val="auto"/>
        </w:rPr>
      </w:pPr>
    </w:p>
    <w:p w14:paraId="1FF93734">
      <w:pPr>
        <w:pStyle w:val="3"/>
        <w:rPr>
          <w:color w:val="auto"/>
        </w:rPr>
      </w:pPr>
    </w:p>
    <w:p w14:paraId="038E450D">
      <w:pPr>
        <w:rPr>
          <w:color w:val="auto"/>
        </w:rPr>
      </w:pPr>
    </w:p>
    <w:p w14:paraId="68FB551F">
      <w:pPr>
        <w:pStyle w:val="3"/>
        <w:rPr>
          <w:color w:val="auto"/>
        </w:rPr>
      </w:pPr>
    </w:p>
    <w:p w14:paraId="5FAC4B31">
      <w:pPr>
        <w:rPr>
          <w:color w:val="auto"/>
        </w:rPr>
      </w:pPr>
    </w:p>
    <w:p w14:paraId="4F6AB4E7">
      <w:pPr>
        <w:pStyle w:val="3"/>
        <w:rPr>
          <w:color w:val="auto"/>
        </w:rPr>
      </w:pPr>
    </w:p>
    <w:p w14:paraId="1CEF670A">
      <w:pPr>
        <w:rPr>
          <w:color w:val="auto"/>
        </w:rPr>
      </w:pPr>
    </w:p>
    <w:p w14:paraId="36745670">
      <w:pPr>
        <w:pStyle w:val="3"/>
        <w:rPr>
          <w:color w:val="auto"/>
        </w:rPr>
      </w:pPr>
    </w:p>
    <w:p w14:paraId="21A57BA5">
      <w:pPr>
        <w:rPr>
          <w:color w:val="auto"/>
        </w:rPr>
      </w:pPr>
    </w:p>
    <w:p w14:paraId="042BE96A">
      <w:pPr>
        <w:pStyle w:val="3"/>
      </w:pPr>
    </w:p>
    <w:p w14:paraId="108A8F8B">
      <w:pPr>
        <w:rPr>
          <w:color w:val="auto"/>
        </w:rPr>
      </w:pPr>
    </w:p>
    <w:p w14:paraId="493553E8">
      <w:pPr>
        <w:pStyle w:val="9"/>
        <w:rPr>
          <w:color w:val="auto"/>
        </w:rPr>
      </w:pPr>
    </w:p>
    <w:p w14:paraId="20558EC0">
      <w:pPr>
        <w:rPr>
          <w:color w:val="auto"/>
        </w:rPr>
      </w:pPr>
    </w:p>
    <w:p w14:paraId="30F068B8">
      <w:pPr>
        <w:pStyle w:val="9"/>
        <w:rPr>
          <w:color w:val="auto"/>
        </w:rPr>
      </w:pPr>
    </w:p>
    <w:p w14:paraId="6BD9CADA">
      <w:pPr>
        <w:rPr>
          <w:color w:val="auto"/>
        </w:rPr>
      </w:pPr>
    </w:p>
    <w:p w14:paraId="6916FFDA">
      <w:pPr>
        <w:pStyle w:val="9"/>
        <w:rPr>
          <w:color w:val="auto"/>
        </w:rPr>
      </w:pPr>
    </w:p>
    <w:p w14:paraId="02985FC2">
      <w:pPr>
        <w:rPr>
          <w:color w:val="auto"/>
        </w:rPr>
      </w:pPr>
    </w:p>
    <w:p w14:paraId="20B7C812">
      <w:pPr>
        <w:spacing w:line="360" w:lineRule="auto"/>
        <w:jc w:val="both"/>
      </w:pPr>
      <w:r>
        <w:drawing>
          <wp:inline distT="0" distB="0" distL="114300" distR="114300">
            <wp:extent cx="6110605" cy="3481070"/>
            <wp:effectExtent l="0" t="0" r="4445" b="508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2"/>
                    <a:stretch>
                      <a:fillRect/>
                    </a:stretch>
                  </pic:blipFill>
                  <pic:spPr>
                    <a:xfrm>
                      <a:off x="0" y="0"/>
                      <a:ext cx="6110605" cy="3481070"/>
                    </a:xfrm>
                    <a:prstGeom prst="rect">
                      <a:avLst/>
                    </a:prstGeom>
                    <a:noFill/>
                    <a:ln>
                      <a:noFill/>
                    </a:ln>
                  </pic:spPr>
                </pic:pic>
              </a:graphicData>
            </a:graphic>
          </wp:inline>
        </w:drawing>
      </w:r>
    </w:p>
    <w:p w14:paraId="549A2BA2">
      <w:pPr>
        <w:spacing w:line="360" w:lineRule="auto"/>
        <w:jc w:val="both"/>
      </w:pPr>
    </w:p>
    <w:p w14:paraId="355D3461">
      <w:pPr>
        <w:spacing w:line="360" w:lineRule="auto"/>
        <w:jc w:val="both"/>
      </w:pPr>
      <w:r>
        <w:drawing>
          <wp:inline distT="0" distB="0" distL="114300" distR="114300">
            <wp:extent cx="6172200" cy="3448685"/>
            <wp:effectExtent l="0" t="0" r="0" b="1841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3"/>
                    <a:stretch>
                      <a:fillRect/>
                    </a:stretch>
                  </pic:blipFill>
                  <pic:spPr>
                    <a:xfrm>
                      <a:off x="0" y="0"/>
                      <a:ext cx="6172200" cy="3448685"/>
                    </a:xfrm>
                    <a:prstGeom prst="rect">
                      <a:avLst/>
                    </a:prstGeom>
                    <a:noFill/>
                    <a:ln>
                      <a:noFill/>
                    </a:ln>
                  </pic:spPr>
                </pic:pic>
              </a:graphicData>
            </a:graphic>
          </wp:inline>
        </w:drawing>
      </w:r>
      <w:r>
        <w:drawing>
          <wp:inline distT="0" distB="0" distL="114300" distR="114300">
            <wp:extent cx="5977255" cy="3370580"/>
            <wp:effectExtent l="0" t="0" r="4445" b="127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14"/>
                    <a:stretch>
                      <a:fillRect/>
                    </a:stretch>
                  </pic:blipFill>
                  <pic:spPr>
                    <a:xfrm>
                      <a:off x="0" y="0"/>
                      <a:ext cx="5977255" cy="3370580"/>
                    </a:xfrm>
                    <a:prstGeom prst="rect">
                      <a:avLst/>
                    </a:prstGeom>
                    <a:noFill/>
                    <a:ln>
                      <a:noFill/>
                    </a:ln>
                  </pic:spPr>
                </pic:pic>
              </a:graphicData>
            </a:graphic>
          </wp:inline>
        </w:drawing>
      </w:r>
    </w:p>
    <w:p w14:paraId="37B13D5B">
      <w:pPr>
        <w:spacing w:line="360" w:lineRule="auto"/>
        <w:jc w:val="both"/>
      </w:pPr>
    </w:p>
    <w:p w14:paraId="7284AA09">
      <w:pPr>
        <w:spacing w:line="360" w:lineRule="auto"/>
        <w:jc w:val="both"/>
      </w:pPr>
      <w:r>
        <w:drawing>
          <wp:inline distT="0" distB="0" distL="114300" distR="114300">
            <wp:extent cx="5993130" cy="3397250"/>
            <wp:effectExtent l="0" t="0" r="7620" b="12700"/>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pic:cNvPicPr>
                      <a:picLocks noChangeAspect="1"/>
                    </pic:cNvPicPr>
                  </pic:nvPicPr>
                  <pic:blipFill>
                    <a:blip r:embed="rId15"/>
                    <a:stretch>
                      <a:fillRect/>
                    </a:stretch>
                  </pic:blipFill>
                  <pic:spPr>
                    <a:xfrm>
                      <a:off x="0" y="0"/>
                      <a:ext cx="5993130" cy="3397250"/>
                    </a:xfrm>
                    <a:prstGeom prst="rect">
                      <a:avLst/>
                    </a:prstGeom>
                    <a:noFill/>
                    <a:ln>
                      <a:noFill/>
                    </a:ln>
                  </pic:spPr>
                </pic:pic>
              </a:graphicData>
            </a:graphic>
          </wp:inline>
        </w:drawing>
      </w:r>
      <w:r>
        <w:drawing>
          <wp:inline distT="0" distB="0" distL="114300" distR="114300">
            <wp:extent cx="6019165" cy="3403600"/>
            <wp:effectExtent l="0" t="0" r="635" b="6350"/>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icPr>
                  <pic:blipFill>
                    <a:blip r:embed="rId16"/>
                    <a:stretch>
                      <a:fillRect/>
                    </a:stretch>
                  </pic:blipFill>
                  <pic:spPr>
                    <a:xfrm>
                      <a:off x="0" y="0"/>
                      <a:ext cx="6019165" cy="3403600"/>
                    </a:xfrm>
                    <a:prstGeom prst="rect">
                      <a:avLst/>
                    </a:prstGeom>
                    <a:noFill/>
                    <a:ln>
                      <a:noFill/>
                    </a:ln>
                  </pic:spPr>
                </pic:pic>
              </a:graphicData>
            </a:graphic>
          </wp:inline>
        </w:drawing>
      </w:r>
    </w:p>
    <w:p w14:paraId="35AA1085">
      <w:pPr>
        <w:spacing w:line="360" w:lineRule="auto"/>
        <w:jc w:val="both"/>
      </w:pPr>
    </w:p>
    <w:p w14:paraId="0B7DBE74">
      <w:pPr>
        <w:spacing w:line="360" w:lineRule="auto"/>
        <w:jc w:val="both"/>
      </w:pPr>
      <w:r>
        <w:drawing>
          <wp:inline distT="0" distB="0" distL="114300" distR="114300">
            <wp:extent cx="6025515" cy="3397885"/>
            <wp:effectExtent l="0" t="0" r="13335" b="12065"/>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icPr>
                  <pic:blipFill>
                    <a:blip r:embed="rId17"/>
                    <a:stretch>
                      <a:fillRect/>
                    </a:stretch>
                  </pic:blipFill>
                  <pic:spPr>
                    <a:xfrm>
                      <a:off x="0" y="0"/>
                      <a:ext cx="6025515" cy="3397885"/>
                    </a:xfrm>
                    <a:prstGeom prst="rect">
                      <a:avLst/>
                    </a:prstGeom>
                    <a:noFill/>
                    <a:ln>
                      <a:noFill/>
                    </a:ln>
                  </pic:spPr>
                </pic:pic>
              </a:graphicData>
            </a:graphic>
          </wp:inline>
        </w:drawing>
      </w:r>
      <w:r>
        <w:drawing>
          <wp:inline distT="0" distB="0" distL="114300" distR="114300">
            <wp:extent cx="6084570" cy="3452495"/>
            <wp:effectExtent l="0" t="0" r="11430" b="14605"/>
            <wp:docPr id="1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pic:cNvPicPr>
                      <a:picLocks noChangeAspect="1"/>
                    </pic:cNvPicPr>
                  </pic:nvPicPr>
                  <pic:blipFill>
                    <a:blip r:embed="rId18"/>
                    <a:stretch>
                      <a:fillRect/>
                    </a:stretch>
                  </pic:blipFill>
                  <pic:spPr>
                    <a:xfrm>
                      <a:off x="0" y="0"/>
                      <a:ext cx="6084570" cy="3452495"/>
                    </a:xfrm>
                    <a:prstGeom prst="rect">
                      <a:avLst/>
                    </a:prstGeom>
                    <a:noFill/>
                    <a:ln>
                      <a:noFill/>
                    </a:ln>
                  </pic:spPr>
                </pic:pic>
              </a:graphicData>
            </a:graphic>
          </wp:inline>
        </w:drawing>
      </w:r>
    </w:p>
    <w:p w14:paraId="1F830DF0">
      <w:pPr>
        <w:spacing w:line="360" w:lineRule="auto"/>
        <w:jc w:val="both"/>
      </w:pPr>
    </w:p>
    <w:p w14:paraId="0A2B3324">
      <w:pPr>
        <w:spacing w:line="360" w:lineRule="auto"/>
        <w:jc w:val="both"/>
      </w:pPr>
      <w:r>
        <w:drawing>
          <wp:inline distT="0" distB="0" distL="114300" distR="114300">
            <wp:extent cx="6120765" cy="3474720"/>
            <wp:effectExtent l="0" t="0" r="13335" b="11430"/>
            <wp:docPr id="1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pic:cNvPicPr>
                      <a:picLocks noChangeAspect="1"/>
                    </pic:cNvPicPr>
                  </pic:nvPicPr>
                  <pic:blipFill>
                    <a:blip r:embed="rId19"/>
                    <a:stretch>
                      <a:fillRect/>
                    </a:stretch>
                  </pic:blipFill>
                  <pic:spPr>
                    <a:xfrm>
                      <a:off x="0" y="0"/>
                      <a:ext cx="6120765" cy="3474720"/>
                    </a:xfrm>
                    <a:prstGeom prst="rect">
                      <a:avLst/>
                    </a:prstGeom>
                    <a:noFill/>
                    <a:ln>
                      <a:noFill/>
                    </a:ln>
                  </pic:spPr>
                </pic:pic>
              </a:graphicData>
            </a:graphic>
          </wp:inline>
        </w:drawing>
      </w:r>
      <w:r>
        <w:drawing>
          <wp:inline distT="0" distB="0" distL="114300" distR="114300">
            <wp:extent cx="5997575" cy="3375025"/>
            <wp:effectExtent l="0" t="0" r="3175" b="15875"/>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icPr>
                  <pic:blipFill>
                    <a:blip r:embed="rId20"/>
                    <a:stretch>
                      <a:fillRect/>
                    </a:stretch>
                  </pic:blipFill>
                  <pic:spPr>
                    <a:xfrm>
                      <a:off x="0" y="0"/>
                      <a:ext cx="5997575" cy="3375025"/>
                    </a:xfrm>
                    <a:prstGeom prst="rect">
                      <a:avLst/>
                    </a:prstGeom>
                    <a:noFill/>
                    <a:ln>
                      <a:noFill/>
                    </a:ln>
                  </pic:spPr>
                </pic:pic>
              </a:graphicData>
            </a:graphic>
          </wp:inline>
        </w:drawing>
      </w:r>
    </w:p>
    <w:p w14:paraId="455BD428">
      <w:pPr>
        <w:spacing w:line="360" w:lineRule="auto"/>
        <w:jc w:val="both"/>
      </w:pPr>
    </w:p>
    <w:p w14:paraId="7F9AEBBF">
      <w:pPr>
        <w:spacing w:line="360" w:lineRule="auto"/>
        <w:jc w:val="both"/>
        <w:rPr>
          <w:rFonts w:hint="eastAsia"/>
          <w:color w:val="auto"/>
          <w:sz w:val="32"/>
          <w:szCs w:val="32"/>
        </w:rPr>
      </w:pPr>
      <w:r>
        <w:drawing>
          <wp:inline distT="0" distB="0" distL="114300" distR="114300">
            <wp:extent cx="6045200" cy="3383280"/>
            <wp:effectExtent l="0" t="0" r="12700" b="7620"/>
            <wp:docPr id="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pic:cNvPicPr>
                      <a:picLocks noChangeAspect="1"/>
                    </pic:cNvPicPr>
                  </pic:nvPicPr>
                  <pic:blipFill>
                    <a:blip r:embed="rId21"/>
                    <a:stretch>
                      <a:fillRect/>
                    </a:stretch>
                  </pic:blipFill>
                  <pic:spPr>
                    <a:xfrm>
                      <a:off x="0" y="0"/>
                      <a:ext cx="6045200" cy="3383280"/>
                    </a:xfrm>
                    <a:prstGeom prst="rect">
                      <a:avLst/>
                    </a:prstGeom>
                    <a:noFill/>
                    <a:ln>
                      <a:noFill/>
                    </a:ln>
                  </pic:spPr>
                </pic:pic>
              </a:graphicData>
            </a:graphic>
          </wp:inline>
        </w:drawing>
      </w:r>
      <w:r>
        <w:drawing>
          <wp:inline distT="0" distB="0" distL="114300" distR="114300">
            <wp:extent cx="6045200" cy="3409950"/>
            <wp:effectExtent l="0" t="0" r="12700" b="0"/>
            <wp:docPr id="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1"/>
                    <pic:cNvPicPr>
                      <a:picLocks noChangeAspect="1"/>
                    </pic:cNvPicPr>
                  </pic:nvPicPr>
                  <pic:blipFill>
                    <a:blip r:embed="rId22"/>
                    <a:stretch>
                      <a:fillRect/>
                    </a:stretch>
                  </pic:blipFill>
                  <pic:spPr>
                    <a:xfrm>
                      <a:off x="0" y="0"/>
                      <a:ext cx="6045200" cy="3409950"/>
                    </a:xfrm>
                    <a:prstGeom prst="rect">
                      <a:avLst/>
                    </a:prstGeom>
                    <a:noFill/>
                    <a:ln>
                      <a:noFill/>
                    </a:ln>
                  </pic:spPr>
                </pic:pic>
              </a:graphicData>
            </a:graphic>
          </wp:inline>
        </w:drawing>
      </w:r>
    </w:p>
    <w:p w14:paraId="735D5EFE">
      <w:pPr>
        <w:pStyle w:val="15"/>
        <w:rPr>
          <w:rFonts w:hint="eastAsia"/>
          <w:b/>
          <w:bCs/>
        </w:rPr>
      </w:pPr>
    </w:p>
    <w:p w14:paraId="0213B5A9">
      <w:pPr>
        <w:pStyle w:val="15"/>
        <w:rPr>
          <w:rFonts w:hint="eastAsia"/>
          <w:b/>
          <w:bCs/>
        </w:rPr>
      </w:pPr>
    </w:p>
    <w:p w14:paraId="3A1537BA">
      <w:pPr>
        <w:pStyle w:val="9"/>
        <w:rPr>
          <w:color w:val="auto"/>
        </w:rPr>
      </w:pPr>
    </w:p>
    <w:p w14:paraId="6FAA6BA1">
      <w:pPr>
        <w:rPr>
          <w:color w:val="auto"/>
        </w:rPr>
      </w:pPr>
    </w:p>
    <w:p w14:paraId="08AD0117">
      <w:pPr>
        <w:pStyle w:val="9"/>
        <w:rPr>
          <w:color w:val="auto"/>
        </w:rPr>
      </w:pPr>
    </w:p>
    <w:p w14:paraId="52F696F1">
      <w:pPr>
        <w:rPr>
          <w:color w:val="auto"/>
        </w:rPr>
      </w:pPr>
    </w:p>
    <w:p w14:paraId="5F4D97F9">
      <w:pPr>
        <w:pStyle w:val="9"/>
        <w:rPr>
          <w:color w:val="auto"/>
        </w:rPr>
      </w:pPr>
    </w:p>
    <w:p w14:paraId="74DE54A4">
      <w:pPr>
        <w:rPr>
          <w:color w:val="auto"/>
        </w:rPr>
      </w:pPr>
    </w:p>
    <w:p w14:paraId="5F0F0FF6">
      <w:pPr>
        <w:pStyle w:val="9"/>
        <w:rPr>
          <w:color w:val="auto"/>
        </w:rPr>
      </w:pPr>
    </w:p>
    <w:p w14:paraId="04EE1FB5">
      <w:pPr>
        <w:rPr>
          <w:color w:val="auto"/>
        </w:rPr>
      </w:pPr>
    </w:p>
    <w:p w14:paraId="69DE0BE9">
      <w:pPr>
        <w:pStyle w:val="9"/>
        <w:rPr>
          <w:color w:val="auto"/>
        </w:rPr>
      </w:pPr>
    </w:p>
    <w:p w14:paraId="357297A5">
      <w:pPr>
        <w:rPr>
          <w:color w:val="auto"/>
        </w:rPr>
      </w:pPr>
    </w:p>
    <w:p w14:paraId="46DD5730">
      <w:pPr>
        <w:pStyle w:val="9"/>
        <w:jc w:val="center"/>
        <w:rPr>
          <w:rFonts w:hint="default" w:eastAsia="宋体"/>
          <w:color w:val="auto"/>
          <w:lang w:val="en-US" w:eastAsia="zh-CN"/>
        </w:rPr>
      </w:pPr>
      <w:r>
        <w:rPr>
          <w:rFonts w:hint="eastAsia"/>
          <w:color w:val="auto"/>
          <w:sz w:val="28"/>
          <w:szCs w:val="28"/>
          <w:lang w:val="en-US" w:eastAsia="zh-CN"/>
        </w:rPr>
        <w:t>----------此页以下无正文----------</w:t>
      </w:r>
    </w:p>
    <w:p w14:paraId="68A9CF07">
      <w:pPr>
        <w:rPr>
          <w:color w:val="auto"/>
        </w:rPr>
      </w:pPr>
    </w:p>
    <w:bookmarkEnd w:id="231"/>
    <w:p w14:paraId="6EF33753">
      <w:pPr>
        <w:pStyle w:val="7"/>
        <w:pageBreakBefore w:val="0"/>
        <w:kinsoku/>
        <w:wordWrap w:val="0"/>
        <w:overflowPunct/>
        <w:topLinePunct w:val="0"/>
        <w:autoSpaceDE/>
        <w:autoSpaceDN/>
        <w:bidi w:val="0"/>
        <w:ind w:left="0" w:leftChars="0" w:firstLine="0" w:firstLineChars="0"/>
        <w:rPr>
          <w:rFonts w:hint="eastAsia" w:ascii="宋体" w:hAnsi="宋体" w:eastAsia="宋体" w:cs="宋体"/>
          <w:color w:val="auto"/>
          <w:lang w:eastAsia="zh-CN"/>
        </w:rPr>
      </w:pPr>
    </w:p>
    <w:p w14:paraId="1000A3E3"/>
    <w:sectPr>
      <w:pgSz w:w="11906" w:h="16838"/>
      <w:pgMar w:top="1417" w:right="1417" w:bottom="1417" w:left="1417" w:header="850" w:footer="850" w:gutter="0"/>
      <w:pgNumType w:fmt="numberInDash"/>
      <w:cols w:space="72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宋?">
    <w:altName w:val="Malgun Gothic"/>
    <w:panose1 w:val="00000000000000000000"/>
    <w:charset w:val="81"/>
    <w:family w:val="roman"/>
    <w:pitch w:val="default"/>
    <w:sig w:usb0="00000000" w:usb1="00000000" w:usb2="00000010" w:usb3="00000000" w:csb0="00080000" w:csb1="00000000"/>
  </w:font>
  <w:font w:name="Malgun Gothic">
    <w:panose1 w:val="020B0503020000020004"/>
    <w:charset w:val="81"/>
    <w:family w:val="auto"/>
    <w:pitch w:val="default"/>
    <w:sig w:usb0="9000002F" w:usb1="29D77CFB" w:usb2="00000012" w:usb3="00000000" w:csb0="00080001" w:csb1="00000000"/>
  </w:font>
  <w:font w:name="仿宋">
    <w:panose1 w:val="02010609060101010101"/>
    <w:charset w:val="86"/>
    <w:family w:val="modern"/>
    <w:pitch w:val="default"/>
    <w:sig w:usb0="800002BF" w:usb1="38CF7CFA" w:usb2="00000016" w:usb3="00000000" w:csb0="00040001" w:csb1="00000000"/>
    <w:embedRegular r:id="rId1" w:fontKey="{6D573B66-ED5C-4D2A-A972-85B2B14AFF5F}"/>
  </w:font>
  <w:font w:name="微软雅黑">
    <w:panose1 w:val="020B0503020204020204"/>
    <w:charset w:val="86"/>
    <w:family w:val="auto"/>
    <w:pitch w:val="default"/>
    <w:sig w:usb0="80000287" w:usb1="2ACF3C50" w:usb2="00000016" w:usb3="00000000" w:csb0="0004001F" w:csb1="00000000"/>
    <w:embedRegular r:id="rId2" w:fontKey="{0DF70E35-0A54-4DC0-83CD-C18493CC675F}"/>
  </w:font>
  <w:font w:name="仿宋_GB2312">
    <w:altName w:val="仿宋"/>
    <w:panose1 w:val="00000000000000000000"/>
    <w:charset w:val="00"/>
    <w:family w:val="auto"/>
    <w:pitch w:val="default"/>
    <w:sig w:usb0="00000000" w:usb1="00000000" w:usb2="00000000" w:usb3="00000000" w:csb0="00000000" w:csb1="00000000"/>
    <w:embedRegular r:id="rId3" w:fontKey="{36415777-7CDF-4D46-A977-8042220AC295}"/>
  </w:font>
  <w:font w:name="楷体">
    <w:panose1 w:val="02010609060101010101"/>
    <w:charset w:val="86"/>
    <w:family w:val="auto"/>
    <w:pitch w:val="default"/>
    <w:sig w:usb0="800002BF" w:usb1="38CF7CFA" w:usb2="00000016" w:usb3="00000000" w:csb0="00040001" w:csb1="00000000"/>
    <w:embedRegular r:id="rId4" w:fontKey="{447221C8-DC0D-4A38-B28F-70DF02691756}"/>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0BC20A">
    <w:pPr>
      <w:tabs>
        <w:tab w:val="left" w:pos="4230"/>
      </w:tabs>
      <w:spacing w:before="1" w:line="228" w:lineRule="auto"/>
      <w:ind w:left="2406"/>
      <w:rPr>
        <w:rFonts w:hint="eastAsia" w:ascii="仿宋" w:hAnsi="仿宋" w:eastAsia="仿宋" w:cs="仿宋"/>
        <w:sz w:val="29"/>
        <w:szCs w:val="29"/>
        <w:lang w:eastAsia="zh-CN"/>
      </w:rPr>
    </w:pPr>
    <w:r>
      <w:rPr>
        <w:rFonts w:hint="eastAsia" w:ascii="仿宋" w:hAnsi="仿宋" w:eastAsia="仿宋" w:cs="仿宋"/>
        <w:sz w:val="29"/>
        <w:szCs w:val="29"/>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6C3C7B">
    <w:pPr>
      <w:pStyle w:val="14"/>
      <w:jc w:val="center"/>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0ECB20D">
                          <w:pPr>
                            <w:pStyle w:val="14"/>
                          </w:pPr>
                          <w:r>
                            <w:fldChar w:fldCharType="begin"/>
                          </w:r>
                          <w:r>
                            <w:instrText xml:space="preserve"> PAGE  \* MERGEFORMAT </w:instrText>
                          </w:r>
                          <w:r>
                            <w:fldChar w:fldCharType="separate"/>
                          </w:r>
                          <w:r>
                            <w:t>3</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fnvsskBAACbAwAADgAAAGRycy9lMm9Eb2MueG1srVPNjtMwEL6vxDtY&#10;vlNnK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YOIep9V9Yo14Pw7pCwidJbrjDCToVxZoXdtF95Kf68l6ynf2rz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d+e+yyQEAAJsDAAAOAAAAAAAAAAEAIAAAAB4BAABkcnMvZTJvRG9j&#10;LnhtbFBLBQYAAAAABgAGAFkBAABZBQAAAAA=&#10;">
              <v:fill on="f" focussize="0,0"/>
              <v:stroke on="f"/>
              <v:imagedata o:title=""/>
              <o:lock v:ext="edit" aspectratio="f"/>
              <v:textbox inset="0mm,0mm,0mm,0mm" style="mso-fit-shape-to-text:t;">
                <w:txbxContent>
                  <w:p w14:paraId="50ECB20D">
                    <w:pPr>
                      <w:pStyle w:val="1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69EE34">
    <w:pPr>
      <w:pStyle w:val="1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B70204B">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kX1r85AgAAc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DkX1r85AgAAcQQAAA4AAAAAAAAAAQAgAAAAHwEAAGRycy9lMm9Eb2Mu&#10;eG1sUEsFBgAAAAAGAAYAWQEAAMoFAAAAAA==&#10;">
              <v:fill on="f" focussize="0,0"/>
              <v:stroke on="f" weight="0.5pt"/>
              <v:imagedata o:title=""/>
              <o:lock v:ext="edit" aspectratio="f"/>
              <v:textbox inset="0mm,0mm,0mm,0mm" style="mso-fit-shape-to-text:t;">
                <w:txbxContent>
                  <w:p w14:paraId="0B70204B">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ABEE9">
    <w:pPr>
      <w:pStyle w:val="1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C618614">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yVYoA3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m9eU6KZQscv379d&#10;fvy6/PxKcAeBGuvniNtZRIb2rWkxNsO9x2Xk3ZZOxV8wIvBD3vNVXtEGwuOj2XQ2G8PF4RsOwM8e&#10;n1vnwzthFIlGTh36l2Rlp60PXegQErNps6mlTD2UmjSRxJtxenD1AFzqGCvSNPQwkVJXerRCu297&#10;nntTnEHTmW5SvOWbGqVsmQ8PzGE0UD6WJ9zjU0qDlKa3KKmM+/Kv+xiPjsFLSYNRy6nGZlEi32t0&#10;EoBhMNxg7AdDH9WdwexOsJSWJxMPXJCDWTqjPmOjVjEHXExzZMppGMy70I07NpKL1SoFHa2rD1X3&#10;AHNoWdjqneUxTZTK29UxQNqkeBSoUwWdigdMYupZvzVx1P88p6jHf4rl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8lWKANwIAAHEEAAAOAAAAAAAAAAEAIAAAAB8BAABkcnMvZTJvRG9jLnht&#10;bFBLBQYAAAAABgAGAFkBAADIBQAAAAA=&#10;">
              <v:fill on="f" focussize="0,0"/>
              <v:stroke on="f" weight="0.5pt"/>
              <v:imagedata o:title=""/>
              <o:lock v:ext="edit" aspectratio="f"/>
              <v:textbox inset="0mm,0mm,0mm,0mm" style="mso-fit-shape-to-text:t;">
                <w:txbxContent>
                  <w:p w14:paraId="6C618614">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FEE149">
    <w:pPr>
      <w:pStyle w:val="16"/>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007AC">
    <w:pPr>
      <w:pStyle w:val="9"/>
      <w:spacing w:line="14" w:lineRule="auto"/>
      <w:ind w:firstLine="400"/>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4E7449">
    <w:pPr>
      <w:pStyle w:val="16"/>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6153C1">
    <w:pPr>
      <w:pStyle w:val="1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424D20"/>
    <w:multiLevelType w:val="singleLevel"/>
    <w:tmpl w:val="82424D20"/>
    <w:lvl w:ilvl="0" w:tentative="0">
      <w:start w:val="1"/>
      <w:numFmt w:val="decimal"/>
      <w:lvlText w:val="%1."/>
      <w:lvlJc w:val="left"/>
      <w:pPr>
        <w:ind w:left="425" w:hanging="425"/>
      </w:pPr>
      <w:rPr>
        <w:rFonts w:hint="default"/>
      </w:rPr>
    </w:lvl>
  </w:abstractNum>
  <w:abstractNum w:abstractNumId="1">
    <w:nsid w:val="8823868B"/>
    <w:multiLevelType w:val="singleLevel"/>
    <w:tmpl w:val="8823868B"/>
    <w:lvl w:ilvl="0" w:tentative="0">
      <w:start w:val="1"/>
      <w:numFmt w:val="decimal"/>
      <w:suff w:val="nothing"/>
      <w:lvlText w:val="%1、"/>
      <w:lvlJc w:val="left"/>
    </w:lvl>
  </w:abstractNum>
  <w:abstractNum w:abstractNumId="2">
    <w:nsid w:val="8BDD2983"/>
    <w:multiLevelType w:val="singleLevel"/>
    <w:tmpl w:val="8BDD2983"/>
    <w:lvl w:ilvl="0" w:tentative="0">
      <w:start w:val="1"/>
      <w:numFmt w:val="decimal"/>
      <w:lvlText w:val="%1)"/>
      <w:lvlJc w:val="left"/>
      <w:pPr>
        <w:ind w:left="425" w:hanging="425"/>
      </w:pPr>
      <w:rPr>
        <w:rFonts w:hint="default"/>
      </w:rPr>
    </w:lvl>
  </w:abstractNum>
  <w:abstractNum w:abstractNumId="3">
    <w:nsid w:val="AA360098"/>
    <w:multiLevelType w:val="singleLevel"/>
    <w:tmpl w:val="AA360098"/>
    <w:lvl w:ilvl="0" w:tentative="0">
      <w:start w:val="1"/>
      <w:numFmt w:val="decimal"/>
      <w:suff w:val="nothing"/>
      <w:lvlText w:val="%1．"/>
      <w:lvlJc w:val="left"/>
      <w:pPr>
        <w:ind w:left="0" w:firstLine="400"/>
      </w:pPr>
      <w:rPr>
        <w:rFonts w:hint="default"/>
      </w:rPr>
    </w:lvl>
  </w:abstractNum>
  <w:abstractNum w:abstractNumId="4">
    <w:nsid w:val="ACE21ABB"/>
    <w:multiLevelType w:val="singleLevel"/>
    <w:tmpl w:val="ACE21ABB"/>
    <w:lvl w:ilvl="0" w:tentative="0">
      <w:start w:val="9"/>
      <w:numFmt w:val="chineseCounting"/>
      <w:suff w:val="nothing"/>
      <w:lvlText w:val="（%1）"/>
      <w:lvlJc w:val="left"/>
      <w:rPr>
        <w:rFonts w:hint="eastAsia"/>
      </w:rPr>
    </w:lvl>
  </w:abstractNum>
  <w:abstractNum w:abstractNumId="5">
    <w:nsid w:val="B0A27CA3"/>
    <w:multiLevelType w:val="singleLevel"/>
    <w:tmpl w:val="B0A27CA3"/>
    <w:lvl w:ilvl="0" w:tentative="0">
      <w:start w:val="1"/>
      <w:numFmt w:val="decimal"/>
      <w:lvlText w:val="%1."/>
      <w:lvlJc w:val="left"/>
      <w:pPr>
        <w:ind w:left="425" w:hanging="425"/>
      </w:pPr>
      <w:rPr>
        <w:rFonts w:hint="default"/>
      </w:rPr>
    </w:lvl>
  </w:abstractNum>
  <w:abstractNum w:abstractNumId="6">
    <w:nsid w:val="CAB3DDF3"/>
    <w:multiLevelType w:val="singleLevel"/>
    <w:tmpl w:val="CAB3DDF3"/>
    <w:lvl w:ilvl="0" w:tentative="0">
      <w:start w:val="1"/>
      <w:numFmt w:val="decimal"/>
      <w:lvlText w:val="%1."/>
      <w:lvlJc w:val="left"/>
      <w:pPr>
        <w:ind w:left="425" w:hanging="425"/>
      </w:pPr>
      <w:rPr>
        <w:rFonts w:hint="default"/>
      </w:rPr>
    </w:lvl>
  </w:abstractNum>
  <w:abstractNum w:abstractNumId="7">
    <w:nsid w:val="CAE1BDBA"/>
    <w:multiLevelType w:val="singleLevel"/>
    <w:tmpl w:val="CAE1BDBA"/>
    <w:lvl w:ilvl="0" w:tentative="0">
      <w:start w:val="1"/>
      <w:numFmt w:val="decimal"/>
      <w:lvlText w:val="%1."/>
      <w:lvlJc w:val="left"/>
      <w:pPr>
        <w:ind w:left="425" w:hanging="425"/>
      </w:pPr>
      <w:rPr>
        <w:rFonts w:hint="default"/>
      </w:rPr>
    </w:lvl>
  </w:abstractNum>
  <w:abstractNum w:abstractNumId="8">
    <w:nsid w:val="DB7B3248"/>
    <w:multiLevelType w:val="singleLevel"/>
    <w:tmpl w:val="DB7B3248"/>
    <w:lvl w:ilvl="0" w:tentative="0">
      <w:start w:val="1"/>
      <w:numFmt w:val="decimal"/>
      <w:lvlText w:val="%1."/>
      <w:lvlJc w:val="left"/>
      <w:pPr>
        <w:ind w:left="425" w:hanging="425"/>
      </w:pPr>
      <w:rPr>
        <w:rFonts w:hint="default"/>
      </w:rPr>
    </w:lvl>
  </w:abstractNum>
  <w:abstractNum w:abstractNumId="9">
    <w:nsid w:val="E76C26BE"/>
    <w:multiLevelType w:val="singleLevel"/>
    <w:tmpl w:val="E76C26BE"/>
    <w:lvl w:ilvl="0" w:tentative="0">
      <w:start w:val="1"/>
      <w:numFmt w:val="decimal"/>
      <w:lvlText w:val="%1."/>
      <w:lvlJc w:val="left"/>
      <w:pPr>
        <w:tabs>
          <w:tab w:val="left" w:pos="312"/>
        </w:tabs>
      </w:pPr>
    </w:lvl>
  </w:abstractNum>
  <w:abstractNum w:abstractNumId="10">
    <w:nsid w:val="F19126A7"/>
    <w:multiLevelType w:val="singleLevel"/>
    <w:tmpl w:val="F19126A7"/>
    <w:lvl w:ilvl="0" w:tentative="0">
      <w:start w:val="1"/>
      <w:numFmt w:val="decimal"/>
      <w:lvlText w:val="(%1)"/>
      <w:lvlJc w:val="left"/>
      <w:pPr>
        <w:ind w:left="425" w:hanging="425"/>
      </w:pPr>
      <w:rPr>
        <w:rFonts w:hint="default"/>
      </w:rPr>
    </w:lvl>
  </w:abstractNum>
  <w:abstractNum w:abstractNumId="11">
    <w:nsid w:val="F25ED802"/>
    <w:multiLevelType w:val="singleLevel"/>
    <w:tmpl w:val="F25ED802"/>
    <w:lvl w:ilvl="0" w:tentative="0">
      <w:start w:val="5"/>
      <w:numFmt w:val="chineseCounting"/>
      <w:suff w:val="space"/>
      <w:lvlText w:val="第%1章"/>
      <w:lvlJc w:val="left"/>
      <w:rPr>
        <w:rFonts w:hint="eastAsia"/>
      </w:rPr>
    </w:lvl>
  </w:abstractNum>
  <w:abstractNum w:abstractNumId="12">
    <w:nsid w:val="0E8950BD"/>
    <w:multiLevelType w:val="singleLevel"/>
    <w:tmpl w:val="0E8950BD"/>
    <w:lvl w:ilvl="0" w:tentative="0">
      <w:start w:val="1"/>
      <w:numFmt w:val="decimal"/>
      <w:lvlText w:val="%1."/>
      <w:lvlJc w:val="left"/>
      <w:pPr>
        <w:ind w:left="425" w:hanging="425"/>
      </w:pPr>
      <w:rPr>
        <w:rFonts w:hint="default"/>
      </w:rPr>
    </w:lvl>
  </w:abstractNum>
  <w:abstractNum w:abstractNumId="13">
    <w:nsid w:val="24190D3E"/>
    <w:multiLevelType w:val="singleLevel"/>
    <w:tmpl w:val="24190D3E"/>
    <w:lvl w:ilvl="0" w:tentative="0">
      <w:start w:val="2"/>
      <w:numFmt w:val="chineseCounting"/>
      <w:suff w:val="nothing"/>
      <w:lvlText w:val="%1、"/>
      <w:lvlJc w:val="left"/>
      <w:rPr>
        <w:rFonts w:hint="eastAsia"/>
      </w:rPr>
    </w:lvl>
  </w:abstractNum>
  <w:abstractNum w:abstractNumId="14">
    <w:nsid w:val="2DC59DEB"/>
    <w:multiLevelType w:val="singleLevel"/>
    <w:tmpl w:val="2DC59DEB"/>
    <w:lvl w:ilvl="0" w:tentative="0">
      <w:start w:val="1"/>
      <w:numFmt w:val="chineseCounting"/>
      <w:suff w:val="nothing"/>
      <w:lvlText w:val="%1、"/>
      <w:lvlJc w:val="left"/>
      <w:rPr>
        <w:rFonts w:hint="eastAsia"/>
      </w:rPr>
    </w:lvl>
  </w:abstractNum>
  <w:abstractNum w:abstractNumId="15">
    <w:nsid w:val="3574C36F"/>
    <w:multiLevelType w:val="singleLevel"/>
    <w:tmpl w:val="3574C36F"/>
    <w:lvl w:ilvl="0" w:tentative="0">
      <w:start w:val="1"/>
      <w:numFmt w:val="decimal"/>
      <w:suff w:val="nothing"/>
      <w:lvlText w:val="%1、"/>
      <w:lvlJc w:val="left"/>
    </w:lvl>
  </w:abstractNum>
  <w:abstractNum w:abstractNumId="16">
    <w:nsid w:val="43B80D14"/>
    <w:multiLevelType w:val="singleLevel"/>
    <w:tmpl w:val="43B80D14"/>
    <w:lvl w:ilvl="0" w:tentative="0">
      <w:start w:val="1"/>
      <w:numFmt w:val="decimal"/>
      <w:suff w:val="nothing"/>
      <w:lvlText w:val="%1．"/>
      <w:lvlJc w:val="left"/>
      <w:pPr>
        <w:ind w:left="0" w:firstLine="400"/>
      </w:pPr>
      <w:rPr>
        <w:rFonts w:hint="default"/>
      </w:rPr>
    </w:lvl>
  </w:abstractNum>
  <w:abstractNum w:abstractNumId="17">
    <w:nsid w:val="679C08DB"/>
    <w:multiLevelType w:val="singleLevel"/>
    <w:tmpl w:val="679C08DB"/>
    <w:lvl w:ilvl="0" w:tentative="0">
      <w:start w:val="1"/>
      <w:numFmt w:val="decimal"/>
      <w:lvlText w:val="%1."/>
      <w:lvlJc w:val="left"/>
      <w:pPr>
        <w:ind w:left="425" w:hanging="425"/>
      </w:pPr>
      <w:rPr>
        <w:rFonts w:hint="default"/>
      </w:rPr>
    </w:lvl>
  </w:abstractNum>
  <w:abstractNum w:abstractNumId="18">
    <w:nsid w:val="684DFB81"/>
    <w:multiLevelType w:val="singleLevel"/>
    <w:tmpl w:val="684DFB81"/>
    <w:lvl w:ilvl="0" w:tentative="0">
      <w:start w:val="1"/>
      <w:numFmt w:val="decimal"/>
      <w:lvlText w:val="%1."/>
      <w:lvlJc w:val="left"/>
      <w:pPr>
        <w:ind w:left="425" w:hanging="425"/>
      </w:pPr>
      <w:rPr>
        <w:rFonts w:hint="default"/>
      </w:rPr>
    </w:lvl>
  </w:abstractNum>
  <w:abstractNum w:abstractNumId="19">
    <w:nsid w:val="7508A051"/>
    <w:multiLevelType w:val="singleLevel"/>
    <w:tmpl w:val="7508A051"/>
    <w:lvl w:ilvl="0" w:tentative="0">
      <w:start w:val="1"/>
      <w:numFmt w:val="decimal"/>
      <w:lvlText w:val="(%1)"/>
      <w:lvlJc w:val="left"/>
      <w:pPr>
        <w:ind w:left="425" w:hanging="425"/>
      </w:pPr>
      <w:rPr>
        <w:rFonts w:hint="default"/>
      </w:rPr>
    </w:lvl>
  </w:abstractNum>
  <w:abstractNum w:abstractNumId="20">
    <w:nsid w:val="780C1577"/>
    <w:multiLevelType w:val="singleLevel"/>
    <w:tmpl w:val="780C1577"/>
    <w:lvl w:ilvl="0" w:tentative="0">
      <w:start w:val="1"/>
      <w:numFmt w:val="decimal"/>
      <w:suff w:val="nothing"/>
      <w:lvlText w:val="%1．"/>
      <w:lvlJc w:val="left"/>
      <w:pPr>
        <w:ind w:left="0" w:firstLine="400"/>
      </w:pPr>
      <w:rPr>
        <w:rFonts w:hint="default"/>
      </w:rPr>
    </w:lvl>
  </w:abstractNum>
  <w:num w:numId="1">
    <w:abstractNumId w:val="12"/>
  </w:num>
  <w:num w:numId="2">
    <w:abstractNumId w:val="15"/>
  </w:num>
  <w:num w:numId="3">
    <w:abstractNumId w:val="1"/>
  </w:num>
  <w:num w:numId="4">
    <w:abstractNumId w:val="9"/>
  </w:num>
  <w:num w:numId="5">
    <w:abstractNumId w:val="4"/>
  </w:num>
  <w:num w:numId="6">
    <w:abstractNumId w:val="10"/>
  </w:num>
  <w:num w:numId="7">
    <w:abstractNumId w:val="3"/>
  </w:num>
  <w:num w:numId="8">
    <w:abstractNumId w:val="20"/>
  </w:num>
  <w:num w:numId="9">
    <w:abstractNumId w:val="16"/>
  </w:num>
  <w:num w:numId="10">
    <w:abstractNumId w:val="14"/>
  </w:num>
  <w:num w:numId="11">
    <w:abstractNumId w:val="13"/>
  </w:num>
  <w:num w:numId="12">
    <w:abstractNumId w:val="2"/>
  </w:num>
  <w:num w:numId="13">
    <w:abstractNumId w:val="18"/>
  </w:num>
  <w:num w:numId="14">
    <w:abstractNumId w:val="19"/>
  </w:num>
  <w:num w:numId="15">
    <w:abstractNumId w:val="6"/>
  </w:num>
  <w:num w:numId="16">
    <w:abstractNumId w:val="17"/>
  </w:num>
  <w:num w:numId="17">
    <w:abstractNumId w:val="0"/>
  </w:num>
  <w:num w:numId="18">
    <w:abstractNumId w:val="8"/>
  </w:num>
  <w:num w:numId="19">
    <w:abstractNumId w:val="5"/>
  </w:num>
  <w:num w:numId="20">
    <w:abstractNumId w:val="7"/>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TrueTypeFonts/>
  <w:saveSubsetFonts/>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6D7CC3"/>
    <w:rsid w:val="01A73D87"/>
    <w:rsid w:val="03377BD5"/>
    <w:rsid w:val="03411E1D"/>
    <w:rsid w:val="06383B48"/>
    <w:rsid w:val="064934F4"/>
    <w:rsid w:val="06537746"/>
    <w:rsid w:val="084D65E0"/>
    <w:rsid w:val="0BB665C2"/>
    <w:rsid w:val="0D531267"/>
    <w:rsid w:val="0E962DA8"/>
    <w:rsid w:val="0EBB3648"/>
    <w:rsid w:val="11EA1B72"/>
    <w:rsid w:val="12E70EF6"/>
    <w:rsid w:val="14BF55CE"/>
    <w:rsid w:val="16BB6B3C"/>
    <w:rsid w:val="16BD19D0"/>
    <w:rsid w:val="1816180F"/>
    <w:rsid w:val="1C2D7127"/>
    <w:rsid w:val="2343569C"/>
    <w:rsid w:val="2388050D"/>
    <w:rsid w:val="24873139"/>
    <w:rsid w:val="25585255"/>
    <w:rsid w:val="25C26B32"/>
    <w:rsid w:val="2A337FFE"/>
    <w:rsid w:val="2E2B44BD"/>
    <w:rsid w:val="2EC2744E"/>
    <w:rsid w:val="30432D22"/>
    <w:rsid w:val="32765A16"/>
    <w:rsid w:val="338A3C47"/>
    <w:rsid w:val="349E2E8C"/>
    <w:rsid w:val="367E28B5"/>
    <w:rsid w:val="379E4143"/>
    <w:rsid w:val="389B606F"/>
    <w:rsid w:val="3C7C29FF"/>
    <w:rsid w:val="3D044F9C"/>
    <w:rsid w:val="3E9567BF"/>
    <w:rsid w:val="410D3CA4"/>
    <w:rsid w:val="42C76206"/>
    <w:rsid w:val="42F26C9F"/>
    <w:rsid w:val="434034B6"/>
    <w:rsid w:val="447137A5"/>
    <w:rsid w:val="44B547A1"/>
    <w:rsid w:val="4813366D"/>
    <w:rsid w:val="48F80DFA"/>
    <w:rsid w:val="49430F7E"/>
    <w:rsid w:val="49675177"/>
    <w:rsid w:val="4A310AB4"/>
    <w:rsid w:val="4D385D61"/>
    <w:rsid w:val="4DD10B0C"/>
    <w:rsid w:val="4EAA5F6C"/>
    <w:rsid w:val="56076D6A"/>
    <w:rsid w:val="585216EC"/>
    <w:rsid w:val="59A923FF"/>
    <w:rsid w:val="5BC32C5C"/>
    <w:rsid w:val="5BCA634D"/>
    <w:rsid w:val="5CBF734C"/>
    <w:rsid w:val="5D414205"/>
    <w:rsid w:val="5DE55498"/>
    <w:rsid w:val="64405EC1"/>
    <w:rsid w:val="64AA4C66"/>
    <w:rsid w:val="66411871"/>
    <w:rsid w:val="66772A46"/>
    <w:rsid w:val="68490E5A"/>
    <w:rsid w:val="6B702FEA"/>
    <w:rsid w:val="6B89029C"/>
    <w:rsid w:val="6BB26392"/>
    <w:rsid w:val="6E5F44EB"/>
    <w:rsid w:val="6E657AB9"/>
    <w:rsid w:val="6EF615AD"/>
    <w:rsid w:val="70C64A71"/>
    <w:rsid w:val="70ED4030"/>
    <w:rsid w:val="74BF583C"/>
    <w:rsid w:val="753D5C7B"/>
    <w:rsid w:val="76B55AE3"/>
    <w:rsid w:val="77200D55"/>
    <w:rsid w:val="79324F81"/>
    <w:rsid w:val="7C624C60"/>
    <w:rsid w:val="7D6F7AF3"/>
    <w:rsid w:val="7E8727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line="360" w:lineRule="auto"/>
      <w:outlineLvl w:val="0"/>
    </w:pPr>
    <w:rPr>
      <w:b/>
      <w:bCs/>
      <w:kern w:val="44"/>
      <w:sz w:val="32"/>
      <w:szCs w:val="44"/>
    </w:rPr>
  </w:style>
  <w:style w:type="paragraph" w:styleId="3">
    <w:name w:val="heading 2"/>
    <w:basedOn w:val="1"/>
    <w:next w:val="1"/>
    <w:unhideWhenUsed/>
    <w:qFormat/>
    <w:uiPriority w:val="0"/>
    <w:pPr>
      <w:keepNext/>
      <w:keepLines/>
      <w:spacing w:line="240" w:lineRule="auto"/>
      <w:outlineLvl w:val="1"/>
    </w:pPr>
    <w:rPr>
      <w:rFonts w:ascii="Cambria" w:hAnsi="Cambria" w:eastAsia="宋体" w:cs="Times New Roman"/>
      <w:b/>
      <w:bCs/>
      <w:sz w:val="32"/>
      <w:szCs w:val="32"/>
    </w:rPr>
  </w:style>
  <w:style w:type="paragraph" w:styleId="4">
    <w:name w:val="heading 3"/>
    <w:basedOn w:val="1"/>
    <w:next w:val="1"/>
    <w:unhideWhenUsed/>
    <w:qFormat/>
    <w:uiPriority w:val="0"/>
    <w:pPr>
      <w:keepNext/>
      <w:keepLines/>
      <w:spacing w:before="120" w:beforeLines="0" w:after="120" w:afterLines="0" w:line="360" w:lineRule="auto"/>
      <w:ind w:firstLine="200" w:firstLineChars="200"/>
      <w:outlineLvl w:val="2"/>
    </w:pPr>
    <w:rPr>
      <w:rFonts w:ascii="Times New Roman" w:hAnsi="Times New Roman" w:eastAsia="宋体" w:cs="Times New Roman"/>
      <w:b/>
      <w:bCs/>
      <w:sz w:val="30"/>
      <w:szCs w:val="32"/>
    </w:rPr>
  </w:style>
  <w:style w:type="paragraph" w:styleId="5">
    <w:name w:val="heading 4"/>
    <w:basedOn w:val="1"/>
    <w:next w:val="1"/>
    <w:qFormat/>
    <w:uiPriority w:val="0"/>
    <w:pPr>
      <w:keepNext/>
      <w:keepLines/>
      <w:spacing w:line="360" w:lineRule="auto"/>
      <w:outlineLvl w:val="3"/>
    </w:pPr>
    <w:rPr>
      <w:rFonts w:ascii="Arial" w:hAnsi="Arial"/>
      <w:b/>
      <w:bCs/>
      <w:szCs w:val="28"/>
    </w:rPr>
  </w:style>
  <w:style w:type="paragraph" w:styleId="6">
    <w:name w:val="heading 6"/>
    <w:basedOn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26">
    <w:name w:val="Default Paragraph Font"/>
    <w:semiHidden/>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styleId="7">
    <w:name w:val="Normal Indent"/>
    <w:basedOn w:val="1"/>
    <w:qFormat/>
    <w:uiPriority w:val="0"/>
    <w:pPr>
      <w:ind w:firstLine="420"/>
    </w:pPr>
    <w:rPr>
      <w:szCs w:val="20"/>
    </w:rPr>
  </w:style>
  <w:style w:type="paragraph" w:styleId="8">
    <w:name w:val="annotation text"/>
    <w:basedOn w:val="1"/>
    <w:qFormat/>
    <w:uiPriority w:val="0"/>
    <w:pPr>
      <w:jc w:val="left"/>
    </w:pPr>
  </w:style>
  <w:style w:type="paragraph" w:styleId="9">
    <w:name w:val="Body Text"/>
    <w:basedOn w:val="1"/>
    <w:qFormat/>
    <w:uiPriority w:val="0"/>
    <w:pPr>
      <w:spacing w:after="120"/>
    </w:pPr>
  </w:style>
  <w:style w:type="paragraph" w:styleId="10">
    <w:name w:val="Body Text Indent"/>
    <w:basedOn w:val="1"/>
    <w:qFormat/>
    <w:uiPriority w:val="0"/>
    <w:pPr>
      <w:spacing w:line="600" w:lineRule="exact"/>
      <w:ind w:firstLine="560" w:firstLineChars="200"/>
    </w:pPr>
    <w:rPr>
      <w:sz w:val="28"/>
      <w:szCs w:val="20"/>
    </w:rPr>
  </w:style>
  <w:style w:type="paragraph" w:styleId="11">
    <w:name w:val="index 4"/>
    <w:basedOn w:val="1"/>
    <w:next w:val="1"/>
    <w:qFormat/>
    <w:uiPriority w:val="0"/>
    <w:pPr>
      <w:ind w:left="840" w:hanging="210"/>
      <w:jc w:val="left"/>
    </w:pPr>
    <w:rPr>
      <w:sz w:val="20"/>
      <w:szCs w:val="20"/>
    </w:rPr>
  </w:style>
  <w:style w:type="paragraph" w:styleId="12">
    <w:name w:val="Plain Text"/>
    <w:basedOn w:val="1"/>
    <w:qFormat/>
    <w:uiPriority w:val="0"/>
    <w:rPr>
      <w:rFonts w:ascii="宋体" w:hAnsi="Courier New"/>
      <w:szCs w:val="20"/>
    </w:rPr>
  </w:style>
  <w:style w:type="paragraph" w:styleId="13">
    <w:name w:val="Body Text Indent 2"/>
    <w:basedOn w:val="1"/>
    <w:qFormat/>
    <w:uiPriority w:val="0"/>
    <w:pPr>
      <w:spacing w:after="120" w:line="480" w:lineRule="auto"/>
      <w:ind w:left="420" w:leftChars="200"/>
    </w:p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envelope return"/>
    <w:basedOn w:val="1"/>
    <w:qFormat/>
    <w:uiPriority w:val="0"/>
    <w:pPr>
      <w:snapToGrid w:val="0"/>
    </w:pPr>
    <w:rPr>
      <w:rFonts w:ascii="Arial" w:hAnsi="Arial"/>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7">
    <w:name w:val="toc 4"/>
    <w:basedOn w:val="1"/>
    <w:next w:val="1"/>
    <w:qFormat/>
    <w:uiPriority w:val="0"/>
    <w:pPr>
      <w:ind w:left="630"/>
      <w:jc w:val="left"/>
    </w:pPr>
    <w:rPr>
      <w:sz w:val="18"/>
      <w:szCs w:val="18"/>
    </w:rPr>
  </w:style>
  <w:style w:type="paragraph" w:styleId="18">
    <w:name w:val="Body Text 2"/>
    <w:basedOn w:val="1"/>
    <w:qFormat/>
    <w:uiPriority w:val="0"/>
    <w:pPr>
      <w:spacing w:line="360" w:lineRule="auto"/>
    </w:pPr>
    <w:rPr>
      <w:rFonts w:ascii="幼圆" w:eastAsia="幼圆"/>
      <w:sz w:val="24"/>
      <w:u w:val="single"/>
    </w:rPr>
  </w:style>
  <w:style w:type="paragraph" w:styleId="19">
    <w:name w:val="HTML Preformatted"/>
    <w:basedOn w:val="1"/>
    <w:qFormat/>
    <w:uiPriority w:val="99"/>
    <w:pPr>
      <w:jc w:val="left"/>
    </w:pPr>
    <w:rPr>
      <w:rFonts w:ascii="Arial" w:hAnsi="Arial" w:cs="Arial"/>
    </w:rPr>
  </w:style>
  <w:style w:type="paragraph" w:styleId="20">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1">
    <w:name w:val="Title"/>
    <w:basedOn w:val="1"/>
    <w:next w:val="1"/>
    <w:qFormat/>
    <w:uiPriority w:val="0"/>
    <w:pPr>
      <w:spacing w:before="240" w:after="60"/>
      <w:jc w:val="center"/>
      <w:outlineLvl w:val="0"/>
    </w:pPr>
    <w:rPr>
      <w:rFonts w:ascii="Cambria" w:hAnsi="Cambria" w:cs="Times New Roman"/>
      <w:b/>
      <w:bCs/>
      <w:sz w:val="32"/>
      <w:szCs w:val="32"/>
    </w:rPr>
  </w:style>
  <w:style w:type="paragraph" w:styleId="22">
    <w:name w:val="Body Text First Indent"/>
    <w:basedOn w:val="9"/>
    <w:qFormat/>
    <w:uiPriority w:val="0"/>
    <w:pPr>
      <w:ind w:firstLine="420" w:firstLineChars="100"/>
    </w:pPr>
  </w:style>
  <w:style w:type="paragraph" w:styleId="23">
    <w:name w:val="Body Text First Indent 2"/>
    <w:basedOn w:val="10"/>
    <w:qFormat/>
    <w:uiPriority w:val="0"/>
    <w:pPr>
      <w:spacing w:after="120"/>
      <w:ind w:left="420" w:leftChars="200" w:firstLine="420" w:firstLineChars="200"/>
    </w:pPr>
    <w:rPr>
      <w:rFonts w:ascii="Times New Roman" w:eastAsia="宋?"/>
      <w:sz w:val="21"/>
      <w:szCs w:val="24"/>
    </w:rPr>
  </w:style>
  <w:style w:type="table" w:styleId="25">
    <w:name w:val="Table Grid"/>
    <w:basedOn w:val="24"/>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0"/>
    <w:rPr>
      <w:b/>
      <w:bCs/>
    </w:rPr>
  </w:style>
  <w:style w:type="character" w:styleId="28">
    <w:name w:val="Hyperlink"/>
    <w:basedOn w:val="26"/>
    <w:qFormat/>
    <w:uiPriority w:val="0"/>
    <w:rPr>
      <w:color w:val="333333"/>
      <w:u w:val="none"/>
    </w:rPr>
  </w:style>
  <w:style w:type="paragraph" w:customStyle="1" w:styleId="29">
    <w:name w:val="正文缩进1"/>
    <w:basedOn w:val="1"/>
    <w:qFormat/>
    <w:uiPriority w:val="0"/>
    <w:pPr>
      <w:ind w:firstLine="420" w:firstLineChars="200"/>
    </w:pPr>
  </w:style>
  <w:style w:type="paragraph" w:customStyle="1" w:styleId="30">
    <w:name w:val="WPSOffice手动目录 1"/>
    <w:qFormat/>
    <w:uiPriority w:val="0"/>
    <w:pPr>
      <w:ind w:leftChars="0"/>
    </w:pPr>
    <w:rPr>
      <w:rFonts w:ascii="Times New Roman" w:hAnsi="Times New Roman" w:eastAsia="宋体" w:cs="Times New Roman"/>
      <w:sz w:val="20"/>
      <w:szCs w:val="20"/>
    </w:rPr>
  </w:style>
  <w:style w:type="paragraph" w:customStyle="1" w:styleId="31">
    <w:name w:val="Table Paragraph"/>
    <w:basedOn w:val="1"/>
    <w:qFormat/>
    <w:uiPriority w:val="0"/>
    <w:rPr>
      <w:rFonts w:ascii="宋体" w:hAnsi="宋体" w:eastAsia="宋体" w:cs="宋体"/>
      <w:lang w:val="zh-CN" w:eastAsia="zh-CN" w:bidi="zh-CN"/>
    </w:rPr>
  </w:style>
  <w:style w:type="character" w:customStyle="1" w:styleId="32">
    <w:name w:val="font11"/>
    <w:basedOn w:val="26"/>
    <w:qFormat/>
    <w:uiPriority w:val="0"/>
    <w:rPr>
      <w:rFonts w:hint="eastAsia" w:ascii="宋体" w:hAnsi="宋体" w:eastAsia="宋体" w:cs="宋体"/>
      <w:color w:val="000000"/>
      <w:sz w:val="22"/>
      <w:szCs w:val="22"/>
      <w:u w:val="none"/>
    </w:rPr>
  </w:style>
  <w:style w:type="paragraph" w:customStyle="1" w:styleId="33">
    <w:name w:val="正文（缩进 2 字符）"/>
    <w:basedOn w:val="1"/>
    <w:qFormat/>
    <w:uiPriority w:val="0"/>
    <w:pPr>
      <w:ind w:firstLine="200" w:firstLineChars="200"/>
    </w:pPr>
  </w:style>
  <w:style w:type="paragraph" w:customStyle="1" w:styleId="34">
    <w:name w:val="Body text|1"/>
    <w:basedOn w:val="1"/>
    <w:qFormat/>
    <w:uiPriority w:val="0"/>
    <w:pPr>
      <w:widowControl w:val="0"/>
      <w:shd w:val="clear" w:color="auto" w:fill="auto"/>
      <w:spacing w:line="480" w:lineRule="auto"/>
      <w:ind w:firstLine="400"/>
    </w:pPr>
    <w:rPr>
      <w:rFonts w:ascii="宋体" w:hAnsi="宋体" w:eastAsia="宋体" w:cs="宋体"/>
      <w:sz w:val="22"/>
      <w:szCs w:val="22"/>
      <w:u w:val="none"/>
      <w:shd w:val="clear" w:color="auto" w:fill="auto"/>
      <w:lang w:val="zh-TW" w:eastAsia="zh-TW" w:bidi="zh-TW"/>
    </w:rPr>
  </w:style>
  <w:style w:type="paragraph" w:customStyle="1" w:styleId="35">
    <w:name w:val="无间隔1"/>
    <w:qFormat/>
    <w:uiPriority w:val="1"/>
    <w:pPr>
      <w:widowControl w:val="0"/>
      <w:jc w:val="both"/>
    </w:pPr>
    <w:rPr>
      <w:rFonts w:ascii="Calibri" w:hAnsi="Calibri" w:eastAsia="宋体" w:cs="Times New Roman"/>
      <w:kern w:val="2"/>
      <w:sz w:val="21"/>
      <w:szCs w:val="22"/>
      <w:lang w:val="en-US" w:eastAsia="zh-CN" w:bidi="ar-SA"/>
    </w:rPr>
  </w:style>
  <w:style w:type="paragraph" w:customStyle="1" w:styleId="36">
    <w:name w:val="null3"/>
    <w:hidden/>
    <w:qFormat/>
    <w:uiPriority w:val="0"/>
    <w:rPr>
      <w:rFonts w:hint="eastAsia" w:asciiTheme="minorHAnsi" w:hAnsiTheme="minorHAnsi" w:eastAsiaTheme="minorEastAsia" w:cstheme="minorBidi"/>
      <w:lang w:val="en-US" w:eastAsia="zh-Hans"/>
    </w:rPr>
  </w:style>
  <w:style w:type="paragraph" w:customStyle="1" w:styleId="37">
    <w:name w:val="Table Text"/>
    <w:basedOn w:val="1"/>
    <w:semiHidden/>
    <w:qFormat/>
    <w:uiPriority w:val="0"/>
    <w:rPr>
      <w:rFonts w:ascii="仿宋" w:hAnsi="仿宋" w:eastAsia="仿宋" w:cs="仿宋"/>
      <w:sz w:val="24"/>
      <w:szCs w:val="24"/>
      <w:lang w:val="en-US" w:eastAsia="en-US" w:bidi="ar-SA"/>
    </w:rPr>
  </w:style>
  <w:style w:type="table" w:customStyle="1" w:styleId="38">
    <w:name w:val="Table Normal"/>
    <w:semiHidden/>
    <w:unhideWhenUsed/>
    <w:qFormat/>
    <w:uiPriority w:val="0"/>
    <w:tblPr>
      <w:tblCellMar>
        <w:top w:w="0" w:type="dxa"/>
        <w:left w:w="0" w:type="dxa"/>
        <w:bottom w:w="0" w:type="dxa"/>
        <w:right w:w="0" w:type="dxa"/>
      </w:tblCellMar>
    </w:tblPr>
  </w:style>
  <w:style w:type="character" w:customStyle="1" w:styleId="39">
    <w:name w:val="font21"/>
    <w:qFormat/>
    <w:uiPriority w:val="0"/>
    <w:rPr>
      <w:rFonts w:hint="eastAsia" w:ascii="微软雅黑" w:hAnsi="微软雅黑" w:eastAsia="微软雅黑" w:cs="微软雅黑"/>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1.png"/><Relationship Id="rId21" Type="http://schemas.openxmlformats.org/officeDocument/2006/relationships/image" Target="media/image10.png"/><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91</Pages>
  <Words>5684</Words>
  <Characters>6326</Characters>
  <Lines>0</Lines>
  <Paragraphs>0</Paragraphs>
  <TotalTime>11</TotalTime>
  <ScaleCrop>false</ScaleCrop>
  <LinksUpToDate>false</LinksUpToDate>
  <CharactersWithSpaces>6418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2025-11-19T00:45:00Z</dcterms:created>
  <dc:creator>Administrator</dc:creator>
  <cp:lastModifiedBy>陕西众智诚笃项目管理有限公司</cp:lastModifiedBy>
  <dcterms:modified xsi:type="dcterms:W3CDTF">2026-05-18T10:53:50Z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eyJoZGlkIjoiMzEwNTM5NzYwMDRjMzkwZTVkZjY2ODkwMGIxNGU0OTUiLCJ1c2VySWQiOiI5NTAzNTM5OTUifQ==</vt:lpwstr>
  </property>
  <property fmtid="{D5CDD505-2E9C-101B-9397-08002B2CF9AE}" pid="4" name="ICV">
    <vt:lpwstr>227640391AFE43F2A9E373068EB08852_13</vt:lpwstr>
  </property>
</Properties>
</file>