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版本号：SLCG-JZXCS〔2026〕11号20260605001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商洛消防救援支队立法采购项目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SLCG-JZXCS〔2026〕11号</w:t>
      </w:r>
      <w:r>
        <w:br/>
      </w:r>
      <w:r>
        <w:br/>
      </w:r>
      <w:r>
        <w:br/>
      </w:r>
    </w:p>
    <w:p>
      <w:pPr>
        <w:pStyle w:val="null3"/>
        <w:jc w:val="center"/>
        <w:outlineLvl w:val="2"/>
      </w:pPr>
      <w:r>
        <w:rPr>
          <w:rFonts w:ascii="仿宋_GB2312" w:hAnsi="仿宋_GB2312" w:cs="仿宋_GB2312" w:eastAsia="仿宋_GB2312"/>
          <w:sz w:val="28"/>
          <w:b/>
        </w:rPr>
        <w:t>商洛市消防救援支队</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商洛市消防救援支队</w:t>
      </w:r>
      <w:r>
        <w:rPr>
          <w:rFonts w:ascii="仿宋_GB2312" w:hAnsi="仿宋_GB2312" w:cs="仿宋_GB2312" w:eastAsia="仿宋_GB2312"/>
        </w:rPr>
        <w:t>委托，拟对</w:t>
      </w:r>
      <w:r>
        <w:rPr>
          <w:rFonts w:ascii="仿宋_GB2312" w:hAnsi="仿宋_GB2312" w:cs="仿宋_GB2312" w:eastAsia="仿宋_GB2312"/>
        </w:rPr>
        <w:t>商洛消防救援支队立法采购项目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SLCG-JZXCS〔2026〕11号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商洛消防救援支队立法采购项目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商洛市消防救援支队专项立法服务采购项目。目前商洛市暂无消防通道管理专项规制文件，相关管理工作仅依托国家、省级上位法律法规开展，存在属地适配性不足、监管权责不明确、长效治理机制不完善等问题。为补齐制度短板、规范辖区消防通道管理秩序，商洛市消防救援支队委托第三方专业机构开展《商洛市消防通道管理规定》全流程立法技术服务。项目聚焦本地老旧小区、商圈、工业园区、校园、医疗机构等重点区域消防通道管控难题，开展实地调研、部门座谈、公众征询、专家论证、合规审查、风险评估等全套立法工作，按期完成立法草案、送审稿及议案稿编制，确保成果合法合规、贴合实际、具备较强可操作性。服务单位需全程配合立法审议、起草汇报、文稿修订等工作，根据审查意见持续优化成果，健全全市消防通道法治化长效治理体系，提升区域消防安全治理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2、具有履行本项目所必需的设备和专业技术能力：供应商须在电子化交易系统中提交“专业技术能力声明函”原件的扫描件，并进行电子签章。</w:t>
      </w:r>
    </w:p>
    <w:p>
      <w:pPr>
        <w:pStyle w:val="null3"/>
      </w:pPr>
      <w:r>
        <w:rPr>
          <w:rFonts w:ascii="仿宋_GB2312" w:hAnsi="仿宋_GB2312" w:cs="仿宋_GB2312" w:eastAsia="仿宋_GB2312"/>
        </w:rPr>
        <w:t>3、具有良好的财务状况：供应商须在项目电子化交易系统中提交（1）响应文件提交截止之日前两年内任意一个年度经第三方机构或会计师事务所审计的财务报告（成立时间至提交响应文件截止时间不足一年的，可提供成立后任意时段的资产负债表），审计报告须上传至注册会计师行业统一监管平台并赋二维码；（2）提交响应文件截止之日前三个月内基本开户银行出具的资信证明；（3）信用担保机构出具的投标担保函（以上三种形式的资料提供任何一种即可），并完成电子签章。</w:t>
      </w:r>
    </w:p>
    <w:p>
      <w:pPr>
        <w:pStyle w:val="null3"/>
      </w:pPr>
      <w:r>
        <w:rPr>
          <w:rFonts w:ascii="仿宋_GB2312" w:hAnsi="仿宋_GB2312" w:cs="仿宋_GB2312" w:eastAsia="仿宋_GB2312"/>
        </w:rPr>
        <w:t>4、具有良好的税收缴纳记录：供应商须在项目电子化交易系统中提交响应文件截止之日前一年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5、具有良好的社会保障资金缴纳记录：供应商须在项目电子化交易系统中提交响应文件截止之日前一年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6、近三年内在经营活动中无重大违法记录：供应商须在项目电子化交易系统中提交近三年内在经营活动中无重大违法记录声明函，且近三年内在经营活动中无重大违法记录，并完成电子签章。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7、控股管理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8、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9、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10、法定代表人身份证明及授权委托书合法有效：供应商法定代表人直接参加磋商的须提供本人身份证、法定代表人身份证明书，法定代表人授权代表人参加磋商的须提供法定代表人授权委托书、被授权人身份证，并须在项目电子化交易系统中提交法定代表人身份证、法定代表人身份证明书（或法定代表人授权委托书、被授权人身份证）原件的扫描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商洛市商州区丹南路消防支队</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15109146698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王秀娟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采购包1：377,625.00元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商洛市消防救援支队</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商洛市消防救援支队</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（1）技术验收标准：所有服务内容100%全覆盖，立法成果合法合规、体例规范、无法律冲突、贴合本地实际、满足立法报审要求，过程资料齐全、台账清晰、全程留痕； （2）商务验收标准：团队稳定、响应及时、履约规范、保密到位、交付标准、全程配合采购人各项工作，无违约、无投诉、无工作滞后问题； （3）整体验收标准：完全满足本磋商文件采购需求、技术标准、时限要求、质量要求及合同约定，全部成果可直接用于立法审议、报批及归档。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联系人：王秀娟</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联系人：消防救援支队经办</w:t>
      </w:r>
    </w:p>
    <w:p>
      <w:pPr>
        <w:pStyle w:val="null3"/>
      </w:pPr>
      <w:r>
        <w:rPr>
          <w:rFonts w:ascii="仿宋_GB2312" w:hAnsi="仿宋_GB2312" w:cs="仿宋_GB2312" w:eastAsia="仿宋_GB2312"/>
        </w:rPr>
        <w:t>联系电话：15109146698</w:t>
      </w:r>
    </w:p>
    <w:p>
      <w:pPr>
        <w:pStyle w:val="null3"/>
      </w:pPr>
      <w:r>
        <w:rPr>
          <w:rFonts w:ascii="仿宋_GB2312" w:hAnsi="仿宋_GB2312" w:cs="仿宋_GB2312" w:eastAsia="仿宋_GB2312"/>
        </w:rPr>
        <w:t>地址：商洛市商州区丹南路消防支队</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商洛市消防救援支队专项立法服务采购项目。目前商洛市暂无消防通道管理专项规制文件，相关管理工作仅依托国家、省级上位法律法规开展，存在属地适配性不足、监管权责不明确、长效治理机制不完善等问题。为补齐制度短板、规范辖区消防通道管理秩序，商洛市消防救援支队委托第三方专业机构开展《商洛市消防通道管理规定》全流程立法技术服务。项目聚焦本地老旧小区、商圈、工业园区、校园、医疗机构等重点区域消防通道管控难题，开展实地调研、部门座谈、公众征询、专家论证、合规审查、风险评估等全套立法工作，按期完成立法草案、送审稿及议案稿编制，确保成果合法合规、贴合实际、具备较强可操作性。服务单位需全程配合立法审议、起草汇报、文稿修订等工作，根据审查意见持续优化成果，健全全市消防通道法治化长效治理体系，提升区域消防安全治理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377,625.00</w:t>
      </w:r>
    </w:p>
    <w:p>
      <w:pPr>
        <w:pStyle w:val="null3"/>
      </w:pPr>
      <w:r>
        <w:rPr>
          <w:rFonts w:ascii="仿宋_GB2312" w:hAnsi="仿宋_GB2312" w:cs="仿宋_GB2312" w:eastAsia="仿宋_GB2312"/>
        </w:rPr>
        <w:t>采购包最高限价（元）: 377,625.00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商洛市消防救援支队立法采购项目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377,625.00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标的名称：商洛市消防救援支队立法采购项目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本项目为消防通道管理地方立法技术服务项目，由商洛市消防救援支队作为采购人，委托成交供应商承担《商洛市消防通道管理办法》立法全流程技术支撑工作。本项目全部服务内容、质量标准、时效要求、管控规范均为实质性履约依据，同时作为项目评审评分的唯一对应依据。</w:t>
            </w:r>
          </w:p>
          <w:p>
            <w:pPr>
              <w:pStyle w:val="null3"/>
              <w:ind w:firstLine="480"/>
              <w:jc w:val="both"/>
            </w:pPr>
            <w:r>
              <w:rPr>
                <w:rFonts w:ascii="仿宋_GB2312" w:hAnsi="仿宋_GB2312" w:cs="仿宋_GB2312" w:eastAsia="仿宋_GB2312"/>
                <w:sz w:val="24"/>
              </w:rPr>
              <w:t>（一）服务范围和内容</w:t>
            </w:r>
          </w:p>
          <w:p>
            <w:pPr>
              <w:pStyle w:val="null3"/>
              <w:ind w:firstLine="480"/>
              <w:jc w:val="both"/>
            </w:pPr>
            <w:r>
              <w:rPr>
                <w:rFonts w:ascii="仿宋_GB2312" w:hAnsi="仿宋_GB2312" w:cs="仿宋_GB2312" w:eastAsia="仿宋_GB2312"/>
                <w:sz w:val="24"/>
              </w:rPr>
              <w:t>1. 立法前期服务</w:t>
            </w:r>
          </w:p>
          <w:p>
            <w:pPr>
              <w:pStyle w:val="null3"/>
              <w:ind w:firstLine="480"/>
              <w:jc w:val="both"/>
            </w:pPr>
            <w:r>
              <w:rPr>
                <w:rFonts w:ascii="仿宋_GB2312" w:hAnsi="仿宋_GB2312" w:cs="仿宋_GB2312" w:eastAsia="仿宋_GB2312"/>
                <w:sz w:val="24"/>
              </w:rPr>
              <w:t>开展商洛市域消防通道管理现状全域实地调研，梳理消防通道占用、堵塞、封闭等治理堵点、执法难点、监管盲区；归集国家、陕西省及本市现行消防、住建、城管相关法律法规、规章、规范性文件与技术标准；对标国内同类型城市消防通道地方立法实践，总结先进制度经验，编制立法可行性分析报告及立法框架建议；配合采购人确定立法整体框架、核心管理制度、重点规制条款方向。</w:t>
            </w:r>
          </w:p>
          <w:p>
            <w:pPr>
              <w:pStyle w:val="null3"/>
              <w:ind w:firstLine="480"/>
              <w:jc w:val="both"/>
            </w:pPr>
            <w:r>
              <w:rPr>
                <w:rFonts w:ascii="仿宋_GB2312" w:hAnsi="仿宋_GB2312" w:cs="仿宋_GB2312" w:eastAsia="仿宋_GB2312"/>
                <w:sz w:val="24"/>
              </w:rPr>
              <w:t>2. 草案起草服务</w:t>
            </w:r>
          </w:p>
          <w:p>
            <w:pPr>
              <w:pStyle w:val="null3"/>
              <w:ind w:firstLine="480"/>
              <w:jc w:val="both"/>
            </w:pPr>
            <w:r>
              <w:rPr>
                <w:rFonts w:ascii="仿宋_GB2312" w:hAnsi="仿宋_GB2312" w:cs="仿宋_GB2312" w:eastAsia="仿宋_GB2312"/>
                <w:sz w:val="24"/>
              </w:rPr>
              <w:t>完整起草《商洛市消防通道管理规定》法规正文，配套编制《起草说明》《立法依据对照表》《条文释义》；依法科学设计行政处罚裁量幅度、各行政主管部门法定职责、物业与市场主体责任边界、行政执法办理流程；依据立法技术规范完成多轮修改、统稿、校对，保证体例合规、法条表述严谨规范。</w:t>
            </w:r>
          </w:p>
          <w:p>
            <w:pPr>
              <w:pStyle w:val="null3"/>
              <w:ind w:firstLine="480"/>
              <w:jc w:val="both"/>
            </w:pPr>
            <w:r>
              <w:rPr>
                <w:rFonts w:ascii="仿宋_GB2312" w:hAnsi="仿宋_GB2312" w:cs="仿宋_GB2312" w:eastAsia="仿宋_GB2312"/>
                <w:sz w:val="24"/>
              </w:rPr>
              <w:t>3. 合法性与合规性审查服务</w:t>
            </w:r>
          </w:p>
          <w:p>
            <w:pPr>
              <w:pStyle w:val="null3"/>
              <w:ind w:firstLine="480"/>
              <w:jc w:val="both"/>
            </w:pPr>
            <w:r>
              <w:rPr>
                <w:rFonts w:ascii="仿宋_GB2312" w:hAnsi="仿宋_GB2312" w:cs="仿宋_GB2312" w:eastAsia="仿宋_GB2312"/>
                <w:sz w:val="24"/>
              </w:rPr>
              <w:t>自查立法事项法定权限、立法程序、条款内容合法性；完成公平竞争审查、行政强制措施合法性审查、行政处罚权限合规审查；对接市司法局等立法审查主管部门，根据合法性审查意见逐条修改完善文稿；确保全部条文无上位法抵触、无越权创设行政许可、处罚、强制等违法条款。</w:t>
            </w:r>
          </w:p>
          <w:p>
            <w:pPr>
              <w:pStyle w:val="null3"/>
              <w:ind w:firstLine="480"/>
              <w:jc w:val="both"/>
            </w:pPr>
            <w:r>
              <w:rPr>
                <w:rFonts w:ascii="仿宋_GB2312" w:hAnsi="仿宋_GB2312" w:cs="仿宋_GB2312" w:eastAsia="仿宋_GB2312"/>
                <w:sz w:val="24"/>
              </w:rPr>
              <w:t>4. 立法风险评估服务</w:t>
            </w:r>
          </w:p>
          <w:p>
            <w:pPr>
              <w:pStyle w:val="null3"/>
              <w:ind w:firstLine="480"/>
              <w:jc w:val="both"/>
            </w:pPr>
            <w:r>
              <w:rPr>
                <w:rFonts w:ascii="仿宋_GB2312" w:hAnsi="仿宋_GB2312" w:cs="仿宋_GB2312" w:eastAsia="仿宋_GB2312"/>
                <w:sz w:val="24"/>
              </w:rPr>
              <w:t>按照地方立法风险评估相关规范，开展社会稳定风险评估、制度落地实施成本测算、法条实操可行性评估；梳理行政执法冲突、群众诉求争议、物业服务企业及市场主体合规负担等各类风险点位，编制正式《立法风险评估报告》，逐项制定风险防控、化解配套措施。</w:t>
            </w:r>
          </w:p>
          <w:p>
            <w:pPr>
              <w:pStyle w:val="null3"/>
              <w:ind w:firstLine="480"/>
              <w:jc w:val="both"/>
            </w:pPr>
            <w:r>
              <w:rPr>
                <w:rFonts w:ascii="仿宋_GB2312" w:hAnsi="仿宋_GB2312" w:cs="仿宋_GB2312" w:eastAsia="仿宋_GB2312"/>
                <w:sz w:val="24"/>
              </w:rPr>
              <w:t>5. 公众参与与会议组织服务</w:t>
            </w:r>
          </w:p>
          <w:p>
            <w:pPr>
              <w:pStyle w:val="null3"/>
              <w:ind w:firstLine="480"/>
              <w:jc w:val="both"/>
            </w:pPr>
            <w:r>
              <w:rPr>
                <w:rFonts w:ascii="仿宋_GB2312" w:hAnsi="仿宋_GB2312" w:cs="仿宋_GB2312" w:eastAsia="仿宋_GB2312"/>
                <w:sz w:val="24"/>
              </w:rPr>
              <w:t>牵头组织行业部门座谈会、立法专家论证会、社会群众座谈会；根据立法需要依法组织立法听证会，全权负责听证方案编制、听证公告发布、现场组织、会议记录、听证报告编撰；分类汇总行政机关、行业单位、社会公众反馈意见，编制意见采纳与修改对照表；全流程提供会议材料编制、会务落地、反馈意见书面答复等配套服务。</w:t>
            </w:r>
          </w:p>
          <w:p>
            <w:pPr>
              <w:pStyle w:val="null3"/>
              <w:ind w:firstLine="480"/>
              <w:jc w:val="both"/>
            </w:pPr>
            <w:r>
              <w:rPr>
                <w:rFonts w:ascii="仿宋_GB2312" w:hAnsi="仿宋_GB2312" w:cs="仿宋_GB2312" w:eastAsia="仿宋_GB2312"/>
                <w:sz w:val="24"/>
              </w:rPr>
              <w:t>6. 审议与报批服务</w:t>
            </w:r>
          </w:p>
          <w:p>
            <w:pPr>
              <w:pStyle w:val="null3"/>
              <w:ind w:firstLine="480"/>
              <w:jc w:val="both"/>
            </w:pPr>
            <w:r>
              <w:rPr>
                <w:rFonts w:ascii="仿宋_GB2312" w:hAnsi="仿宋_GB2312" w:cs="仿宋_GB2312" w:eastAsia="仿宋_GB2312"/>
                <w:sz w:val="24"/>
              </w:rPr>
              <w:t>配合市政府、市人大法制工作机构等审议机关开展草案审议工作；按需编制审议汇报材料、现场答疑材料、审议意见修改说明；依据审议意见逐条修订法规文本，完成规章 / 地方性法规报批、备案所需全套制式法律文书。</w:t>
            </w:r>
          </w:p>
          <w:p>
            <w:pPr>
              <w:pStyle w:val="null3"/>
              <w:ind w:firstLine="480"/>
              <w:jc w:val="both"/>
            </w:pPr>
            <w:r>
              <w:rPr>
                <w:rFonts w:ascii="仿宋_GB2312" w:hAnsi="仿宋_GB2312" w:cs="仿宋_GB2312" w:eastAsia="仿宋_GB2312"/>
                <w:sz w:val="24"/>
              </w:rPr>
              <w:t>7. 立法技术支撑服务</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《立法技术规范（试行）》</w:t>
            </w:r>
            <w:r>
              <w:rPr>
                <w:rFonts w:ascii="仿宋_GB2312" w:hAnsi="仿宋_GB2312" w:cs="仿宋_GB2312" w:eastAsia="仿宋_GB2312"/>
                <w:sz w:val="24"/>
              </w:rPr>
              <w:t>完成法规体例、篇章结构、法律用语标准化修正；打通消防、住建、城管、公安、街道办、物业服务等现有管理制度衔接；项目全周期提供立法法律咨询、政策释义、条款答疑服务；项目终结后完成全部立法成果汇编、项目档案规整、电子版文档标准化制作归档。</w:t>
            </w:r>
          </w:p>
          <w:p>
            <w:pPr>
              <w:pStyle w:val="null3"/>
              <w:ind w:firstLine="480"/>
              <w:jc w:val="both"/>
            </w:pPr>
            <w:r>
              <w:rPr>
                <w:rFonts w:ascii="仿宋_GB2312" w:hAnsi="仿宋_GB2312" w:cs="仿宋_GB2312" w:eastAsia="仿宋_GB2312"/>
                <w:sz w:val="24"/>
              </w:rPr>
              <w:t>8. 其他配套服务</w:t>
            </w:r>
          </w:p>
          <w:p>
            <w:pPr>
              <w:pStyle w:val="null3"/>
              <w:ind w:firstLine="480"/>
              <w:jc w:val="both"/>
            </w:pPr>
            <w:r>
              <w:rPr>
                <w:rFonts w:ascii="仿宋_GB2312" w:hAnsi="仿宋_GB2312" w:cs="仿宋_GB2312" w:eastAsia="仿宋_GB2312"/>
                <w:sz w:val="24"/>
              </w:rPr>
              <w:t>根据采购人工作指令出具专项法律意见书、正式答复函、专项工作情况说明；配合采购人开展法规配套政策宣传，对宣传文稿开展法律合规审核；承接采购人交办的本立法项目关联法务辅助工作。</w:t>
            </w:r>
          </w:p>
          <w:p>
            <w:pPr>
              <w:pStyle w:val="null3"/>
              <w:ind w:firstLine="480"/>
              <w:jc w:val="both"/>
            </w:pPr>
            <w:r>
              <w:rPr>
                <w:rFonts w:ascii="仿宋_GB2312" w:hAnsi="仿宋_GB2312" w:cs="仿宋_GB2312" w:eastAsia="仿宋_GB2312"/>
                <w:sz w:val="24"/>
              </w:rPr>
              <w:t>（二）成果质量标准</w:t>
            </w:r>
          </w:p>
          <w:p>
            <w:pPr>
              <w:pStyle w:val="null3"/>
              <w:ind w:firstLine="480"/>
              <w:jc w:val="both"/>
            </w:pPr>
            <w:r>
              <w:rPr>
                <w:rFonts w:ascii="仿宋_GB2312" w:hAnsi="仿宋_GB2312" w:cs="仿宋_GB2312" w:eastAsia="仿宋_GB2312"/>
                <w:sz w:val="24"/>
              </w:rPr>
              <w:t>1. 草案文本：逻辑结构严谨、权责划分清晰、监管程序完备，修改完善后可直接提请审议机关上会审议； 2. 法律合规：无越权创设处罚、强制、许可内容，不存在与上位法抵触等合规缺陷； 3. 体例规范：严格遵照《规章制定程序条例》《立法技术规范（试行）》格式要求； 4. 意见落实：针对主管部门、专家、社会公众、审议机关提出的修改意见逐条回应，采纳或不予采纳均附书面理由，台账可核查。</w:t>
            </w:r>
          </w:p>
          <w:p>
            <w:pPr>
              <w:pStyle w:val="null3"/>
              <w:ind w:firstLine="480"/>
              <w:jc w:val="both"/>
            </w:pPr>
            <w:r>
              <w:rPr>
                <w:rFonts w:ascii="仿宋_GB2312" w:hAnsi="仿宋_GB2312" w:cs="仿宋_GB2312" w:eastAsia="仿宋_GB2312"/>
                <w:sz w:val="24"/>
              </w:rPr>
              <w:t>（三）工作时效标准</w:t>
            </w:r>
          </w:p>
          <w:p>
            <w:pPr>
              <w:pStyle w:val="null3"/>
              <w:ind w:firstLine="480"/>
              <w:jc w:val="both"/>
            </w:pPr>
            <w:r>
              <w:rPr>
                <w:rFonts w:ascii="仿宋_GB2312" w:hAnsi="仿宋_GB2312" w:cs="仿宋_GB2312" w:eastAsia="仿宋_GB2312"/>
                <w:sz w:val="24"/>
              </w:rPr>
              <w:t>全流程按法定立法周期履约，约定关键节点成果提前 3 个日历日交付： 1. 项目合同生效后 15 个日历日内提交立法调研及可行性分析报告； 2. 当年 7 月 30 日前提交法规草案初稿及全套配套起草资料； 3. 论证修改、合法性审查、报批等工作严格遵照采购人及立法审查机关限定时限完成； 4. 紧急交办事项 24 小时内响应并出具阶段性处置意见；日常法律咨询事项 48 小时内出具书面反馈意见。</w:t>
            </w:r>
          </w:p>
          <w:p>
            <w:pPr>
              <w:pStyle w:val="null3"/>
              <w:ind w:firstLine="480"/>
              <w:jc w:val="both"/>
            </w:pPr>
            <w:r>
              <w:rPr>
                <w:rFonts w:ascii="仿宋_GB2312" w:hAnsi="仿宋_GB2312" w:cs="仿宋_GB2312" w:eastAsia="仿宋_GB2312"/>
                <w:sz w:val="24"/>
              </w:rPr>
              <w:t>（四）调研与论证标准</w:t>
            </w:r>
          </w:p>
          <w:p>
            <w:pPr>
              <w:pStyle w:val="null3"/>
              <w:ind w:firstLine="480"/>
              <w:jc w:val="both"/>
            </w:pPr>
            <w:r>
              <w:rPr>
                <w:rFonts w:ascii="仿宋_GB2312" w:hAnsi="仿宋_GB2312" w:cs="仿宋_GB2312" w:eastAsia="仿宋_GB2312"/>
                <w:sz w:val="24"/>
              </w:rPr>
              <w:t>1. 实地调研覆盖范围：商洛市老旧住宅小区、商业商圈、工业园区、医院及学校不少于 3 类重点区域； 2. 座谈参会主体：消防救援、住建、城管、公安、司法行政、属地街道办事处、物业行业、居民群众代表等相关单位； 3. 专家论证：每次专家评审会参会副高级及以上专业专家不少于 5 名（包含法学、消防治理、城乡规划、城市管理、地方立法方向专家）； 4. 调研成果：形成问题清单、部门责任清单、制度创设清单、立法建议清单四份完整台账，内容详实、数据可溯源核查。</w:t>
            </w:r>
          </w:p>
          <w:p>
            <w:pPr>
              <w:pStyle w:val="null3"/>
              <w:ind w:firstLine="480"/>
              <w:jc w:val="both"/>
            </w:pPr>
            <w:r>
              <w:rPr>
                <w:rFonts w:ascii="仿宋_GB2312" w:hAnsi="仿宋_GB2312" w:cs="仿宋_GB2312" w:eastAsia="仿宋_GB2312"/>
                <w:sz w:val="24"/>
              </w:rPr>
              <w:t>（五）会议与材料标准</w:t>
            </w:r>
          </w:p>
          <w:p>
            <w:pPr>
              <w:pStyle w:val="null3"/>
              <w:ind w:firstLine="480"/>
              <w:jc w:val="both"/>
            </w:pPr>
            <w:r>
              <w:rPr>
                <w:rFonts w:ascii="仿宋_GB2312" w:hAnsi="仿宋_GB2312" w:cs="仿宋_GB2312" w:eastAsia="仿宋_GB2312"/>
                <w:sz w:val="24"/>
              </w:rPr>
              <w:t>各类立法会议全流程资料规范（会议议程、参会通知、签到表、会议记录、正式会议纪要齐全）；立法征求意见采取线上 + 线下同步征集模式，全部意见分类建档形成台账；项目最终成果纸质版 6 份（分别留存市消防救援支队、市司法局、市人大法工委等单位），同步交付全套电子版（Word+PDF 双格式），文档目录清晰、页码编制规范。</w:t>
            </w:r>
          </w:p>
          <w:p>
            <w:pPr>
              <w:pStyle w:val="null3"/>
              <w:ind w:firstLine="480"/>
              <w:jc w:val="both"/>
            </w:pPr>
            <w:r>
              <w:rPr>
                <w:rFonts w:ascii="仿宋_GB2312" w:hAnsi="仿宋_GB2312" w:cs="仿宋_GB2312" w:eastAsia="仿宋_GB2312"/>
                <w:sz w:val="24"/>
              </w:rPr>
              <w:t>（六）保密与廉洁标准</w:t>
            </w:r>
          </w:p>
          <w:p>
            <w:pPr>
              <w:pStyle w:val="null3"/>
              <w:ind w:firstLine="480"/>
              <w:jc w:val="both"/>
            </w:pPr>
            <w:r>
              <w:rPr>
                <w:rFonts w:ascii="仿宋_GB2312" w:hAnsi="仿宋_GB2312" w:cs="仿宋_GB2312" w:eastAsia="仿宋_GB2312"/>
                <w:sz w:val="24"/>
              </w:rPr>
              <w:t>成交供应商对项目调研原始资料、法规草案各修订版本、内部研讨意见、审议涉密材料严格保密，不得私自对外泄露、擅自公开发表；项目从业人员严禁接受利害关系主体请托、不得利用项目便利谋取不正当利益；涉密资料实行专人保管、专用存储载体传输，违反保密约定按合同约定承担违约责任（遵照《保守国家秘密法》相关规定执行）。</w:t>
            </w:r>
          </w:p>
          <w:p>
            <w:pPr>
              <w:pStyle w:val="null3"/>
              <w:ind w:firstLine="480"/>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（二）项目团队配置要求</w:t>
            </w:r>
          </w:p>
          <w:p>
            <w:pPr>
              <w:pStyle w:val="null3"/>
              <w:ind w:firstLine="480"/>
              <w:jc w:val="both"/>
            </w:pPr>
            <w:r>
              <w:rPr>
                <w:rFonts w:ascii="仿宋_GB2312" w:hAnsi="仿宋_GB2312" w:cs="仿宋_GB2312" w:eastAsia="仿宋_GB2312"/>
                <w:sz w:val="24"/>
              </w:rPr>
              <w:t>本项目团队配置为实质性履约参数，所有配置标准为硬性考核指标，供应商须完全满足下述人员资质、团队规模、专业配置要求，全程固定在岗专职履约，不得随意更换人员、不得外挂兼职，未达标视为不满足履约条件。</w:t>
            </w:r>
          </w:p>
          <w:p>
            <w:pPr>
              <w:pStyle w:val="null3"/>
              <w:ind w:firstLine="480"/>
              <w:jc w:val="both"/>
            </w:pPr>
            <w:r>
              <w:rPr>
                <w:rFonts w:ascii="仿宋_GB2312" w:hAnsi="仿宋_GB2312" w:cs="仿宋_GB2312" w:eastAsia="仿宋_GB2312"/>
                <w:sz w:val="24"/>
              </w:rPr>
              <w:t>1.项目负责人具备法学副高级及以上职称、法学硕士及以上学位；</w:t>
            </w:r>
          </w:p>
          <w:p>
            <w:pPr>
              <w:pStyle w:val="null3"/>
              <w:ind w:firstLine="480"/>
              <w:jc w:val="both"/>
            </w:pPr>
            <w:r>
              <w:rPr>
                <w:rFonts w:ascii="仿宋_GB2312" w:hAnsi="仿宋_GB2312" w:cs="仿宋_GB2312" w:eastAsia="仿宋_GB2312"/>
                <w:sz w:val="24"/>
              </w:rPr>
              <w:t>2.项目专职服务团队固定人员不少于 6 人，团队高级职称人员≥3 人（含法学正高、副高），全员大多具备法学硕士及以上学位；</w:t>
            </w:r>
          </w:p>
          <w:p>
            <w:pPr>
              <w:pStyle w:val="null3"/>
              <w:ind w:firstLine="480"/>
              <w:jc w:val="both"/>
            </w:pPr>
            <w:r>
              <w:rPr>
                <w:rFonts w:ascii="仿宋_GB2312" w:hAnsi="仿宋_GB2312" w:cs="仿宋_GB2312" w:eastAsia="仿宋_GB2312"/>
                <w:sz w:val="24"/>
              </w:rPr>
              <w:t>3.团队内至少 2 人持有法律职业资格证书，熟练掌握消防、城管、住建领域现行法律法规；项目固定配置立法技术专员 1 名，专职负责法条规范校对、全流程合法性审查、公平竞争审查、立法风险评估工作。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人员配置总数量≥7人。1.项目负责人具备法学副高级及以上职称、法学硕士及以上学位； 2.项目专职服务团队固定人员不少于 6 人，团队高级职称人员≥3 人（含法学正高、副高），全员大多具备法学硕士及以上学位； 3.团队内至少 2 人持有法律职业资格证书，熟练掌握消防、城管、住建领域现行法律法规；项目固定配置立法技术专员 1 名，专职负责法条规范校对、全流程合法性审查、公平竞争审查、立法风险评估工作。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须配合完成本项目服务所需的设施、设备。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知识产权归属和处理方式：1. 知识产权归属： 本项目实施过程中形成的全部阶段性成果、最终立法成果、调研报告、文稿资料、分析数据、台账文件及衍生成果的所有权、使用权、著作权及全部知识产权均归商洛市消防救援支队独家所有。 2. 权利使用限制： 未经商洛市消防救援支队书面正式许可，成交供应商不得将本项目任何成果、资料、数据、内容自行使用、转载、发表、传播、用于其他项目或提供给第三方，不得申请任何形式知识产权登记。 3. 成果保密与处置： 项目未公开立法资料属于内部涉密工作成果，成交供应商须全程保密，项目结束后不得私自留存、复制、外泄全部涉密成果资料。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从合同签订生效后开始计算，期限为1年。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交付内容标准： 成交供应商须完整交付本项目全流程立法成果资料，包含但不限于：项目立法调研报告、各版本立法草案、送审稿、议案稿、合法性审查意见、公平竞争审查材料、立法风险评估报告、部门座谈及专家论证会议资料、公众意见征集台账及处理说明、全套项目过程佐证资料、项目归档资料等，所有成果内容须完整覆盖本项目全部采购服务内容，无缺项、无漏项。 2. 交付格式标准： 所有成果同时提供纸质版与电子版，纸质版排版规范、页码完整、装订整齐；电子版文件格式规范、目录清晰、分类归档，可直接用于报审、存档、打印使用。 3. 验收方式与流程： 本项目采用全过程阶段性核查+最终综合验收方式。采购人根据项目推进节点，对阶段性成果进行核查；项目全部服务完成后，成交供应商提交完整验收资料，采购人对照本采购需求、服务标准、成果要求逐项核验，资料齐全、质量达标、流程合规、完全履约的，予以验收合格；存在缺项、质量瑕疵、逾期交付、资料不全的，责令限期整改，整改合格后方可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进度款，合同签订、生效之⽇起，达到付款条件起15个工作日内，支付合同总金额的40.0%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进度款，成交供应商根据采购⼈需求完成全部项⽬内容， 并验收完毕且合格后，达到付款条件起15个工作日内，支付合同总金额的60.0%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 （1）成交供应商未按合同约定时限交付阶段性成果或最终成果的，每逾期一日，按合同总金额的千分之三向采购人支付违约金，逾期超15日，采购人有权单方解除合同，并追究损失。 （2）交付成果质量不达标、不符合立法规范、存在法律瑕疵或无法满足报审要求的，供应商须无条件免费整改、返工、完善，直至合格，同时承担由此造成的项目延误及全部损失。 （3）未经采购人同意擅自更换核心服务团队人员、擅自转包或分包项目的，采购人有权终止合同、扣除相应服务费用，并追究违约责任。 （4）发生资料泄密、成果外泄、私自传播等行为的，采购人有权立即终止合同、不予结算费用，并依法追究相关法律责任。 2. 争议解决方式： 合同履行过程中发生争议，双方优先友好协商解决；协商不成的，任何一方均有权向采购人所在地有管辖权的人民法院提起诉讼。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（1）供应商在参加磋商时无需提交纸质响应文件。 2.成交供应商在签订合同前须补交一套纸质响应文件用于备案，响应文件正本1份，副本2份，电子版文件2份（以U盘为载体，电子版内容包括word版本、签字盖章扫描后的PDF版本响应文件）。（2）纸质响应文件须与陕西省政府采购电子化系统中响应文件内容一致，并基于电子文档、用A4纸打印，分别各自装订成册并编制目录和页码。 纸质响应文件递交地点:商洛市商州区工农路12号，商洛财政办公楼613室。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营业执照等主体资格证明文件.docx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具有履行本项目所必需的设备和专业技术能力</w:t>
            </w:r>
          </w:p>
        </w:tc>
        <w:tc>
          <w:tcPr>
            <w:tcW w:type="dxa" w:w="3322"/>
          </w:tcPr>
          <w:p>
            <w:pPr>
              <w:pStyle w:val="null3"/>
            </w:pPr>
            <w:r>
              <w:rPr>
                <w:rFonts w:ascii="仿宋_GB2312" w:hAnsi="仿宋_GB2312" w:cs="仿宋_GB2312" w:eastAsia="仿宋_GB2312"/>
              </w:rPr>
              <w:t>供应商须在电子化交易系统中提交“专业技术能力声明函”原件的扫描件，并进行电子签章。</w:t>
            </w:r>
          </w:p>
        </w:tc>
        <w:tc>
          <w:tcPr>
            <w:tcW w:type="dxa" w:w="1661"/>
          </w:tcPr>
          <w:p>
            <w:pPr>
              <w:pStyle w:val="null3"/>
            </w:pPr>
            <w:r>
              <w:rPr>
                <w:rFonts w:ascii="仿宋_GB2312" w:hAnsi="仿宋_GB2312" w:cs="仿宋_GB2312" w:eastAsia="仿宋_GB2312"/>
              </w:rPr>
              <w:t>专业技术能力声明函.docx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在项目电子化交易系统中提交（1）响应文件提交截止之日前两年内任意一个年度经第三方机构或会计师事务所审计的财务报告（成立时间至提交响应文件截止时间不足一年的，可提供成立后任意时段的资产负债表），审计报告须上传至注册会计师行业统一监管平台并赋二维码；（2）提交响应文件截止之日前三个月内基本开户银行出具的资信证明；（3）信用担保机构出具的投标担保函（以上三种形式的资料提供任何一种即可），并完成电子签章。</w:t>
            </w:r>
          </w:p>
        </w:tc>
        <w:tc>
          <w:tcPr>
            <w:tcW w:type="dxa" w:w="1661"/>
          </w:tcPr>
          <w:p>
            <w:pPr>
              <w:pStyle w:val="null3"/>
            </w:pPr>
            <w:r>
              <w:rPr>
                <w:rFonts w:ascii="仿宋_GB2312" w:hAnsi="仿宋_GB2312" w:cs="仿宋_GB2312" w:eastAsia="仿宋_GB2312"/>
              </w:rPr>
              <w:t>财务状况证明材料.docx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在项目电子化交易系统中提交响应文件截止之日前一年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在项目电子化交易系统中提交响应文件截止之日前一年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控股关系承诺函.docx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供应商信用记录声明函.docx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法定代表人身份证明及授权委托书合法有效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人参加磋商的须提供法定代表人授权委托书、被授权人身份证，并须在项目电子化交易系统中提交法定代表人身份证、法定代表人身份证明书（或法定代表人授权委托书、被授权人身份证）原件的扫描件，完成电子签章。</w:t>
            </w:r>
          </w:p>
        </w:tc>
        <w:tc>
          <w:tcPr>
            <w:tcW w:type="dxa" w:w="1661"/>
          </w:tcPr>
          <w:p>
            <w:pPr>
              <w:pStyle w:val="null3"/>
            </w:pPr>
            <w:r>
              <w:rPr>
                <w:rFonts w:ascii="仿宋_GB2312" w:hAnsi="仿宋_GB2312" w:cs="仿宋_GB2312" w:eastAsia="仿宋_GB2312"/>
              </w:rPr>
              <w:t>法定代表人身份证明及授权委托书.docx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响应文件封面 报价一览表及分项报价说明.docx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服务团队配备</w:t>
            </w:r>
          </w:p>
        </w:tc>
        <w:tc>
          <w:tcPr>
            <w:tcW w:type="dxa" w:w="3322"/>
          </w:tcPr>
          <w:p>
            <w:pPr>
              <w:pStyle w:val="null3"/>
            </w:pPr>
            <w:r>
              <w:rPr>
                <w:rFonts w:ascii="仿宋_GB2312" w:hAnsi="仿宋_GB2312" w:cs="仿宋_GB2312" w:eastAsia="仿宋_GB2312"/>
              </w:rPr>
              <w:t>服务团队（项目负责人、项目团队人员人）配置须符合磋商文件要求，不符合要求的符合性审查不予通过。</w:t>
            </w:r>
          </w:p>
        </w:tc>
        <w:tc>
          <w:tcPr>
            <w:tcW w:type="dxa" w:w="1661"/>
          </w:tcPr>
          <w:p>
            <w:pPr>
              <w:pStyle w:val="null3"/>
            </w:pPr>
            <w:r>
              <w:rPr>
                <w:rFonts w:ascii="仿宋_GB2312" w:hAnsi="仿宋_GB2312" w:cs="仿宋_GB2312" w:eastAsia="仿宋_GB2312"/>
              </w:rPr>
              <w:t>项目服务团队配置方案.docx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供应商须按要求签署承诺和声明，未签署承诺书和声明的符合性审查不予通过。</w:t>
            </w:r>
          </w:p>
        </w:tc>
        <w:tc>
          <w:tcPr>
            <w:tcW w:type="dxa" w:w="1661"/>
          </w:tcPr>
          <w:p>
            <w:pPr>
              <w:pStyle w:val="null3"/>
            </w:pPr>
            <w:r>
              <w:rPr>
                <w:rFonts w:ascii="仿宋_GB2312" w:hAnsi="仿宋_GB2312" w:cs="仿宋_GB2312" w:eastAsia="仿宋_GB2312"/>
              </w:rPr>
              <w:t>磋商承诺函.docx 总体服务承诺声明.docx 履约服务承诺书.docx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整体立法服务实施方案</w:t>
            </w:r>
          </w:p>
        </w:tc>
        <w:tc>
          <w:tcPr>
            <w:tcW w:type="dxa" w:w="2492"/>
          </w:tcPr>
          <w:p>
            <w:pPr>
              <w:pStyle w:val="null3"/>
            </w:pPr>
            <w:r>
              <w:rPr>
                <w:rFonts w:ascii="仿宋_GB2312" w:hAnsi="仿宋_GB2312" w:cs="仿宋_GB2312" w:eastAsia="仿宋_GB2312"/>
              </w:rPr>
              <w:t>本项对应采购需求八大类全流程立法服务内容，依据供应商提交的整体立法服务方案完整性、流程规范性、本地化适配性、落地实操性量化评审。 （1）方案完整覆盖全域实地调研、法规草案起草、合规性审查、立法风险评估、部门座谈组织、专家论证评审、公众意见征集、多轮修订校核、审议报批支撑、全成果归档十大核心服务环节，贴合商洛市消防通道治理本地实际，流程闭环完整、措施精细可落地、完全匹配采购全部服务内容，得25分。 （2）核心服务环节每缺失1项，扣1.5分，缺项据实扣减，扣完本项分值为止。 （3）方案无商洛本地消防治理针对性、通用模板化严重，未结合本地老旧小区、商圈、园区消防通道治理痛点的，一次性扣4分。 （4）服务流程逻辑混乱、环节衔接缺失，未体现立法全流程闭环管控的，一次性扣4分。 （5）未明确立法成果质量管控、文本校对、合规校核基础措施的，一次性扣3分。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整体服务实施方案.docx</w:t>
            </w:r>
          </w:p>
        </w:tc>
      </w:tr>
      <w:tr>
        <w:tc>
          <w:tcPr>
            <w:tcW w:type="dxa" w:w="831"/>
            <w:vMerge/>
          </w:tcPr>
          <w:p/>
        </w:tc>
        <w:tc>
          <w:tcPr>
            <w:tcW w:type="dxa" w:w="1661"/>
          </w:tcPr>
          <w:p>
            <w:pPr>
              <w:pStyle w:val="null3"/>
            </w:pPr>
            <w:r>
              <w:rPr>
                <w:rFonts w:ascii="仿宋_GB2312" w:hAnsi="仿宋_GB2312" w:cs="仿宋_GB2312" w:eastAsia="仿宋_GB2312"/>
              </w:rPr>
              <w:t>立法重难点专项解决方案</w:t>
            </w:r>
          </w:p>
        </w:tc>
        <w:tc>
          <w:tcPr>
            <w:tcW w:type="dxa" w:w="2492"/>
          </w:tcPr>
          <w:p>
            <w:pPr>
              <w:pStyle w:val="null3"/>
            </w:pPr>
            <w:r>
              <w:rPr>
                <w:rFonts w:ascii="仿宋_GB2312" w:hAnsi="仿宋_GB2312" w:cs="仿宋_GB2312" w:eastAsia="仿宋_GB2312"/>
              </w:rPr>
              <w:t>本项对应采购需求执法难点、监管盲区、合规审查、风险评估核心要求，针对本项目立法重难点专项施策量化打分。 （1）方案完整包含多部门监管权责划分、行政处罚裁量合规设计、立法权限与上位法合规风险防控、社会稳定风险处置、制度实施成本管控、跨部门分歧协调机制、法条冲突化解、市场主体合规负担减负八大专项解决措施，条款设计科学、合规严谨、贴合商洛执法实操，无漏洞、无抵触，得15分。 （2）八大专项措施每缺1项，扣2分，扣完为止。 （3）措施仅简单表述、无实操流程、无落地细则、针对性薄弱的，每项不完善措施扣1分。 （4）权责划分模糊、罚则设计笼统、风险防控无具体处置措施的，一次性扣4分。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项目重难点专项解决方案.docx</w:t>
            </w:r>
          </w:p>
        </w:tc>
      </w:tr>
      <w:tr>
        <w:tc>
          <w:tcPr>
            <w:tcW w:type="dxa" w:w="831"/>
            <w:vMerge/>
          </w:tcPr>
          <w:p/>
        </w:tc>
        <w:tc>
          <w:tcPr>
            <w:tcW w:type="dxa" w:w="1661"/>
          </w:tcPr>
          <w:p>
            <w:pPr>
              <w:pStyle w:val="null3"/>
            </w:pPr>
            <w:r>
              <w:rPr>
                <w:rFonts w:ascii="仿宋_GB2312" w:hAnsi="仿宋_GB2312" w:cs="仿宋_GB2312" w:eastAsia="仿宋_GB2312"/>
              </w:rPr>
              <w:t>项目进度管控与时效保障方案</w:t>
            </w:r>
          </w:p>
        </w:tc>
        <w:tc>
          <w:tcPr>
            <w:tcW w:type="dxa" w:w="2492"/>
          </w:tcPr>
          <w:p>
            <w:pPr>
              <w:pStyle w:val="null3"/>
            </w:pPr>
            <w:r>
              <w:rPr>
                <w:rFonts w:ascii="仿宋_GB2312" w:hAnsi="仿宋_GB2312" w:cs="仿宋_GB2312" w:eastAsia="仿宋_GB2312"/>
              </w:rPr>
              <w:t>本项严格对应采购需求全部时效节点、响应时限、提前交付要求量化评审。 （1）方案明确细化合同生效15日历日提交可研报告、7月30日前提交全套初稿资料、关键节点提前3日交付全部法定节点；建立动态进度管控、工期预警、延误补救机制；明确24小时紧急事项响应、48小时日常咨询书面反馈闭环机制，节点清晰、管控到位、响应机制完善，得10分。 （2）缺失任一关键交付节点的，每处扣2分。 （3）未明确关键成果提前3日交付保障措施的，扣2分。 （4）无24小时紧急响应、48小时书面反馈机制的，每项扣1.5分。 （5）无进度动态管控、无工期预警、无延误补救措施的，扣3分。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项目进度管控与时效保障响应方案.docx</w:t>
            </w:r>
          </w:p>
        </w:tc>
      </w:tr>
      <w:tr>
        <w:tc>
          <w:tcPr>
            <w:tcW w:type="dxa" w:w="831"/>
            <w:vMerge/>
          </w:tcPr>
          <w:p/>
        </w:tc>
        <w:tc>
          <w:tcPr>
            <w:tcW w:type="dxa" w:w="1661"/>
          </w:tcPr>
          <w:p>
            <w:pPr>
              <w:pStyle w:val="null3"/>
            </w:pPr>
            <w:r>
              <w:rPr>
                <w:rFonts w:ascii="仿宋_GB2312" w:hAnsi="仿宋_GB2312" w:cs="仿宋_GB2312" w:eastAsia="仿宋_GB2312"/>
              </w:rPr>
              <w:t>会议组织与公众意见处置方案</w:t>
            </w:r>
          </w:p>
        </w:tc>
        <w:tc>
          <w:tcPr>
            <w:tcW w:type="dxa" w:w="2492"/>
          </w:tcPr>
          <w:p>
            <w:pPr>
              <w:pStyle w:val="null3"/>
            </w:pPr>
            <w:r>
              <w:rPr>
                <w:rFonts w:ascii="仿宋_GB2312" w:hAnsi="仿宋_GB2312" w:cs="仿宋_GB2312" w:eastAsia="仿宋_GB2312"/>
              </w:rPr>
              <w:t>本项对应采购需求会议组织、专家论证、公众参与、意见征集与台账管理标准量化评审。 （1）方案完整明确部门座谈会、群众座谈会、立法听证会、专家论证会全流程组织细则；严格落实单场专家不少于5名副高及以上专业人员的专家配置标准；明确参会主体统筹、会议资料制备、签到归档、纪要编制规范；建立线上+线下一体化意见征集、分类梳理、逐条研判、采纳/不予采纳书面说明、台账归档闭环机制，流程规范、可落地性强，得10分。 （2）未明确5名及以上副高及以上专家论证标准的，扣3分。 （3）缺失任一会议组织流程环节（议程、通知、签到、记录、纪要）的，每处扣1分。 （4）未落实线上+线下双向意见征集模式的，扣2分。 （5）无意见逐条研判、无采纳理由说明、无台账归档机制的，每项扣2分。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会议组织及公众意见处置方案.docx</w:t>
            </w:r>
          </w:p>
        </w:tc>
      </w:tr>
      <w:tr>
        <w:tc>
          <w:tcPr>
            <w:tcW w:type="dxa" w:w="831"/>
            <w:vMerge/>
          </w:tcPr>
          <w:p/>
        </w:tc>
        <w:tc>
          <w:tcPr>
            <w:tcW w:type="dxa" w:w="1661"/>
          </w:tcPr>
          <w:p>
            <w:pPr>
              <w:pStyle w:val="null3"/>
            </w:pPr>
            <w:r>
              <w:rPr>
                <w:rFonts w:ascii="仿宋_GB2312" w:hAnsi="仿宋_GB2312" w:cs="仿宋_GB2312" w:eastAsia="仿宋_GB2312"/>
              </w:rPr>
              <w:t>保密管理与成果归档交付方案</w:t>
            </w:r>
          </w:p>
        </w:tc>
        <w:tc>
          <w:tcPr>
            <w:tcW w:type="dxa" w:w="2492"/>
          </w:tcPr>
          <w:p>
            <w:pPr>
              <w:pStyle w:val="null3"/>
            </w:pPr>
            <w:r>
              <w:rPr>
                <w:rFonts w:ascii="仿宋_GB2312" w:hAnsi="仿宋_GB2312" w:cs="仿宋_GB2312" w:eastAsia="仿宋_GB2312"/>
              </w:rPr>
              <w:t>本项对应采购需求保密廉洁标准、会议材料标准、成果交付归档要求量化评审。 （1）方案严格对标《保守国家秘密法》，建立人员廉洁约束、涉密资料专人专管、专用存储传输、涉密文稿版本管控、泄密风险排查、泄密追责机制全套保密体系；明确项目成果6份纸质版+Word/PDF双格式电子版标准化交付、分阶段移交、目录页码规范、闭环归档留存机制，完全满足采购交付及保密要求，得10分。 （2）保密管控措施每缺1项核心内容，扣2分。 （3）未明确纸质、电子双格式标准化交付规范的，扣2分。 （4）无涉密资料专人、专存、专传管控措施的，扣3分。 （5）无成果台账归档、资料溯源管理机制的，扣2分。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保密管理与成果归档交付实施方案.docx</w:t>
            </w:r>
          </w:p>
        </w:tc>
      </w:tr>
      <w:tr>
        <w:tc>
          <w:tcPr>
            <w:tcW w:type="dxa" w:w="831"/>
            <w:vMerge/>
          </w:tcPr>
          <w:p/>
        </w:tc>
        <w:tc>
          <w:tcPr>
            <w:tcW w:type="dxa" w:w="1661"/>
          </w:tcPr>
          <w:p>
            <w:pPr>
              <w:pStyle w:val="null3"/>
            </w:pPr>
            <w:r>
              <w:rPr>
                <w:rFonts w:ascii="仿宋_GB2312" w:hAnsi="仿宋_GB2312" w:cs="仿宋_GB2312" w:eastAsia="仿宋_GB2312"/>
              </w:rPr>
              <w:t>项目团队配置能力</w:t>
            </w:r>
          </w:p>
        </w:tc>
        <w:tc>
          <w:tcPr>
            <w:tcW w:type="dxa" w:w="2492"/>
          </w:tcPr>
          <w:p>
            <w:pPr>
              <w:pStyle w:val="null3"/>
            </w:pPr>
            <w:r>
              <w:rPr>
                <w:rFonts w:ascii="仿宋_GB2312" w:hAnsi="仿宋_GB2312" w:cs="仿宋_GB2312" w:eastAsia="仿宋_GB2312"/>
              </w:rPr>
              <w:t>本项为团队综合实力择优评分项，属于超出项目最低符合性底线的增值考核条件。供应商在完全满足本项目团队配置实质性符合性底线要求的基础上，依据拟投入团队人员资质高配情况、专业配置完备度择优计分，所有人员资质、岗位配置需真实可查、在岗固定，外挂、兼职、临时人员不予计分。 （1）项目负责人在满足底线要求基础上，具备法学正高级职称+法学硕士及以上学位，佐证材料齐全，得4分；仅满足底线副高要求或佐证不全，本小项0分。 （2）项目固定专职服务团队总人数≥8人，其中高级职称人员≥4人（含法学正、副高），人员清单、职称证明齐全，得3分；仅满足底线人数、职称数量或佐证不全，本小项0分。 （3）团队不少于3人持有法律职业资格证书，固定配置专职立法技术专员且专职履职，人员资质、岗位说明齐全，得3分；仅满足底线持证人数或佐证不全，本小项0分。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项目服务团队配置方案.docx</w:t>
            </w:r>
          </w:p>
        </w:tc>
      </w:tr>
      <w:tr>
        <w:tc>
          <w:tcPr>
            <w:tcW w:type="dxa" w:w="831"/>
            <w:vMerge/>
          </w:tcPr>
          <w:p/>
        </w:tc>
        <w:tc>
          <w:tcPr>
            <w:tcW w:type="dxa" w:w="1661"/>
          </w:tcPr>
          <w:p>
            <w:pPr>
              <w:pStyle w:val="null3"/>
            </w:pPr>
            <w:r>
              <w:rPr>
                <w:rFonts w:ascii="仿宋_GB2312" w:hAnsi="仿宋_GB2312" w:cs="仿宋_GB2312" w:eastAsia="仿宋_GB2312"/>
              </w:rPr>
              <w:t>同类项目履约业绩</w:t>
            </w:r>
          </w:p>
        </w:tc>
        <w:tc>
          <w:tcPr>
            <w:tcW w:type="dxa" w:w="2492"/>
          </w:tcPr>
          <w:p>
            <w:pPr>
              <w:pStyle w:val="null3"/>
            </w:pPr>
            <w:r>
              <w:rPr>
                <w:rFonts w:ascii="仿宋_GB2312" w:hAnsi="仿宋_GB2312" w:cs="仿宋_GB2312" w:eastAsia="仿宋_GB2312"/>
              </w:rPr>
              <w:t>评审依据：供应商近10年承接的法治立法、制度规范编制、消防领域合规技术服务同类业绩，需提供完整合同、验收报告/结算证明，材料不全不予计分。 （1）每提供1项地方性法规、政府规章、规范性文件全流程立法起草、立法技术审查、立法风险评估同类法治立法业绩，得2分/项； （2）每提供1项消防领域管理制度、行业规范、专项合规方案编制、消防法治研究技术服务业绩，得2分/项； （3）本项累计得分最高10分，满分封顶，无有效业绩得0分。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评审基数：通过实质性符合性审查、完全满足磋商文件全部实质性履约要求的有效响应报价为有效评审报价。 2. 基准价确定：以全部有效响应报价中的最低有效报价为价格评审基准价。 3. 计分公式：价格得分=（价格基准价÷供应商有效最终报价）×10，得分保留两位小数。 4. 优惠政策：严格执行政府采购小微企业、残疾人福利性单位、监狱企业价格扣除扶持政策，对应优惠主体按规定修正报价后参与价格计分。 5. 无效报价界定：报价超出采购预算、低于成本价且无法提供合理说明、恶意低价竞争的，作无效响应处理，不计分。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详见附件：营业执照等主体资格证明文件.docx</w:t>
      </w:r>
    </w:p>
    <w:p>
      <w:pPr>
        <w:pStyle w:val="null3"/>
        <w:ind w:firstLine="960"/>
      </w:pPr>
      <w:r>
        <w:rPr>
          <w:rFonts w:ascii="仿宋_GB2312" w:hAnsi="仿宋_GB2312" w:cs="仿宋_GB2312" w:eastAsia="仿宋_GB2312"/>
        </w:rPr>
        <w:t>详见附件：专业技术能力声明函.docx</w:t>
      </w:r>
    </w:p>
    <w:p>
      <w:pPr>
        <w:pStyle w:val="null3"/>
        <w:ind w:firstLine="960"/>
      </w:pPr>
      <w:r>
        <w:rPr>
          <w:rFonts w:ascii="仿宋_GB2312" w:hAnsi="仿宋_GB2312" w:cs="仿宋_GB2312" w:eastAsia="仿宋_GB2312"/>
        </w:rPr>
        <w:t>详见附件：财务状况证明材料.docx</w:t>
      </w:r>
    </w:p>
    <w:p>
      <w:pPr>
        <w:pStyle w:val="null3"/>
        <w:ind w:firstLine="960"/>
      </w:pPr>
      <w:r>
        <w:rPr>
          <w:rFonts w:ascii="仿宋_GB2312" w:hAnsi="仿宋_GB2312" w:cs="仿宋_GB2312" w:eastAsia="仿宋_GB2312"/>
        </w:rPr>
        <w:t>详见附件：税收缴纳记录证明文件.docx</w:t>
      </w:r>
    </w:p>
    <w:p>
      <w:pPr>
        <w:pStyle w:val="null3"/>
        <w:ind w:firstLine="960"/>
      </w:pPr>
      <w:r>
        <w:rPr>
          <w:rFonts w:ascii="仿宋_GB2312" w:hAnsi="仿宋_GB2312" w:cs="仿宋_GB2312" w:eastAsia="仿宋_GB2312"/>
        </w:rPr>
        <w:t>详见附件：社会保障资金缴纳记录证明文件.docx</w:t>
      </w:r>
    </w:p>
    <w:p>
      <w:pPr>
        <w:pStyle w:val="null3"/>
        <w:ind w:firstLine="960"/>
      </w:pPr>
      <w:r>
        <w:rPr>
          <w:rFonts w:ascii="仿宋_GB2312" w:hAnsi="仿宋_GB2312" w:cs="仿宋_GB2312" w:eastAsia="仿宋_GB2312"/>
        </w:rPr>
        <w:t>详见附件：无重大违法记录声明函.docx</w:t>
      </w:r>
    </w:p>
    <w:p>
      <w:pPr>
        <w:pStyle w:val="null3"/>
        <w:ind w:firstLine="960"/>
      </w:pPr>
      <w:r>
        <w:rPr>
          <w:rFonts w:ascii="仿宋_GB2312" w:hAnsi="仿宋_GB2312" w:cs="仿宋_GB2312" w:eastAsia="仿宋_GB2312"/>
        </w:rPr>
        <w:t>详见附件：控股关系承诺函.docx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详见附件：供应商信用记录声明函.docx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详见附件：整体服务实施方案.docx</w:t>
      </w:r>
    </w:p>
    <w:p>
      <w:pPr>
        <w:pStyle w:val="null3"/>
        <w:ind w:firstLine="960"/>
      </w:pPr>
      <w:r>
        <w:rPr>
          <w:rFonts w:ascii="仿宋_GB2312" w:hAnsi="仿宋_GB2312" w:cs="仿宋_GB2312" w:eastAsia="仿宋_GB2312"/>
        </w:rPr>
        <w:t>详见附件：项目重难点专项解决方案.docx</w:t>
      </w:r>
    </w:p>
    <w:p>
      <w:pPr>
        <w:pStyle w:val="null3"/>
        <w:ind w:firstLine="960"/>
      </w:pPr>
      <w:r>
        <w:rPr>
          <w:rFonts w:ascii="仿宋_GB2312" w:hAnsi="仿宋_GB2312" w:cs="仿宋_GB2312" w:eastAsia="仿宋_GB2312"/>
        </w:rPr>
        <w:t>详见附件：项目进度管控与时效保障响应方案.docx</w:t>
      </w:r>
    </w:p>
    <w:p>
      <w:pPr>
        <w:pStyle w:val="null3"/>
        <w:ind w:firstLine="960"/>
      </w:pPr>
      <w:r>
        <w:rPr>
          <w:rFonts w:ascii="仿宋_GB2312" w:hAnsi="仿宋_GB2312" w:cs="仿宋_GB2312" w:eastAsia="仿宋_GB2312"/>
        </w:rPr>
        <w:t>详见附件：项目服务团队配置方案.docx</w:t>
      </w:r>
    </w:p>
    <w:p>
      <w:pPr>
        <w:pStyle w:val="null3"/>
        <w:ind w:firstLine="960"/>
      </w:pPr>
      <w:r>
        <w:rPr>
          <w:rFonts w:ascii="仿宋_GB2312" w:hAnsi="仿宋_GB2312" w:cs="仿宋_GB2312" w:eastAsia="仿宋_GB2312"/>
        </w:rPr>
        <w:t>详见附件：会议组织及公众意见处置方案.docx</w:t>
      </w:r>
    </w:p>
    <w:p>
      <w:pPr>
        <w:pStyle w:val="null3"/>
        <w:ind w:firstLine="960"/>
      </w:pPr>
      <w:r>
        <w:rPr>
          <w:rFonts w:ascii="仿宋_GB2312" w:hAnsi="仿宋_GB2312" w:cs="仿宋_GB2312" w:eastAsia="仿宋_GB2312"/>
        </w:rPr>
        <w:t>详见附件：保密管理与成果归档交付实施方案.docx</w:t>
      </w:r>
    </w:p>
    <w:p>
      <w:pPr>
        <w:pStyle w:val="null3"/>
        <w:ind w:firstLine="960"/>
      </w:pPr>
      <w:r>
        <w:rPr>
          <w:rFonts w:ascii="仿宋_GB2312" w:hAnsi="仿宋_GB2312" w:cs="仿宋_GB2312" w:eastAsia="仿宋_GB2312"/>
        </w:rPr>
        <w:t>详见附件：报价一览表及分项报价说明.docx</w:t>
      </w:r>
    </w:p>
    <w:p>
      <w:pPr>
        <w:pStyle w:val="null3"/>
        <w:ind w:firstLine="960"/>
      </w:pPr>
      <w:r>
        <w:rPr>
          <w:rFonts w:ascii="仿宋_GB2312" w:hAnsi="仿宋_GB2312" w:cs="仿宋_GB2312" w:eastAsia="仿宋_GB2312"/>
        </w:rPr>
        <w:t>详见附件：同类项目业绩证明材料.docx</w:t>
      </w:r>
    </w:p>
    <w:p>
      <w:pPr>
        <w:pStyle w:val="null3"/>
        <w:ind w:firstLine="960"/>
      </w:pPr>
      <w:r>
        <w:rPr>
          <w:rFonts w:ascii="仿宋_GB2312" w:hAnsi="仿宋_GB2312" w:cs="仿宋_GB2312" w:eastAsia="仿宋_GB2312"/>
        </w:rPr>
        <w:t>详见附件：总体服务承诺声明.docx</w:t>
      </w:r>
    </w:p>
    <w:p>
      <w:pPr>
        <w:pStyle w:val="null3"/>
        <w:ind w:firstLine="960"/>
      </w:pPr>
      <w:r>
        <w:rPr>
          <w:rFonts w:ascii="仿宋_GB2312" w:hAnsi="仿宋_GB2312" w:cs="仿宋_GB2312" w:eastAsia="仿宋_GB2312"/>
        </w:rPr>
        <w:t>详见附件：磋商承诺函.docx</w:t>
      </w:r>
    </w:p>
    <w:p>
      <w:pPr>
        <w:pStyle w:val="null3"/>
        <w:ind w:firstLine="960"/>
      </w:pPr>
      <w:r>
        <w:rPr>
          <w:rFonts w:ascii="仿宋_GB2312" w:hAnsi="仿宋_GB2312" w:cs="仿宋_GB2312" w:eastAsia="仿宋_GB2312"/>
        </w:rPr>
        <w:t>详见附件：履约服务承诺书.docx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详见附件：商洛市消防救援支队立法技术服务项目采购合同.docx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