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F1739">
      <w:pPr>
        <w:pStyle w:val="2"/>
        <w:keepNext w:val="0"/>
        <w:keepLines w:val="0"/>
        <w:widowControl/>
        <w:suppressLineNumbers w:val="0"/>
        <w:jc w:val="center"/>
        <w:rPr>
          <w:b w:val="0"/>
          <w:bCs w:val="0"/>
        </w:rPr>
      </w:pPr>
      <w:r>
        <w:rPr>
          <w:b w:val="0"/>
          <w:bCs w:val="0"/>
        </w:rPr>
        <w:t>报价一览表及分项报价说明</w:t>
      </w:r>
    </w:p>
    <w:p w14:paraId="148A281F">
      <w:pPr>
        <w:pStyle w:val="3"/>
        <w:keepNext w:val="0"/>
        <w:keepLines w:val="0"/>
        <w:widowControl/>
        <w:suppressLineNumbers w:val="0"/>
        <w:jc w:val="center"/>
        <w:rPr>
          <w:b w:val="0"/>
          <w:bCs w:val="0"/>
          <w:sz w:val="36"/>
          <w:szCs w:val="36"/>
        </w:rPr>
      </w:pPr>
    </w:p>
    <w:p w14:paraId="37FCFDE9">
      <w:pPr>
        <w:pStyle w:val="3"/>
        <w:keepNext w:val="0"/>
        <w:keepLines w:val="0"/>
        <w:widowControl/>
        <w:suppressLineNumbers w:val="0"/>
        <w:jc w:val="center"/>
        <w:rPr>
          <w:b w:val="0"/>
          <w:bCs w:val="0"/>
          <w:sz w:val="36"/>
          <w:szCs w:val="36"/>
        </w:rPr>
      </w:pPr>
      <w:r>
        <w:rPr>
          <w:b w:val="0"/>
          <w:bCs w:val="0"/>
          <w:sz w:val="36"/>
          <w:szCs w:val="36"/>
        </w:rPr>
        <w:t>一、磋商</w:t>
      </w:r>
      <w:r>
        <w:rPr>
          <w:rFonts w:hint="eastAsia"/>
          <w:b w:val="0"/>
          <w:bCs w:val="0"/>
          <w:sz w:val="36"/>
          <w:szCs w:val="36"/>
          <w:lang w:eastAsia="zh-CN"/>
        </w:rPr>
        <w:t>首次</w:t>
      </w:r>
      <w:r>
        <w:rPr>
          <w:b w:val="0"/>
          <w:bCs w:val="0"/>
          <w:sz w:val="36"/>
          <w:szCs w:val="36"/>
        </w:rPr>
        <w:t>总报价一览表</w:t>
      </w:r>
    </w:p>
    <w:tbl>
      <w:tblPr>
        <w:tblStyle w:val="4"/>
        <w:tblW w:w="854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9"/>
        <w:gridCol w:w="4369"/>
        <w:gridCol w:w="1790"/>
        <w:gridCol w:w="1210"/>
      </w:tblGrid>
      <w:tr w14:paraId="6FEFB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tblHeader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EA28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项目名称</w:t>
            </w:r>
          </w:p>
        </w:tc>
        <w:tc>
          <w:tcPr>
            <w:tcW w:w="4369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5402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首次总报价</w:t>
            </w:r>
          </w:p>
          <w:p w14:paraId="4E68329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（元）</w:t>
            </w:r>
          </w:p>
        </w:tc>
        <w:tc>
          <w:tcPr>
            <w:tcW w:w="1790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301D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服务周期</w:t>
            </w:r>
          </w:p>
        </w:tc>
        <w:tc>
          <w:tcPr>
            <w:tcW w:w="1210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B473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质量标准</w:t>
            </w:r>
          </w:p>
        </w:tc>
      </w:tr>
      <w:tr w14:paraId="23D496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0" w:type="auto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98EF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商洛市消防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救援支队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立法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采购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项目</w:t>
            </w:r>
          </w:p>
        </w:tc>
        <w:tc>
          <w:tcPr>
            <w:tcW w:w="4369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48D46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人民币（大写）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     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u w:val="single"/>
                <w:lang w:val="en-US" w:eastAsia="zh-CN" w:bidi="ar"/>
              </w:rPr>
              <w:t xml:space="preserve">         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）</w:t>
            </w:r>
          </w:p>
        </w:tc>
        <w:tc>
          <w:tcPr>
            <w:tcW w:w="1790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B64C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满足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磋商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文件要求</w:t>
            </w:r>
          </w:p>
        </w:tc>
        <w:tc>
          <w:tcPr>
            <w:tcW w:w="1210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15478D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合格、完全履约</w:t>
            </w:r>
          </w:p>
        </w:tc>
      </w:tr>
    </w:tbl>
    <w:p w14:paraId="46FE33AC">
      <w:pPr>
        <w:pStyle w:val="3"/>
        <w:keepNext w:val="0"/>
        <w:keepLines w:val="0"/>
        <w:widowControl/>
        <w:suppressLineNumbers w:val="0"/>
        <w:jc w:val="center"/>
        <w:rPr>
          <w:b w:val="0"/>
          <w:bCs w:val="0"/>
          <w:sz w:val="36"/>
          <w:szCs w:val="36"/>
        </w:rPr>
      </w:pPr>
      <w:r>
        <w:rPr>
          <w:b w:val="0"/>
          <w:bCs w:val="0"/>
          <w:sz w:val="36"/>
          <w:szCs w:val="36"/>
        </w:rPr>
        <w:t>二、分项明细报价表</w:t>
      </w:r>
    </w:p>
    <w:p w14:paraId="5BE13253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本项目为固定总价包干模式，以下分项费用合计为项目总报价，包含完成本项目全部采购内容、合同履约、后期质保服务的所有费用，无遗漏、无隐形收费，后期不再产生任何新增费用。</w:t>
      </w:r>
    </w:p>
    <w:tbl>
      <w:tblPr>
        <w:tblStyle w:val="4"/>
        <w:tblW w:w="852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82"/>
        <w:gridCol w:w="1097"/>
        <w:gridCol w:w="5759"/>
        <w:gridCol w:w="1191"/>
      </w:tblGrid>
      <w:tr w14:paraId="76872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  <w:tblHeader/>
        </w:trPr>
        <w:tc>
          <w:tcPr>
            <w:tcW w:w="482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02D99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109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E60FE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费用分项名称</w:t>
            </w:r>
          </w:p>
        </w:tc>
        <w:tc>
          <w:tcPr>
            <w:tcW w:w="5703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7F76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费用说明（包含服务内容）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shd w:val="clear" w:color="auto" w:fill="auto"/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49728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首次报价（元）</w:t>
            </w:r>
          </w:p>
        </w:tc>
      </w:tr>
      <w:tr w14:paraId="57A3B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82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4767E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09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55CD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立法调研摸排费用</w:t>
            </w:r>
          </w:p>
        </w:tc>
        <w:tc>
          <w:tcPr>
            <w:tcW w:w="5703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BC74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包含辖区重点场所实地调研、多部门座谈走访、问题摸排、基层走访、调研资料归集、调研报告编制等全部费用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ED496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</w:tr>
      <w:tr w14:paraId="23D93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82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15E3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109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3E4C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文稿编制修订费用</w:t>
            </w:r>
          </w:p>
        </w:tc>
        <w:tc>
          <w:tcPr>
            <w:tcW w:w="5703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D4DA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包含《商洛市消防通道管理规定》初稿、修改稿、送审稿、议案稿编制、多轮校对、统稿优化、报审文稿整改完善等费用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41B6ED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</w:tr>
      <w:tr w14:paraId="15327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82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A65C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109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F4BF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论证、审查与评估费用</w:t>
            </w:r>
          </w:p>
        </w:tc>
        <w:tc>
          <w:tcPr>
            <w:tcW w:w="5703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1260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包含专家论证会、部门协调会组织，合法性审查、公平竞争审查、立法风险评估、意见研判分析等费用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71837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</w:tr>
      <w:tr w14:paraId="44036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82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68EC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109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8C50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公众意见征集及台账管理费用</w:t>
            </w:r>
          </w:p>
        </w:tc>
        <w:tc>
          <w:tcPr>
            <w:tcW w:w="5703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6AC29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包含线上线下意见征集、意见梳理、逐条研判、采纳说明、台账建立、资料归档留存等费用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B71C6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</w:tr>
      <w:tr w14:paraId="021B4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82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8814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109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E918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项目团队服务费用</w:t>
            </w:r>
          </w:p>
        </w:tc>
        <w:tc>
          <w:tcPr>
            <w:tcW w:w="5703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3E61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包含项目负责人、专职技术团队全员在岗履约、项目统筹、技术答疑、汇报配合、人员替补保障等人工服务费用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1AFB85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</w:tr>
      <w:tr w14:paraId="1E996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82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B88B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109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CE60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成果归档、交付及耗材费用</w:t>
            </w:r>
          </w:p>
        </w:tc>
        <w:tc>
          <w:tcPr>
            <w:tcW w:w="5703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6D0EE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包含资料整理、排版装订、纸质+电子成果归档、资料打印耗材、交通、会务物料等费用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38582D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</w:tr>
      <w:tr w14:paraId="3746A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82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C5ACC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109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208E0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后期质保及配套服务费用</w:t>
            </w:r>
          </w:p>
        </w:tc>
        <w:tc>
          <w:tcPr>
            <w:tcW w:w="5703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EE206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包含立法报审、审议全过程答疑、文稿微调、资料补充、整改优化、技术支撑等全程后续免费服务费用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77F0D8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</w:tr>
      <w:tr w14:paraId="169C4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482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41EE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1097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9B89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其他不可预见费用</w:t>
            </w:r>
          </w:p>
        </w:tc>
        <w:tc>
          <w:tcPr>
            <w:tcW w:w="5703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D403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包含项目履约过程中所有突发、增补配套工作产生的相关费用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top"/>
          </w:tcPr>
          <w:p w14:paraId="5DF8FE7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textAlignment w:val="top"/>
              <w:rPr>
                <w:sz w:val="20"/>
                <w:szCs w:val="20"/>
              </w:rPr>
            </w:pPr>
          </w:p>
        </w:tc>
      </w:tr>
      <w:tr w14:paraId="60A0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5" w:hRule="atLeast"/>
        </w:trPr>
        <w:tc>
          <w:tcPr>
            <w:tcW w:w="7338" w:type="dxa"/>
            <w:gridSpan w:val="3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44A6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  <w:r>
              <w:rPr>
                <w:rStyle w:val="6"/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项目总报价（合计）</w:t>
            </w:r>
          </w:p>
        </w:tc>
        <w:tc>
          <w:tcPr>
            <w:tcW w:w="1191" w:type="dxa"/>
            <w:tcBorders>
              <w:top w:val="single" w:color="DEE0E3" w:sz="6" w:space="0"/>
              <w:left w:val="single" w:color="DEE0E3" w:sz="6" w:space="0"/>
              <w:bottom w:val="single" w:color="DEE0E3" w:sz="6" w:space="0"/>
              <w:right w:val="single" w:color="DEE0E3" w:sz="6" w:space="0"/>
            </w:tcBorders>
            <w:noWrap w:val="0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8FB05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both"/>
              <w:textAlignment w:val="top"/>
              <w:rPr>
                <w:sz w:val="20"/>
                <w:szCs w:val="20"/>
              </w:rPr>
            </w:pPr>
          </w:p>
        </w:tc>
      </w:tr>
    </w:tbl>
    <w:p w14:paraId="5993A88A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29E292F5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 w:bidi="ar"/>
        </w:rPr>
        <w:t>三、</w:t>
      </w:r>
      <w:r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  <w:t>报价说明及二次（最终）报价约束承诺</w:t>
      </w:r>
    </w:p>
    <w:p w14:paraId="470823A9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36"/>
          <w:szCs w:val="36"/>
          <w:lang w:val="en-US" w:eastAsia="zh-CN" w:bidi="ar"/>
        </w:rPr>
      </w:pPr>
    </w:p>
    <w:p w14:paraId="4219A4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 我方本次磋商首次报价为固定总价包干报价，全面涵盖本项目磋商文件、采购需求、合同条款及全部履约所需服务内容，包含人工、调研、座谈会务、专家服务、文稿编制、审查评估、意见征集、资料归档、交通耗材、质保服务、后期整改完善等全部费用，项目履约全过程无任何隐形费用、增量费用，采购人无需另行支付其他任何费用。</w:t>
      </w:r>
    </w:p>
    <w:p w14:paraId="518BB7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 本项目采用竞争性磋商二次报价机制，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二次（最终）报价为本项目最终评审、合同签订、履约结算的唯一有效依据，具备合同法律效力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。二次报价仅填报总价，不再单独填报分项报价；二次（最终）报价不得高于首次报价。项目成交后，我方自愿按照二次报价相对首次报价的整体下浮比例，对全部分项报价进行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同比例、同幅度下调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，确保分项报价匹配合理、费率均衡，不存在恶意调整分项价格、虚高虚低配比、规避服务内容等情形，完全满足项目全部履约要求。</w:t>
      </w:r>
    </w:p>
    <w:p w14:paraId="4D7021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3. 我方承诺本次首次报价、二次（最终）报价均真实、合规、合理、有效，严格遵循政府采购报价规则，不存在虚假报价、恶意低价、围标串标、不平衡报价等违法违规及违规投标情形，报价内容完全匹配本项目全部采购服务范围及质量标准。</w:t>
      </w:r>
    </w:p>
    <w:p w14:paraId="37632C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4. 项目成交后最终包干总价以二次（最终）报价为准，履约全过程价格固定不变，我方不因工期调整、工作增量、多轮审核整改、资料增补、报审延时等任何原因申请调价、加价或变更结算价格。</w:t>
      </w:r>
    </w:p>
    <w:p w14:paraId="2257A17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</w:p>
    <w:p w14:paraId="7D8457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b w:val="0"/>
          <w:bCs w:val="0"/>
          <w:sz w:val="24"/>
          <w:szCs w:val="24"/>
          <w:u w:val="single"/>
        </w:rPr>
      </w:pPr>
      <w:bookmarkStart w:id="0" w:name="_GoBack"/>
      <w:bookmarkEnd w:id="0"/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承诺单位：</w:t>
      </w:r>
      <w:r>
        <w:rPr>
          <w:rStyle w:val="6"/>
          <w:rFonts w:hint="eastAsia" w:ascii="宋体" w:hAnsi="宋体" w:eastAsia="宋体" w:cs="宋体"/>
          <w:b w:val="0"/>
          <w:bCs w:val="0"/>
          <w:kern w:val="0"/>
          <w:sz w:val="24"/>
          <w:szCs w:val="24"/>
          <w:u w:val="single"/>
          <w:lang w:val="en-US" w:eastAsia="zh-CN" w:bidi="ar"/>
        </w:rPr>
        <w:t xml:space="preserve">                       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u w:val="single"/>
          <w:lang w:val="en-US" w:eastAsia="zh-CN" w:bidi="ar"/>
        </w:rPr>
        <w:t>（盖章）</w:t>
      </w:r>
    </w:p>
    <w:p w14:paraId="351FE4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b w:val="0"/>
          <w:bCs w:val="0"/>
          <w:sz w:val="24"/>
          <w:szCs w:val="24"/>
        </w:rPr>
      </w:pP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法定代表人/授权委托人：</w:t>
      </w:r>
      <w:r>
        <w:rPr>
          <w:rStyle w:val="6"/>
          <w:rFonts w:hint="eastAsia" w:ascii="宋体" w:hAnsi="宋体" w:eastAsia="宋体" w:cs="宋体"/>
          <w:b w:val="0"/>
          <w:bCs w:val="0"/>
          <w:kern w:val="0"/>
          <w:sz w:val="24"/>
          <w:szCs w:val="24"/>
          <w:u w:val="single"/>
          <w:lang w:val="en-US" w:eastAsia="zh-CN" w:bidi="ar"/>
        </w:rPr>
        <w:t xml:space="preserve">                    </w:t>
      </w: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u w:val="single"/>
          <w:lang w:val="en-US" w:eastAsia="zh-CN" w:bidi="ar"/>
        </w:rPr>
        <w:t>（签字）</w:t>
      </w:r>
    </w:p>
    <w:p w14:paraId="5ECC58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b w:val="0"/>
          <w:bCs w:val="0"/>
        </w:rPr>
      </w:pPr>
      <w:r>
        <w:rPr>
          <w:rStyle w:val="6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日期：</w:t>
      </w:r>
      <w:r>
        <w:rPr>
          <w:rStyle w:val="6"/>
          <w:rFonts w:hint="eastAsia" w:ascii="宋体" w:hAnsi="宋体" w:eastAsia="宋体" w:cs="宋体"/>
          <w:b w:val="0"/>
          <w:bCs w:val="0"/>
          <w:kern w:val="0"/>
          <w:sz w:val="24"/>
          <w:szCs w:val="24"/>
          <w:u w:val="single"/>
          <w:lang w:val="en-US" w:eastAsia="zh-CN" w:bidi="ar"/>
        </w:rPr>
        <w:t xml:space="preserve">       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EF098D"/>
    <w:rsid w:val="5DEF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2026-06-08T15:25:00Z</dcterms:created>
  <dc:creator>uos</dc:creator>
  <cp:lastModifiedBy>uos</cp:lastModifiedBy>
  <dcterms:modified xsi:type="dcterms:W3CDTF">2026-06-08T15:47:31Z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C008290878F6ED8C796E266AF9DC44D7_41</vt:lpwstr>
  </property>
</Properties>
</file>