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</w:rPr>
        <w:t>营业执照等主体资格证明</w:t>
      </w:r>
      <w:r>
        <w:rPr>
          <w:rFonts w:hint="eastAsia" w:ascii="黑体" w:hAnsi="黑体" w:eastAsia="黑体" w:cs="黑体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文件</w:t>
      </w: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供应商须在中华人民共和国境内注册，依法取得并有效存续的营业执照（含电子营业执照）\事业单位法人证书\民办非企业单位登记证书\非企业专业服务机构执业许可证等主体资格证书。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供应商须在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电子化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  <w:lang w:eastAsia="zh-CN"/>
        </w:rPr>
        <w:t>交易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8"/>
          <w:szCs w:val="28"/>
          <w:shd w:val="clear" w:color="070000" w:fill="FDFEFE"/>
        </w:rPr>
        <w:t>系统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fill="FFFFFF"/>
        </w:rPr>
        <w:t>中提交营业执照等主体资格证书原件的扫描件，并进行电子签章。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EF0719"/>
    <w:rsid w:val="428152FC"/>
    <w:rsid w:val="686747A6"/>
    <w:rsid w:val="72E314AF"/>
    <w:rsid w:val="76E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2025-12-11T03:16:00Z</dcterms:created>
  <dc:creator>李平</dc:creator>
  <cp:lastModifiedBy>Administrator</cp:lastModifiedBy>
  <dcterms:modified xsi:type="dcterms:W3CDTF">2026-06-04T00:53:10Z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