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版本号：SXHT-(TP)2026060220260706002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傅里叶变换红外显微镜联用仪采购项目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SXHT-(TP)20260602</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傅里叶变换红外显微镜联用仪采购项目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SXHT-(TP)20260602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傅里叶变换红外显微镜联用仪采购项目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傅里叶变换红外显微镜联用仪采购项目，具体详见竞争性谈判文件。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12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6、无重大违法记录声明：参加政府采购活动前3年内经营活动中没有重大违法记录声明函；</w:t>
      </w:r>
    </w:p>
    <w:p>
      <w:pPr>
        <w:pStyle w:val="null3"/>
      </w:pPr>
      <w:r>
        <w:rPr>
          <w:rFonts w:ascii="仿宋_GB2312" w:hAnsi="仿宋_GB2312" w:cs="仿宋_GB2312" w:eastAsia="仿宋_GB2312"/>
        </w:rPr>
        <w:t>7、信誉要求：通过“信用中国”网站（www.creditchina.gov.cn/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8、承诺书：提供具有履行服务合同所必需的产品和专业技术能力的承诺书；</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029-22832832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本采购包履约保证金为合同金额的0.5%</w:t>
            </w:r>
          </w:p>
          <w:p>
            <w:pPr>
              <w:pStyle w:val="null3"/>
            </w:pPr>
            <w:r>
              <w:rPr>
                <w:rFonts w:ascii="仿宋_GB2312" w:hAnsi="仿宋_GB2312" w:cs="仿宋_GB2312" w:eastAsia="仿宋_GB2312"/>
              </w:rPr>
              <w:t>说明：1.合同签订前，中标人须向采购人提交合同总价的0.5%作为履约保证金；2.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成交供应商应依据成交金额向采购代理机构交纳成交服务费，交费金额参照《招标代理服务收费管理暂行办法》（计价格（2002）1980号）附件规定的收费标准的90%收取。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陕西海堂项目管理咨询有限公司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傅里叶变换红外显微镜联用仪采购项目，具体详见竞争性谈判文件。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1,190,000.00</w:t>
      </w:r>
    </w:p>
    <w:p>
      <w:pPr>
        <w:pStyle w:val="null3"/>
      </w:pPr>
      <w:r>
        <w:rPr>
          <w:rFonts w:ascii="仿宋_GB2312" w:hAnsi="仿宋_GB2312" w:cs="仿宋_GB2312" w:eastAsia="仿宋_GB2312"/>
        </w:rPr>
        <w:t>采购包最高限价（元）: 1,190,000.00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傅里叶变换红外显微镜联用仪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标的名称：傅里叶变换红外显微镜联用仪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一、招标项目简介：</w:t>
            </w:r>
          </w:p>
          <w:p>
            <w:pPr>
              <w:pStyle w:val="null3"/>
              <w:jc w:val="left"/>
            </w:pPr>
            <w:r>
              <w:rPr>
                <w:rFonts w:ascii="仿宋_GB2312" w:hAnsi="仿宋_GB2312" w:cs="仿宋_GB2312" w:eastAsia="仿宋_GB2312"/>
                <w:sz w:val="24"/>
              </w:rPr>
              <w:t>有机质微区结构、矿物</w:t>
            </w:r>
            <w:r>
              <w:rPr>
                <w:rFonts w:ascii="仿宋_GB2312" w:hAnsi="仿宋_GB2312" w:cs="仿宋_GB2312" w:eastAsia="仿宋_GB2312"/>
                <w:sz w:val="24"/>
              </w:rPr>
              <w:t>- 原油界面赋存特征、孔喉尺度吸附解吸规律，是剖析非常规油气滞留机理、储层微观非均质性、化学驱界面作用、沥青质微孔沉积堵塞机制，优化储层改造、提高采收率、油气产能精准评价的核心基础表征手段，是构建油气流体微尺度精细表征体系不可或缺的关键技术装备。近年来国内常规油气产能持续下降，页岩油气、致密油气、深层超深层油气、高黏稠油、重质沥青质油气成为增储上产主力资源。该类油气储层孔隙结构复杂、孔喉尺度微小，原油与岩石矿物紧密耦合，有机质呈微米级分散赋存状态，同时存在微孔吸附、界面相分离、胶质沥青质微孔沉积、化学药剂界面反应等微观特征。仅依靠常规宏观红外整体检测，只能获取样品平均组分信息，无法区分岩石基质、干酪根、原油、黏土矿物、驱油化学剂各自微区官能团差异，难以厘清孔隙尺度油气赋存、界面相互作用、局部沥青质析出堵塞等微观机理，严重制约非常规油气富集规律、储层微观伤害、化学驱增效机理、页岩有机质微区生烃演化等深层次科研攻关。因此搭建红外光谱与红外显微镜一体化联用精细表征平台，完善油气微尺度原位分析体系，具备极强的科研必要性与紧迫性。</w:t>
            </w:r>
          </w:p>
          <w:p>
            <w:pPr>
              <w:pStyle w:val="null3"/>
              <w:jc w:val="left"/>
            </w:pPr>
            <w:r>
              <w:rPr>
                <w:rFonts w:ascii="仿宋_GB2312" w:hAnsi="仿宋_GB2312" w:cs="仿宋_GB2312" w:eastAsia="仿宋_GB2312"/>
                <w:sz w:val="24"/>
              </w:rPr>
              <w:t>我校现有单体红外光谱设备服役年限较长，无配套红外显微成像模块，仅能开展块状样品整体光谱检测，在非常规油气微区精细表征方面存在显著短板，难以适配当前油气地质与开发科研测试需求。一是微区原位表征能力缺失，现有设备无微米级显微观测与单点光谱采集功能，无法针对岩心薄片、页岩粉末、孔隙薄膜样品实现微米尺度定点分析，不能区分岩石骨架、吸附原油、分散干酪根、黏土矿物各自组分结构，难以直观刻画孔喉内部油气赋存分布特征；二是微尺度动态观测功能不足，无显微原位加热</w:t>
            </w:r>
            <w:r>
              <w:rPr>
                <w:rFonts w:ascii="仿宋_GB2312" w:hAnsi="仿宋_GB2312" w:cs="仿宋_GB2312" w:eastAsia="仿宋_GB2312"/>
                <w:sz w:val="24"/>
              </w:rPr>
              <w:t>/ 高压样品台拓展接口，无法模拟地层温压环境下，微米孔隙内原油裂解、沥青质局部析出、驱油药剂界面吸附演变全过程，缺失微观尺度相态演化可视化光谱证据；三是油气地质专项配套不完善，缺少岩心薄片专用显微载台、微量有机质富集检测附件、油气 - 矿物界面特征光谱数据库，针对致密岩心中微量滞留油、页岩微米干酪根、稠油局部沥青质沉积的定性定量识别精度偏低，基质矿物光谱干扰剔除效果差，测试数据精度、重复性无法满足国家级、省部级课题结题及高水平论文发表要求；四是多尺度数据联动性弱，老旧单体红外设备数据接口封闭，无法与校内高温高压 PVT 系统、扫描电镜、孔隙渗透率测试设备数据互通，难以建立 “宏观储层物性 — 细观孔隙结构 — 微观组分官能团” 多尺度耦合分析体系，油气藏微观数值模拟、储层伤害机理、驱油效果定量评价的数据链条断裂，大幅制约我校深层非常规油气勘探、页岩储层流体赋存、稠油微观改性、化学驱界面机理等重点学科科研项目推进，学科硬件支撑短板突出。</w:t>
            </w:r>
          </w:p>
          <w:p>
            <w:pPr>
              <w:pStyle w:val="null3"/>
              <w:jc w:val="left"/>
            </w:pPr>
            <w:r>
              <w:rPr>
                <w:rFonts w:ascii="仿宋_GB2312" w:hAnsi="仿宋_GB2312" w:cs="仿宋_GB2312" w:eastAsia="仿宋_GB2312"/>
                <w:sz w:val="24"/>
              </w:rPr>
              <w:t>综上，为补齐我校油气微尺度精细表征设备短板，打通宏观储层物性、细观孔喉结构、微观组分结构一体化分析链条，满足深层致密岩心、页岩薄片、稠油</w:t>
            </w:r>
            <w:r>
              <w:rPr>
                <w:rFonts w:ascii="仿宋_GB2312" w:hAnsi="仿宋_GB2312" w:cs="仿宋_GB2312" w:eastAsia="仿宋_GB2312"/>
                <w:sz w:val="24"/>
              </w:rPr>
              <w:t>- 矿物界面、驱油药剂微孔吸附等微米级原位检测实验需求，支撑非常规油气有机质微区热演化、孔喉流体吸附解吸、极端温压下局部相变、化学驱界面作用、储层微观伤害等常态化科研实验，赋能油气工程、地质资源与地质工程优势重点学科高质量建设，亟需淘汰现有老旧单体红外设备，购置红外光谱 - 红外显微镜一体化联用系统，搭建油气全尺度、微原位、可视化精细实验检测平台，全面支撑学校非常规油气领域科研创新、纵向科研项目申报与油气行业产学研联合攻关工作。</w:t>
            </w:r>
          </w:p>
          <w:p>
            <w:pPr>
              <w:pStyle w:val="null3"/>
              <w:jc w:val="left"/>
            </w:pPr>
            <w:r>
              <w:rPr>
                <w:rFonts w:ascii="仿宋_GB2312" w:hAnsi="仿宋_GB2312" w:cs="仿宋_GB2312" w:eastAsia="仿宋_GB2312"/>
                <w:sz w:val="24"/>
              </w:rPr>
              <w:t>二、采购项目概况</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1、采购目的</w:t>
            </w:r>
          </w:p>
          <w:p>
            <w:pPr>
              <w:pStyle w:val="null3"/>
              <w:jc w:val="left"/>
            </w:pPr>
            <w:r>
              <w:rPr>
                <w:rFonts w:ascii="仿宋_GB2312" w:hAnsi="仿宋_GB2312" w:cs="仿宋_GB2312" w:eastAsia="仿宋_GB2312"/>
                <w:sz w:val="24"/>
              </w:rPr>
              <w:t>适配非常规油气前沿科研测试需求，破解现有测试技术瓶颈。针对页岩油气、致密油气、深层超深层油气、高黏度稠油、含沥青质重质油气储层孔喉微小、有机质分散、油气矿物耦合紧密、局部沥青质析出、药剂界面反应差异化显著等特征，依托红外显微微米级定点测试、分区成像功能，精准区分岩石骨架、吸附原油、分散干酪根、黏土矿物、驱油化学剂组分差异，厘清孔喉尺度油气赋存、界面吸附、局部相变、微孔堵塞内在机理，解决常规红外检测无法甄别微区组分、局部反应机理不明的行业测试难题。更新换代老旧实验设备，提升平台规范化测试能力。淘汰模块化程度低、抗干扰能力弱、数据兼容性差、无显微拓展功能的老旧红外单体设备，依托全新联用系统专属油气谱库、抗矿物干扰算法、密闭微量进样、原位显微观测配套功能，提升微量滞留油、微米干酪根、界面胶质沥青质定性定量精度，保障实验数据稳定性、重复性、权威性，规范学院大型仪器共享测试管理，满足教学科研、对外检测共享使用需求。</w:t>
            </w:r>
          </w:p>
          <w:p>
            <w:pPr>
              <w:pStyle w:val="null3"/>
              <w:jc w:val="left"/>
            </w:pPr>
            <w:r>
              <w:rPr>
                <w:rFonts w:ascii="仿宋_GB2312" w:hAnsi="仿宋_GB2312" w:cs="仿宋_GB2312" w:eastAsia="仿宋_GB2312"/>
                <w:sz w:val="24"/>
              </w:rPr>
              <w:t>2、装置功能</w:t>
            </w:r>
          </w:p>
          <w:p>
            <w:pPr>
              <w:pStyle w:val="null3"/>
              <w:jc w:val="left"/>
            </w:pPr>
            <w:r>
              <w:rPr>
                <w:rFonts w:ascii="仿宋_GB2312" w:hAnsi="仿宋_GB2312" w:cs="仿宋_GB2312" w:eastAsia="仿宋_GB2312"/>
                <w:sz w:val="24"/>
              </w:rPr>
              <w:t>1.微米级微区定点红外光谱检测功能</w:t>
            </w:r>
          </w:p>
          <w:p>
            <w:pPr>
              <w:pStyle w:val="null3"/>
              <w:jc w:val="left"/>
            </w:pPr>
            <w:r>
              <w:rPr>
                <w:rFonts w:ascii="仿宋_GB2312" w:hAnsi="仿宋_GB2312" w:cs="仿宋_GB2312" w:eastAsia="仿宋_GB2312"/>
                <w:sz w:val="24"/>
              </w:rPr>
              <w:t>具备显微光路聚焦系统，可实现</w:t>
            </w:r>
            <w:r>
              <w:rPr>
                <w:rFonts w:ascii="仿宋_GB2312" w:hAnsi="仿宋_GB2312" w:cs="仿宋_GB2312" w:eastAsia="仿宋_GB2312"/>
                <w:sz w:val="24"/>
              </w:rPr>
              <w:t>10μm 以下微区精准定位采集光谱，针对岩心薄片、页岩粉末、矿物断面、薄膜样品任意微小点位单独测试；可分别获取岩石基质、黏土矿物、分散干酪根、微孔吸附原油、局部析出沥青质、附着化学驱药剂的独立红外谱图，区分样品不同区域组分官能团差异，解决普通红外仅能测整体平均组分、无法分辨微观非均质特征的问题。</w:t>
            </w:r>
          </w:p>
          <w:p>
            <w:pPr>
              <w:pStyle w:val="null3"/>
              <w:jc w:val="left"/>
            </w:pPr>
            <w:r>
              <w:rPr>
                <w:rFonts w:ascii="仿宋_GB2312" w:hAnsi="仿宋_GB2312" w:cs="仿宋_GB2312" w:eastAsia="仿宋_GB2312"/>
                <w:sz w:val="24"/>
              </w:rPr>
              <w:t>2.红外光谱成像可视化分布表征功能</w:t>
            </w:r>
          </w:p>
          <w:p>
            <w:pPr>
              <w:pStyle w:val="null3"/>
              <w:jc w:val="left"/>
            </w:pPr>
            <w:r>
              <w:rPr>
                <w:rFonts w:ascii="仿宋_GB2312" w:hAnsi="仿宋_GB2312" w:cs="仿宋_GB2312" w:eastAsia="仿宋_GB2312"/>
                <w:sz w:val="24"/>
              </w:rPr>
              <w:t>支持二维化学成像扫描，对薄片全域逐点采集光谱后生成官能团分布云图，直观展示有机质、原油、胶质、沥青质、化学药剂在岩石孔喉、矿物界面的空间赋存形态，定量刻画油气富集区域、沥青质沉积堵塞区域、药剂吸附区域的分布范围与相对含量，实现油气微观赋存状态可视化分析。</w:t>
            </w:r>
          </w:p>
          <w:p>
            <w:pPr>
              <w:pStyle w:val="null3"/>
              <w:jc w:val="left"/>
            </w:pPr>
            <w:r>
              <w:rPr>
                <w:rFonts w:ascii="仿宋_GB2312" w:hAnsi="仿宋_GB2312" w:cs="仿宋_GB2312" w:eastAsia="仿宋_GB2312"/>
                <w:sz w:val="24"/>
              </w:rPr>
              <w:t>3.微量、微量样品无损检测功能</w:t>
            </w:r>
          </w:p>
          <w:p>
            <w:pPr>
              <w:pStyle w:val="null3"/>
              <w:jc w:val="left"/>
            </w:pPr>
            <w:r>
              <w:rPr>
                <w:rFonts w:ascii="仿宋_GB2312" w:hAnsi="仿宋_GB2312" w:cs="仿宋_GB2312" w:eastAsia="仿宋_GB2312"/>
                <w:sz w:val="24"/>
              </w:rPr>
              <w:t>适配纳克级微量有机质、薄片微孔滞留油、薄膜界面薄层流体无损伤测试，无需大量制样、不破坏岩心原始孔隙结构；搭配微量密闭样品台，可防止轻质油气组分挥发，精准识别致密岩心中含量极低的滞留烃类组分，适配深层、页岩低丰度有机质样品检测。</w:t>
            </w:r>
          </w:p>
          <w:p>
            <w:pPr>
              <w:pStyle w:val="null3"/>
              <w:jc w:val="left"/>
            </w:pPr>
            <w:r>
              <w:rPr>
                <w:rFonts w:ascii="仿宋_GB2312" w:hAnsi="仿宋_GB2312" w:cs="仿宋_GB2312" w:eastAsia="仿宋_GB2312"/>
                <w:sz w:val="24"/>
              </w:rPr>
              <w:t>4.原位温压环境模拟拓展功能</w:t>
            </w:r>
          </w:p>
          <w:p>
            <w:pPr>
              <w:pStyle w:val="null3"/>
              <w:jc w:val="left"/>
            </w:pPr>
            <w:r>
              <w:rPr>
                <w:rFonts w:ascii="仿宋_GB2312" w:hAnsi="仿宋_GB2312" w:cs="仿宋_GB2312" w:eastAsia="仿宋_GB2312"/>
                <w:sz w:val="24"/>
              </w:rPr>
              <w:t>可搭载显微原位加热台、高压密闭显微样品池，模拟地下储层高温、常压</w:t>
            </w:r>
            <w:r>
              <w:rPr>
                <w:rFonts w:ascii="仿宋_GB2312" w:hAnsi="仿宋_GB2312" w:cs="仿宋_GB2312" w:eastAsia="仿宋_GB2312"/>
                <w:sz w:val="24"/>
              </w:rPr>
              <w:t>/ 高压地层环境；实时观测升温升压过程中，微区内原油裂解、干酪根生烃、沥青质局部相分离、驱油药剂界面吸附脱附、流体微观相变全过程，同步采集动态红外光谱，获取极端工况下微观组分演变规律。</w:t>
            </w:r>
          </w:p>
          <w:tbl>
            <w:tblPr>
              <w:tblBorders>
                <w:top w:val="none" w:color="000000" w:sz="4"/>
                <w:left w:val="none" w:color="000000" w:sz="4"/>
                <w:bottom w:val="none" w:color="000000" w:sz="4"/>
                <w:right w:val="none" w:color="000000" w:sz="4"/>
                <w:insideH w:val="none"/>
                <w:insideV w:val="none"/>
              </w:tblBorders>
            </w:tblPr>
            <w:tblGrid>
              <w:gridCol w:w="362"/>
              <w:gridCol w:w="650"/>
              <w:gridCol w:w="1540"/>
            </w:tblGrid>
            <w:tr>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参数性质</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红外主机与显微系统一体化设计，红外显微镜主机内置光源、干涉仪、检测器于同一光学平台。主机配备有镀金光学系统。需提供佐证材料。</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干涉仪：采用高速动态准直电磁式平面镜干涉仪，非角镜或空气轴承，自动准直频率</w:t>
                  </w:r>
                  <w:r>
                    <w:rPr>
                      <w:rFonts w:ascii="仿宋_GB2312" w:hAnsi="仿宋_GB2312" w:cs="仿宋_GB2312" w:eastAsia="仿宋_GB2312"/>
                      <w:sz w:val="24"/>
                    </w:rPr>
                    <w:t>≥100,000 次/秒。需提供佐证材料。</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样品台：</w:t>
                  </w:r>
                  <w:r>
                    <w:rPr>
                      <w:rFonts w:ascii="仿宋_GB2312" w:hAnsi="仿宋_GB2312" w:cs="仿宋_GB2312" w:eastAsia="仿宋_GB2312"/>
                      <w:sz w:val="24"/>
                    </w:rPr>
                    <w:t>≥50mm*75mm马达驱动样品台。</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显微镜光谱范围：</w:t>
                  </w:r>
                  <w:r>
                    <w:rPr>
                      <w:rFonts w:ascii="仿宋_GB2312" w:hAnsi="仿宋_GB2312" w:cs="仿宋_GB2312" w:eastAsia="仿宋_GB2312"/>
                      <w:sz w:val="24"/>
                    </w:rPr>
                    <w:t>8000-350cm</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DTGS检测器），7800-600cm</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MCT单点检测器）。</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光谱分辨率：</w:t>
                  </w:r>
                  <w:r>
                    <w:rPr>
                      <w:rFonts w:ascii="仿宋_GB2312" w:hAnsi="仿宋_GB2312" w:cs="仿宋_GB2312" w:eastAsia="仿宋_GB2312"/>
                      <w:sz w:val="24"/>
                    </w:rPr>
                    <w:t>≤ 0.5 cm</w:t>
                  </w:r>
                  <w:r>
                    <w:rPr>
                      <w:rFonts w:ascii="仿宋_GB2312" w:hAnsi="仿宋_GB2312" w:cs="仿宋_GB2312" w:eastAsia="仿宋_GB2312"/>
                      <w:sz w:val="24"/>
                      <w:vertAlign w:val="superscript"/>
                    </w:rPr>
                    <w:t>-1</w:t>
                  </w:r>
                  <w:r>
                    <w:rPr>
                      <w:rFonts w:ascii="仿宋_GB2312" w:hAnsi="仿宋_GB2312" w:cs="仿宋_GB2312" w:eastAsia="仿宋_GB2312"/>
                      <w:sz w:val="24"/>
                    </w:rPr>
                    <w:t>。红外显微镜信噪比：</w:t>
                  </w:r>
                  <w:r>
                    <w:rPr>
                      <w:rFonts w:ascii="仿宋_GB2312" w:hAnsi="仿宋_GB2312" w:cs="仿宋_GB2312" w:eastAsia="仿宋_GB2312"/>
                      <w:sz w:val="24"/>
                    </w:rPr>
                    <w:t>P-P值≥35000:1（MCT单点检测器，4cm</w:t>
                  </w:r>
                  <w:r>
                    <w:rPr>
                      <w:rFonts w:ascii="仿宋_GB2312" w:hAnsi="仿宋_GB2312" w:cs="仿宋_GB2312" w:eastAsia="仿宋_GB2312"/>
                      <w:sz w:val="24"/>
                      <w:vertAlign w:val="superscript"/>
                    </w:rPr>
                    <w:t>-1</w:t>
                  </w:r>
                  <w:r>
                    <w:rPr>
                      <w:rFonts w:ascii="仿宋_GB2312" w:hAnsi="仿宋_GB2312" w:cs="仿宋_GB2312" w:eastAsia="仿宋_GB2312"/>
                      <w:sz w:val="24"/>
                    </w:rPr>
                    <w:t>光谱分辨率，</w:t>
                  </w:r>
                  <w:r>
                    <w:rPr>
                      <w:rFonts w:ascii="仿宋_GB2312" w:hAnsi="仿宋_GB2312" w:cs="仿宋_GB2312" w:eastAsia="仿宋_GB2312"/>
                      <w:sz w:val="24"/>
                    </w:rPr>
                    <w:t>2分钟采集）。</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空间分辨率：透射和反射模式</w:t>
                  </w:r>
                  <w:r>
                    <w:rPr>
                      <w:rFonts w:ascii="仿宋_GB2312" w:hAnsi="仿宋_GB2312" w:cs="仿宋_GB2312" w:eastAsia="仿宋_GB2312"/>
                      <w:sz w:val="24"/>
                    </w:rPr>
                    <w:t>≤10 μm，锗晶体ATR模式≤3 μm。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显微红外光谱仪检测器：显微红外光谱仪内置</w:t>
                  </w:r>
                  <w:r>
                    <w:rPr>
                      <w:rFonts w:ascii="仿宋_GB2312" w:hAnsi="仿宋_GB2312" w:cs="仿宋_GB2312" w:eastAsia="仿宋_GB2312"/>
                      <w:sz w:val="24"/>
                    </w:rPr>
                    <w:t>DTGS检测器和MCT单点检测器，采用≥24位200KHZ数据采集A/D转换。</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数据采集方式：透射、反射、</w:t>
                  </w:r>
                  <w:r>
                    <w:rPr>
                      <w:rFonts w:ascii="仿宋_GB2312" w:hAnsi="仿宋_GB2312" w:cs="仿宋_GB2312" w:eastAsia="仿宋_GB2312"/>
                      <w:sz w:val="24"/>
                    </w:rPr>
                    <w:t>ATR三种采样模式。</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光源：标准中红外光源。</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ATR物镜：Ge晶体ATR物镜，光通量≥40%；具有压力控制及晶体过载保护功能。</w:t>
                  </w:r>
                </w:p>
                <w:p>
                  <w:pPr>
                    <w:pStyle w:val="null3"/>
                    <w:jc w:val="both"/>
                  </w:pPr>
                  <w:r>
                    <w:rPr>
                      <w:rFonts w:ascii="仿宋_GB2312" w:hAnsi="仿宋_GB2312" w:cs="仿宋_GB2312" w:eastAsia="仿宋_GB2312"/>
                      <w:sz w:val="24"/>
                    </w:rPr>
                    <w:t>物镜：</w:t>
                  </w:r>
                  <w:r>
                    <w:rPr>
                      <w:rFonts w:ascii="仿宋_GB2312" w:hAnsi="仿宋_GB2312" w:cs="仿宋_GB2312" w:eastAsia="仿宋_GB2312"/>
                      <w:sz w:val="24"/>
                    </w:rPr>
                    <w:t>15倍物镜和15倍聚焦镜，透射物镜和反射物镜物理光学放大≥15倍。 N.A.值≥0.6。需提供佐证材料。</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ATR物镜配置全自动、数字化、连续接触压力感应与显示功能。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高分辨图谱库：需配备原厂</w:t>
                  </w:r>
                  <w:r>
                    <w:rPr>
                      <w:rFonts w:ascii="仿宋_GB2312" w:hAnsi="仿宋_GB2312" w:cs="仿宋_GB2312" w:eastAsia="仿宋_GB2312"/>
                      <w:sz w:val="24"/>
                    </w:rPr>
                    <w:t>≥19万张高分辨图谱库，具有谱库检索和建库功能，并提供无机矿物、有机物质数据库和高分子数据库，终身升级服务。需要提供承诺书。</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配置要求</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傅里叶变换显微红外光谱仪主机</w:t>
                  </w:r>
                  <w:r>
                    <w:rPr>
                      <w:rFonts w:ascii="仿宋_GB2312" w:hAnsi="仿宋_GB2312" w:cs="仿宋_GB2312" w:eastAsia="仿宋_GB2312"/>
                      <w:sz w:val="24"/>
                    </w:rPr>
                    <w:t xml:space="preserve">           </w:t>
                  </w:r>
                  <w:r>
                    <w:rPr>
                      <w:rFonts w:ascii="仿宋_GB2312" w:hAnsi="仿宋_GB2312" w:cs="仿宋_GB2312" w:eastAsia="仿宋_GB2312"/>
                      <w:sz w:val="24"/>
                    </w:rPr>
                    <w:t>1台</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DTGS检测器                       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MCT液氮制冷检测器         </w:t>
                  </w:r>
                  <w:r>
                    <w:rPr>
                      <w:rFonts w:ascii="仿宋_GB2312" w:hAnsi="仿宋_GB2312" w:cs="仿宋_GB2312" w:eastAsia="仿宋_GB2312"/>
                      <w:sz w:val="21"/>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Ge晶体ATR物镜</w:t>
                  </w:r>
                  <w:r>
                    <w:rPr>
                      <w:rFonts w:ascii="仿宋_GB2312" w:hAnsi="仿宋_GB2312" w:cs="仿宋_GB2312" w:eastAsia="仿宋_GB2312"/>
                      <w:sz w:val="21"/>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金刚石压池</w:t>
                  </w:r>
                  <w:r>
                    <w:rPr>
                      <w:rFonts w:ascii="仿宋_GB2312" w:hAnsi="仿宋_GB2312" w:cs="仿宋_GB2312" w:eastAsia="仿宋_GB2312"/>
                      <w:sz w:val="24"/>
                    </w:rPr>
                    <w:t xml:space="preserve">             </w:t>
                  </w:r>
                  <w:r>
                    <w:rPr>
                      <w:rFonts w:ascii="仿宋_GB2312" w:hAnsi="仿宋_GB2312" w:cs="仿宋_GB2312" w:eastAsia="仿宋_GB2312"/>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平台手动操作杆</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可溯源标准物质</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10升液氮罐                        1个</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原厂高分辨图谱库</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13.10</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数据采集处理终端</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UPS不间断电源2KVA 1200W 持续供电≥3小时   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数据采集处理终端、软件和谱图库：</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数据采集处理终端：双核</w:t>
                  </w:r>
                  <w:r>
                    <w:rPr>
                      <w:rFonts w:ascii="仿宋_GB2312" w:hAnsi="仿宋_GB2312" w:cs="仿宋_GB2312" w:eastAsia="仿宋_GB2312"/>
                      <w:sz w:val="24"/>
                    </w:rPr>
                    <w:t>CPU，≥32G内存，固态硬盘≥1TB，独立显卡，≥27英寸液晶显示器。</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外显微成像与分析系统：要求配套软件全中文界面，具备实时显示仪器工作状态及主要元器件参数监控功能，并具有故障提示及诊断向导。反射模式下自动定位采集背景，具备用户界面仪表盘和按钮控制面板，软件需支持以下功能：</w:t>
                  </w:r>
                </w:p>
                <w:p>
                  <w:pPr>
                    <w:pStyle w:val="null3"/>
                    <w:jc w:val="both"/>
                  </w:pPr>
                  <w:r>
                    <w:rPr>
                      <w:rFonts w:ascii="仿宋_GB2312" w:hAnsi="仿宋_GB2312" w:cs="仿宋_GB2312" w:eastAsia="仿宋_GB2312"/>
                      <w:sz w:val="24"/>
                    </w:rPr>
                    <w:t>1.控制与采集：支持多模式（反射、透射、衰减全反射ATR）红外光谱采集；支持可见光成像与红外光谱的实时联动预览；支持软件控制样品台多轴移动及自动聚焦、自动定位控制。</w:t>
                  </w:r>
                </w:p>
                <w:p>
                  <w:pPr>
                    <w:pStyle w:val="null3"/>
                    <w:jc w:val="both"/>
                  </w:pPr>
                  <w:r>
                    <w:rPr>
                      <w:rFonts w:ascii="仿宋_GB2312" w:hAnsi="仿宋_GB2312" w:cs="仿宋_GB2312" w:eastAsia="仿宋_GB2312"/>
                      <w:sz w:val="24"/>
                    </w:rPr>
                    <w:t>2.ATR附件要求：支持软件控制晶体升降及接触压力控制，并能实时显示压力状态。</w:t>
                  </w:r>
                </w:p>
                <w:p>
                  <w:pPr>
                    <w:pStyle w:val="null3"/>
                    <w:jc w:val="both"/>
                  </w:pPr>
                  <w:r>
                    <w:rPr>
                      <w:rFonts w:ascii="仿宋_GB2312" w:hAnsi="仿宋_GB2312" w:cs="仿宋_GB2312" w:eastAsia="仿宋_GB2312"/>
                      <w:sz w:val="24"/>
                    </w:rPr>
                    <w:t>3.成像与分析：具备化学成像数据采集功能，支持面扫描及线扫描；支持将视频图像、光谱图、三维以及剖面进行关联显示与分析。</w:t>
                  </w:r>
                </w:p>
                <w:p>
                  <w:pPr>
                    <w:pStyle w:val="null3"/>
                    <w:jc w:val="both"/>
                  </w:pPr>
                  <w:r>
                    <w:rPr>
                      <w:rFonts w:ascii="仿宋_GB2312" w:hAnsi="仿宋_GB2312" w:cs="仿宋_GB2312" w:eastAsia="仿宋_GB2312"/>
                      <w:sz w:val="24"/>
                    </w:rPr>
                    <w:t>4.系统可软件切换室温/液氮冷却检测器（选配）、反射/透射/ATR模式，控制偏振附件（选配）插入与旋转；具备高级ATR校正、高分辨谱库搜索与自建库管理、电子报告生成及数据格式转换功能。底层驱动支持主机及部件控制，并具备光路与检测器自动准直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红外专用分析软件：主要功能包括实时数据采集，支持各种实验报告格式，谱图预览，可支持智能型附件，光谱质量检查，光学台状态检查，全方位多媒体系统诊断，快捷工具图标，</w:t>
                  </w:r>
                  <w:r>
                    <w:rPr>
                      <w:rFonts w:ascii="仿宋_GB2312" w:hAnsi="仿宋_GB2312" w:cs="仿宋_GB2312" w:eastAsia="仿宋_GB2312"/>
                      <w:sz w:val="24"/>
                    </w:rPr>
                    <w:t>QC比对功能，谱库管理及处理功能，自动水蒸气和二氧化碳校正，多种数据格式转换，多种编辑功能，具备基线校正，标峰，差谱，平滑，光谱转换，ATR校正，K-K校正，曲线拟合，解卷积，求导等多项数据处理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混合物光谱分离鉴别分析软件：软件可对混合物或污染物样品光谱自动分离鉴别其成分、给出不同组分相对含量比列。软件支持各种红外光谱格式，可连网检索光谱的化学结构。</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以上所有指标不得负偏离</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要求提供佐证材料的需提供包括但不限于第三方证明、图片、彩页说明、产品说明书等材料。</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表述为准）合同签订后，供应商开具预付款等额银行保函，采购人收到银行保函正本后10个工作日内支付预付款，最多支付至100万元，剩余款项待验收合格后，并出具增值税专用发票，达到付款条件后10个工作日内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质保期：自学校验收合格之日起1年，干涉仪，光源质保10年，激光器质保5年。售后服务效率要求：7*24 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在用户所在地对用户进行为期1周的培训。培训内容包括仪器的技术原理、操作、数据处理、基本维护等。验收后半年内组织买方相关人员2人参加举办的相关应用培训班。5.保修期：卖方提供一年的免费保修,保修期自仪器验收签字之日起计算。保修期间维修及零件更换费用由厂家负担。6.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1.合同签订后，供应商开具预付款等额银行保函，采购人收到银行保函正本后10个工作日内支付预付款，最多支付至100万元，剩余款项待验收合格后，并出具增值税专用发票，达到付款条件后10个工作日内付清。 2.培训要求：在用户所在地对用户进行为期1周的培训。培训内容包括仪器的技术原理、操作、数据处理、基本维护等。验收后半年内组织买方相关人员2人参加举办的相关应用培训班。 3.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3）投标人所提供的产品型号、产地等重要信息，需要与仪器机身保持一致。因投标人原因（有且不限于型号有误、出具的净重、参数等证明有误问题）造成的一切后果及费用由投标人自行承担。 4.投标保证金注意事项：（1）投标保证金缴纳截止时间：同响应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haitang2018@163.com（邮件命名：项目编号）。保函必须由具有开具投标保函资格的单位开具；若供应商违约，开具保函单位承担连带责任。 5.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6.中标方须额外提供搬迁和安装调试一次，搬迁和安装调试过程中所产生的一切费用由中标方承担；搬迁和安装调试过程中仪器出现的一切故障和损坏由中标方负责维修修复。 7.在线客服：通过陕西省政府采购网-在线客服进行咨询 技术服务电话：029-96702 CA及签章服务：通过陕西省政府采购网-服务专区进行查询 8.请将采购代理服务费汇至下列指定账户： 户名：陕西海堂项目管理咨询有限公司 开户银行：中国银行股份有限公司西安雁塔路支行 账号：103675480567 9.供应商需要在线提交所有通过电子化交易平台实施的政府采购项目的响应文件，同时，线下提交响应文件正本壹份、副本贰套、电子版贰套（U盘标明供应商名称）。 线下提交响应文件地点：于谈判截止时间前。 线下提交响应文件地点：西安市雁塔区电子二路青松公寓二楼西第一会议室。 若电子响应文件与纸质响应文件不一致的，以电子响应文件为准；若正本和副本不符，以正本为准。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12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提供具有履行服务合同所必需的产品和专业技术能力的承诺书；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法定代表人授权书.docx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投标有效期达到谈判文件要求</w:t>
            </w:r>
          </w:p>
        </w:tc>
        <w:tc>
          <w:tcPr>
            <w:tcW w:type="dxa" w:w="3322"/>
          </w:tcPr>
          <w:p>
            <w:pPr>
              <w:pStyle w:val="null3"/>
            </w:pPr>
            <w:r>
              <w:rPr>
                <w:rFonts w:ascii="仿宋_GB2312" w:hAnsi="仿宋_GB2312" w:cs="仿宋_GB2312" w:eastAsia="仿宋_GB2312"/>
              </w:rPr>
              <w:t>投标有效期达到谈判文件要求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响应文件技术参数与性能指标达到竞争性谈判文件要求</w:t>
            </w:r>
          </w:p>
        </w:tc>
        <w:tc>
          <w:tcPr>
            <w:tcW w:type="dxa" w:w="1661"/>
          </w:tcPr>
          <w:p>
            <w:pPr>
              <w:pStyle w:val="null3"/>
            </w:pPr>
            <w:r>
              <w:rPr>
                <w:rFonts w:ascii="仿宋_GB2312" w:hAnsi="仿宋_GB2312" w:cs="仿宋_GB2312" w:eastAsia="仿宋_GB2312"/>
              </w:rPr>
              <w:t>响应文件封面 产品技术参数表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 响应函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