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9CAC51">
      <w:pPr>
        <w:pStyle w:val="8"/>
        <w:jc w:val="center"/>
        <w:outlineLvl w:val="1"/>
        <w:rPr>
          <w:highlight w:val="none"/>
        </w:rPr>
      </w:pPr>
      <w:bookmarkStart w:id="0" w:name="_GoBack"/>
      <w:bookmarkEnd w:id="0"/>
    </w:p>
    <w:tbl>
      <w:tblPr>
        <w:tblStyle w:val="5"/>
        <w:tblpPr w:leftFromText="180" w:rightFromText="180" w:vertAnchor="text" w:horzAnchor="margin" w:tblpY="3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95"/>
      </w:tblGrid>
      <w:tr w14:paraId="173D59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2295" w:type="dxa"/>
            <w:noWrap w:val="0"/>
            <w:vAlign w:val="top"/>
          </w:tcPr>
          <w:p w14:paraId="51CC2ECC">
            <w:pPr>
              <w:jc w:val="center"/>
              <w:rPr>
                <w:rFonts w:hint="eastAsia" w:eastAsia="宋体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/>
                <w:sz w:val="30"/>
                <w:szCs w:val="30"/>
                <w:highlight w:val="none"/>
                <w:lang w:val="en-US" w:eastAsia="zh-CN"/>
              </w:rPr>
              <w:t>公开招标</w:t>
            </w:r>
          </w:p>
        </w:tc>
      </w:tr>
    </w:tbl>
    <w:p w14:paraId="42A7E7FB">
      <w:pPr>
        <w:jc w:val="left"/>
        <w:rPr>
          <w:sz w:val="30"/>
          <w:szCs w:val="30"/>
          <w:highlight w:val="none"/>
        </w:rPr>
      </w:pPr>
      <w:r>
        <w:rPr>
          <w:rFonts w:ascii="宋体" w:hAnsi="宋体" w:cs="宋体"/>
          <w:bCs/>
          <w:sz w:val="28"/>
          <w:szCs w:val="28"/>
          <w:highlight w:val="none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1894205</wp:posOffset>
            </wp:positionH>
            <wp:positionV relativeFrom="paragraph">
              <wp:posOffset>171450</wp:posOffset>
            </wp:positionV>
            <wp:extent cx="1858010" cy="600075"/>
            <wp:effectExtent l="0" t="0" r="8890" b="9525"/>
            <wp:wrapNone/>
            <wp:docPr id="3" name="图片 2" descr="F:\9.各类PPT\1.儿童医院LOGO\儿童医院LOGO-2020.9.1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 descr="F:\9.各类PPT\1.儿童医院LOGO\儿童医院LOGO-2020.9.16.pn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5801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933CB82">
      <w:pPr>
        <w:jc w:val="left"/>
        <w:rPr>
          <w:sz w:val="30"/>
          <w:szCs w:val="30"/>
          <w:highlight w:val="none"/>
        </w:rPr>
      </w:pPr>
    </w:p>
    <w:p w14:paraId="4BF245A3">
      <w:pPr>
        <w:spacing w:line="440" w:lineRule="exact"/>
        <w:jc w:val="left"/>
        <w:rPr>
          <w:rFonts w:ascii="宋体" w:hAnsi="宋体" w:cs="宋体"/>
          <w:b/>
          <w:sz w:val="72"/>
          <w:szCs w:val="52"/>
          <w:highlight w:val="none"/>
        </w:rPr>
      </w:pPr>
    </w:p>
    <w:p w14:paraId="5C7AABEA">
      <w:pPr>
        <w:pStyle w:val="3"/>
        <w:spacing w:line="440" w:lineRule="exact"/>
        <w:jc w:val="left"/>
        <w:rPr>
          <w:rFonts w:ascii="宋体" w:hAnsi="宋体" w:cs="宋体"/>
          <w:highlight w:val="none"/>
        </w:rPr>
      </w:pPr>
    </w:p>
    <w:p w14:paraId="0D6D72E1">
      <w:pPr>
        <w:spacing w:line="480" w:lineRule="auto"/>
        <w:jc w:val="left"/>
        <w:rPr>
          <w:rFonts w:ascii="宋体" w:hAnsi="宋体" w:cs="宋体"/>
          <w:spacing w:val="8"/>
          <w:sz w:val="52"/>
          <w:highlight w:val="none"/>
        </w:rPr>
      </w:pPr>
    </w:p>
    <w:p w14:paraId="7B282B4B">
      <w:pPr>
        <w:spacing w:line="720" w:lineRule="auto"/>
        <w:jc w:val="center"/>
        <w:rPr>
          <w:rFonts w:hint="eastAsia" w:ascii="宋体" w:hAnsi="宋体" w:eastAsia="宋体" w:cs="宋体"/>
          <w:spacing w:val="8"/>
          <w:sz w:val="48"/>
          <w:szCs w:val="48"/>
          <w:highlight w:val="none"/>
        </w:rPr>
      </w:pPr>
      <w:r>
        <w:rPr>
          <w:rFonts w:hint="eastAsia" w:ascii="宋体" w:hAnsi="宋体" w:eastAsia="宋体" w:cs="宋体"/>
          <w:spacing w:val="8"/>
          <w:sz w:val="48"/>
          <w:szCs w:val="48"/>
          <w:highlight w:val="none"/>
        </w:rPr>
        <w:t>西安市儿童医院</w:t>
      </w:r>
    </w:p>
    <w:p w14:paraId="5B35532F">
      <w:pPr>
        <w:spacing w:line="720" w:lineRule="auto"/>
        <w:jc w:val="center"/>
        <w:rPr>
          <w:rFonts w:hint="eastAsia" w:ascii="宋体" w:hAnsi="宋体" w:eastAsia="宋体" w:cs="宋体"/>
          <w:sz w:val="48"/>
          <w:szCs w:val="48"/>
          <w:highlight w:val="none"/>
        </w:rPr>
      </w:pPr>
      <w:r>
        <w:rPr>
          <w:rFonts w:hint="eastAsia" w:ascii="宋体" w:hAnsi="宋体" w:eastAsia="宋体" w:cs="宋体"/>
          <w:sz w:val="48"/>
          <w:szCs w:val="48"/>
          <w:highlight w:val="none"/>
        </w:rPr>
        <w:t>一次性打印耗材、手腕带采购项目合同</w:t>
      </w:r>
    </w:p>
    <w:p w14:paraId="72DA1E1B">
      <w:pPr>
        <w:spacing w:before="120" w:beforeLines="50" w:after="120" w:afterLines="50" w:line="360" w:lineRule="auto"/>
        <w:jc w:val="center"/>
        <w:rPr>
          <w:rFonts w:hint="eastAsia" w:ascii="宋体" w:hAnsi="宋体" w:eastAsia="宋体" w:cs="宋体"/>
          <w:b w:val="0"/>
          <w:bCs/>
          <w:spacing w:val="4"/>
          <w:sz w:val="24"/>
          <w:szCs w:val="24"/>
          <w:highlight w:val="none"/>
          <w:lang w:eastAsia="zh-CN"/>
        </w:rPr>
      </w:pPr>
      <w:r>
        <w:rPr>
          <w:rFonts w:hint="eastAsia" w:ascii="宋体" w:hAnsi="宋体" w:cs="宋体"/>
          <w:b w:val="0"/>
          <w:bCs/>
          <w:spacing w:val="4"/>
          <w:sz w:val="24"/>
          <w:szCs w:val="24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 w:val="0"/>
          <w:bCs/>
          <w:spacing w:val="4"/>
          <w:sz w:val="24"/>
          <w:szCs w:val="24"/>
          <w:highlight w:val="none"/>
        </w:rPr>
        <w:t>项目编号：</w:t>
      </w:r>
      <w:r>
        <w:rPr>
          <w:rFonts w:hint="eastAsia" w:ascii="宋体" w:hAnsi="宋体" w:cs="宋体"/>
          <w:b w:val="0"/>
          <w:bCs/>
          <w:spacing w:val="4"/>
          <w:sz w:val="24"/>
          <w:szCs w:val="24"/>
          <w:highlight w:val="none"/>
          <w:lang w:val="en-US" w:eastAsia="zh-CN"/>
        </w:rPr>
        <w:t xml:space="preserve">       </w:t>
      </w:r>
      <w:r>
        <w:rPr>
          <w:rFonts w:hint="eastAsia" w:ascii="宋体" w:hAnsi="宋体" w:eastAsia="宋体" w:cs="宋体"/>
          <w:b w:val="0"/>
          <w:bCs/>
          <w:spacing w:val="4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/>
          <w:spacing w:val="4"/>
          <w:sz w:val="24"/>
          <w:szCs w:val="24"/>
          <w:highlight w:val="none"/>
          <w:lang w:val="en-US" w:eastAsia="zh-CN"/>
        </w:rPr>
        <w:t>）</w:t>
      </w:r>
    </w:p>
    <w:p w14:paraId="0AC12899">
      <w:pPr>
        <w:spacing w:line="720" w:lineRule="auto"/>
        <w:jc w:val="left"/>
        <w:rPr>
          <w:rFonts w:ascii="宋体" w:hAnsi="宋体" w:cs="宋体"/>
          <w:b/>
          <w:sz w:val="72"/>
          <w:szCs w:val="52"/>
          <w:highlight w:val="none"/>
        </w:rPr>
      </w:pPr>
    </w:p>
    <w:p w14:paraId="7900D1CC">
      <w:pPr>
        <w:pStyle w:val="3"/>
        <w:spacing w:line="440" w:lineRule="exact"/>
        <w:jc w:val="left"/>
        <w:rPr>
          <w:rFonts w:ascii="宋体" w:hAnsi="宋体" w:cs="宋体"/>
          <w:b/>
          <w:sz w:val="72"/>
          <w:szCs w:val="52"/>
          <w:highlight w:val="none"/>
        </w:rPr>
      </w:pPr>
    </w:p>
    <w:p w14:paraId="0759CC07">
      <w:pPr>
        <w:pStyle w:val="3"/>
        <w:spacing w:line="440" w:lineRule="exact"/>
        <w:jc w:val="left"/>
        <w:rPr>
          <w:rFonts w:ascii="宋体" w:hAnsi="宋体" w:cs="宋体"/>
          <w:b/>
          <w:sz w:val="72"/>
          <w:szCs w:val="52"/>
          <w:highlight w:val="none"/>
        </w:rPr>
      </w:pPr>
    </w:p>
    <w:p w14:paraId="2FC57DC1">
      <w:pPr>
        <w:pStyle w:val="3"/>
        <w:spacing w:line="440" w:lineRule="exact"/>
        <w:jc w:val="left"/>
        <w:rPr>
          <w:rFonts w:ascii="宋体" w:hAnsi="宋体" w:cs="宋体"/>
          <w:b/>
          <w:sz w:val="72"/>
          <w:szCs w:val="52"/>
          <w:highlight w:val="none"/>
        </w:rPr>
      </w:pPr>
    </w:p>
    <w:p w14:paraId="71A0F5C4">
      <w:pPr>
        <w:pStyle w:val="3"/>
        <w:spacing w:line="440" w:lineRule="exact"/>
        <w:jc w:val="left"/>
        <w:rPr>
          <w:rFonts w:ascii="宋体" w:hAnsi="宋体" w:cs="宋体"/>
          <w:b/>
          <w:sz w:val="72"/>
          <w:szCs w:val="52"/>
          <w:highlight w:val="none"/>
        </w:rPr>
      </w:pPr>
    </w:p>
    <w:p w14:paraId="7F40F7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项目组织形式：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  <w:lang w:val="en-US" w:eastAsia="zh-CN"/>
        </w:rPr>
        <w:t>集中</w:t>
      </w:r>
      <w:r>
        <w:rPr>
          <w:rFonts w:hint="eastAsia" w:ascii="宋体" w:hAnsi="宋体" w:eastAsia="宋体" w:cs="宋体"/>
          <w:color w:val="000000"/>
          <w:sz w:val="30"/>
          <w:szCs w:val="30"/>
          <w:highlight w:val="none"/>
        </w:rPr>
        <w:t>采购</w:t>
      </w:r>
    </w:p>
    <w:p w14:paraId="625C5AE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项目主办部门：总务科</w:t>
      </w:r>
    </w:p>
    <w:p w14:paraId="3FE6D6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甲方：西安市儿童医院</w:t>
      </w:r>
    </w:p>
    <w:p w14:paraId="100FB814">
      <w:pPr>
        <w:keepNext w:val="0"/>
        <w:keepLines w:val="0"/>
        <w:pageBreakBefore w:val="0"/>
        <w:widowControl w:val="0"/>
        <w:tabs>
          <w:tab w:val="right" w:pos="1360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default" w:ascii="宋体" w:hAnsi="宋体" w:eastAsia="宋体" w:cs="宋体"/>
          <w:kern w:val="2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乙方：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 xml:space="preserve"> </w:t>
      </w:r>
    </w:p>
    <w:p w14:paraId="232C60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="宋体" w:hAnsi="宋体" w:eastAsia="宋体" w:cs="宋体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签订地点：西安市儿童医院</w:t>
      </w:r>
    </w:p>
    <w:p w14:paraId="5343E1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textAlignment w:val="auto"/>
        <w:rPr>
          <w:rFonts w:hint="eastAsia" w:ascii="宋体" w:hAnsi="宋体" w:eastAsia="宋体" w:cs="宋体"/>
          <w:sz w:val="30"/>
          <w:szCs w:val="30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highlight w:val="none"/>
        </w:rPr>
        <w:t>签订时间：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年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30"/>
          <w:szCs w:val="30"/>
          <w:highlight w:val="none"/>
        </w:rPr>
        <w:t>月</w:t>
      </w:r>
      <w:r>
        <w:rPr>
          <w:rFonts w:hint="eastAsia" w:ascii="宋体" w:hAnsi="宋体" w:cs="宋体"/>
          <w:sz w:val="30"/>
          <w:szCs w:val="30"/>
          <w:highlight w:val="none"/>
          <w:lang w:val="en-US" w:eastAsia="zh-CN"/>
        </w:rPr>
        <w:t xml:space="preserve">   日 </w:t>
      </w:r>
    </w:p>
    <w:p w14:paraId="35004464">
      <w:pPr>
        <w:rPr>
          <w:rFonts w:hint="eastAsia" w:ascii="宋体" w:hAnsi="宋体" w:eastAsia="宋体" w:cs="宋体"/>
          <w:highlight w:val="none"/>
        </w:rPr>
      </w:pPr>
    </w:p>
    <w:p w14:paraId="3C1ABF7A">
      <w:pPr>
        <w:pStyle w:val="2"/>
        <w:keepNext w:val="0"/>
        <w:keepLines w:val="0"/>
        <w:kinsoku w:val="0"/>
        <w:overflowPunct w:val="0"/>
        <w:autoSpaceDE w:val="0"/>
        <w:autoSpaceDN w:val="0"/>
        <w:rPr>
          <w:highlight w:val="none"/>
        </w:rPr>
      </w:pPr>
    </w:p>
    <w:p w14:paraId="2694FF6E">
      <w:pPr>
        <w:rPr>
          <w:highlight w:val="none"/>
        </w:rPr>
      </w:pPr>
    </w:p>
    <w:p w14:paraId="5B2D0E0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甲方：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西安市儿童医院</w:t>
      </w:r>
    </w:p>
    <w:p w14:paraId="2F6C250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甲方地址：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西安市莲湖区西举院巷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69号</w:t>
      </w:r>
    </w:p>
    <w:p w14:paraId="0EBDBBD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宋体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甲方联系人：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黄波</w:t>
      </w:r>
    </w:p>
    <w:p w14:paraId="6196083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乙方：</w:t>
      </w:r>
      <w:r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highlight w:val="none"/>
          <w:lang w:val="en-US" w:eastAsia="zh-CN"/>
        </w:rPr>
        <w:t xml:space="preserve"> </w:t>
      </w:r>
    </w:p>
    <w:p w14:paraId="7882B4A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left="0" w:leftChars="0" w:firstLine="560" w:firstLineChars="200"/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地址：</w:t>
      </w:r>
      <w:r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highlight w:val="none"/>
          <w:lang w:val="en-US" w:eastAsia="zh-CN"/>
        </w:rPr>
        <w:t xml:space="preserve"> </w:t>
      </w:r>
    </w:p>
    <w:p w14:paraId="57C56D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联系人：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</w:t>
      </w:r>
    </w:p>
    <w:p w14:paraId="3A386BC6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甲方所需货物，按照政府采购程序组织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公开招标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，确定乙方为成交供应商。依据《中华人民共和国政府采购法》、《中华人民共和国招标投标法》、《中华人民共和国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</w:rPr>
        <w:t>民法典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》以及采购文件、成交供应商响应文件、成交通知书，经甲、乙双方协商，达成如下条款。</w:t>
      </w:r>
    </w:p>
    <w:p w14:paraId="4F34A5F4">
      <w:pPr>
        <w:numPr>
          <w:ilvl w:val="0"/>
          <w:numId w:val="0"/>
        </w:numPr>
        <w:tabs>
          <w:tab w:val="left" w:pos="480"/>
        </w:tabs>
        <w:spacing w:line="560" w:lineRule="atLeast"/>
        <w:ind w:firstLine="562" w:firstLineChars="200"/>
        <w:rPr>
          <w:rFonts w:hint="eastAsia" w:eastAsia="方正仿宋_GB2312"/>
          <w:highlight w:val="none"/>
          <w:lang w:val="en-US" w:eastAsia="zh-CN"/>
        </w:rPr>
      </w:pPr>
      <w:r>
        <w:rPr>
          <w:rFonts w:hint="eastAsia" w:ascii="Calibri" w:hAnsi="Calibri" w:eastAsia="宋体" w:cs="Times New Roman"/>
          <w:b/>
          <w:bCs/>
          <w:kern w:val="2"/>
          <w:sz w:val="28"/>
          <w:szCs w:val="28"/>
          <w:highlight w:val="none"/>
          <w:lang w:val="en-US" w:eastAsia="zh-CN" w:bidi="ar-SA"/>
        </w:rPr>
        <w:t>一</w:t>
      </w:r>
      <w:r>
        <w:rPr>
          <w:rFonts w:hint="eastAsia" w:ascii="Calibri" w:hAnsi="Calibri" w:eastAsia="宋体" w:cs="Times New Roman"/>
          <w:b/>
          <w:bCs/>
          <w:kern w:val="2"/>
          <w:sz w:val="21"/>
          <w:szCs w:val="24"/>
          <w:highlight w:val="none"/>
          <w:lang w:val="en-US" w:eastAsia="zh-CN" w:bidi="ar-SA"/>
        </w:rPr>
        <w:t>、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合同中标的物品内容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  <w:t>：</w:t>
      </w:r>
    </w:p>
    <w:p w14:paraId="136A8AF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51" w:firstLineChars="196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  <w:t>具体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eastAsia="zh-CN"/>
        </w:rPr>
        <w:t>内容详见附件清单</w:t>
      </w:r>
    </w:p>
    <w:p w14:paraId="5F30C3A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51" w:firstLineChars="196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二、合同价款</w:t>
      </w:r>
    </w:p>
    <w:p w14:paraId="69C75664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1.本项目为固定下浮率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合同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下浮率：      %。</w:t>
      </w:r>
    </w:p>
    <w:p w14:paraId="700C3EB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2.合同结算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价=单价限价*（1-下浮率）。</w:t>
      </w:r>
    </w:p>
    <w:p w14:paraId="5362475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合同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结算价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包括但不限于货物费、运输费、保险费、税费及合理利润等一切费用。按需供货，据实结算，实际结算金额不得超过总预算价款。</w:t>
      </w:r>
    </w:p>
    <w:p w14:paraId="71B90008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4.本合同总预算款为300万元。</w:t>
      </w:r>
    </w:p>
    <w:p w14:paraId="00E7F8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2" w:firstLineChars="20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三、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  <w:t>付款方式和结算条件</w:t>
      </w:r>
    </w:p>
    <w:p w14:paraId="4A7F4D78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付款方式</w:t>
      </w:r>
    </w:p>
    <w:p w14:paraId="6714D06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甲方通过银行转账方式将款项转入乙方银行账户。乙方银行账户信息如下：</w:t>
      </w:r>
    </w:p>
    <w:p w14:paraId="0B8A2EF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default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单位名称：</w:t>
      </w:r>
      <w:r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highlight w:val="none"/>
          <w:lang w:val="en-US" w:eastAsia="zh-CN"/>
        </w:rPr>
        <w:t xml:space="preserve">  </w:t>
      </w:r>
    </w:p>
    <w:p w14:paraId="07B7399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en-US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开户银行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en-US"/>
        </w:rPr>
        <w:t xml:space="preserve"> </w:t>
      </w:r>
    </w:p>
    <w:p w14:paraId="31D333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银行账号：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</w:t>
      </w:r>
    </w:p>
    <w:p w14:paraId="7B3DED9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甲方仅认可上述指定账户并向该账户付款，甲方有权拒绝向指定账户之外的任何账户付款，并且由此导致的付款延迟责任由乙方承担。</w:t>
      </w:r>
    </w:p>
    <w:p w14:paraId="5D3C380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</w:rPr>
        <w:t>乙方要如实开具发票，不得变更开票内容，若乙方开具发票出现税务争议时，乙方需承担税款、滞纳金、罚款等赔偿责任以及其他相关责任。</w:t>
      </w:r>
    </w:p>
    <w:p w14:paraId="44ADDCD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u w:val="singl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lang w:val="en-US" w:eastAsia="zh-CN"/>
        </w:rPr>
        <w:t>甲方开票信息：全  称：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</w:t>
      </w:r>
    </w:p>
    <w:p w14:paraId="5FC7814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840" w:firstLineChars="30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lang w:val="en-US" w:eastAsia="zh-CN"/>
        </w:rPr>
        <w:t xml:space="preserve">            账  号：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</w:t>
      </w:r>
    </w:p>
    <w:p w14:paraId="0C7550C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840" w:firstLineChars="30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lang w:val="en-US" w:eastAsia="zh-CN"/>
        </w:rPr>
        <w:t xml:space="preserve">            开户行：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u w:val="single"/>
          <w:lang w:val="en-US" w:eastAsia="zh-CN"/>
        </w:rPr>
        <w:t xml:space="preserve">          </w:t>
      </w:r>
    </w:p>
    <w:p w14:paraId="459F32AD"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</w:rPr>
        <w:t>结算条件</w:t>
      </w:r>
    </w:p>
    <w:p w14:paraId="51045AF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495" w:firstLineChars="177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乙方应根据甲方的实际需求，通过订单提供货物。按甲方要求配送，经双方验收合格。双方按季度据实结算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以合同签订之日为基准，每三个月为一个季度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）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，每季度结束后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5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工作日，乙方提供该季度供货明细及相应金额的增值税发票，甲方收到合格发票及完整结算单据后，在</w:t>
      </w:r>
      <w:r>
        <w:rPr>
          <w:rStyle w:val="7"/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highlight w:val="none"/>
        </w:rPr>
        <w:t>每季度结束后30个日历日内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支付该季度验收合格货物总价款的</w:t>
      </w:r>
      <w:r>
        <w:rPr>
          <w:rStyle w:val="7"/>
          <w:rFonts w:hint="eastAsia" w:ascii="方正仿宋_GB2312" w:hAnsi="方正仿宋_GB2312" w:eastAsia="方正仿宋_GB2312" w:cs="方正仿宋_GB2312"/>
          <w:b w:val="0"/>
          <w:bCs w:val="0"/>
          <w:sz w:val="28"/>
          <w:szCs w:val="28"/>
          <w:highlight w:val="none"/>
        </w:rPr>
        <w:t>100%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。若乙方未提供合格税务发票，则甲方有权拒付款项，且不承担任何违约责任。</w:t>
      </w:r>
    </w:p>
    <w:p w14:paraId="756C6B76">
      <w:pPr>
        <w:keepNext w:val="0"/>
        <w:keepLines w:val="0"/>
        <w:pageBreakBefore w:val="0"/>
        <w:numPr>
          <w:ilvl w:val="0"/>
          <w:numId w:val="1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2" w:firstLineChars="200"/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</w:rPr>
        <w:t>双方的权利和义务</w:t>
      </w:r>
    </w:p>
    <w:p w14:paraId="0951E084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</w:rPr>
        <w:t>甲方的权利和义务</w:t>
      </w:r>
    </w:p>
    <w:p w14:paraId="0EF76F4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</w:rPr>
        <w:t>1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shd w:val="clear" w:color="auto" w:fill="FFFFFF"/>
        </w:rPr>
        <w:t>货物配送至甲方指定地点，甲方</w:t>
      </w:r>
      <w:r>
        <w:rPr>
          <w:rFonts w:hint="eastAsia" w:ascii="方正仿宋_GB2312" w:hAnsi="方正仿宋_GB2312" w:eastAsia="方正仿宋_GB2312" w:cs="方正仿宋_GB2312"/>
          <w:bCs/>
          <w:sz w:val="28"/>
          <w:szCs w:val="28"/>
          <w:highlight w:val="none"/>
        </w:rPr>
        <w:t>严格按照采购文件及响应文件要求和标准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积极配合乙方交付,及时验收。</w:t>
      </w:r>
    </w:p>
    <w:p w14:paraId="536391E2">
      <w:pPr>
        <w:keepNext w:val="0"/>
        <w:keepLines w:val="0"/>
        <w:pageBreakBefore w:val="0"/>
        <w:numPr>
          <w:ilvl w:val="0"/>
          <w:numId w:val="0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highlight w:val="none"/>
          <w:lang w:val="en-US" w:eastAsia="zh-CN" w:bidi="ar-SA"/>
        </w:rPr>
        <w:t>1.2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在乙方按照合同约定提供货物且验收合格后，甲方应按照合同约定的付款方式和时间及时支付货款。</w:t>
      </w:r>
    </w:p>
    <w:p w14:paraId="0F6665E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3有权对乙方的供货过程、货物质量等进行监督检查，乙方应予以配合。</w:t>
      </w:r>
    </w:p>
    <w:p w14:paraId="7747F4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乙方的权利和义务</w:t>
      </w:r>
    </w:p>
    <w:p w14:paraId="5CD05A3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1按照合同约定的时间、地点和数量，向甲方指定地点提供货物及完整的货物清单。</w:t>
      </w:r>
    </w:p>
    <w:p w14:paraId="34DB009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2保证所提供的货物符合采购文件、响应文件及合同约定的质量标准和技术要求，为全新、未使用过的合格产品，不存在任何质量瑕疵和权利瑕疵。</w:t>
      </w:r>
    </w:p>
    <w:p w14:paraId="218C0FA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51" w:firstLineChars="196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五、交货条件</w:t>
      </w:r>
    </w:p>
    <w:p w14:paraId="49AAD41D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交货地点：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 </w:t>
      </w:r>
    </w:p>
    <w:p w14:paraId="4203A60B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交货期：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 </w:t>
      </w:r>
    </w:p>
    <w:p w14:paraId="4BED0493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供货期：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</w:t>
      </w:r>
    </w:p>
    <w:p w14:paraId="6D7D737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51" w:firstLineChars="196"/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</w:rPr>
        <w:t>六、</w:t>
      </w: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  <w:lang w:val="en-US" w:eastAsia="zh-CN"/>
        </w:rPr>
        <w:t>服务要求</w:t>
      </w:r>
    </w:p>
    <w:p w14:paraId="0A1AD06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48" w:firstLineChars="196"/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1.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保证服务所需产品的稳定及质量保证。</w:t>
      </w:r>
    </w:p>
    <w:p w14:paraId="2111883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48" w:firstLineChars="196"/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2.在本地有库房及充足的库存。</w:t>
      </w:r>
    </w:p>
    <w:p w14:paraId="511EB2FE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48" w:firstLineChars="196"/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8"/>
          <w:szCs w:val="28"/>
          <w:highlight w:val="none"/>
        </w:rPr>
        <w:t>3.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8"/>
          <w:szCs w:val="28"/>
          <w:highlight w:val="none"/>
          <w:lang w:val="en-US" w:eastAsia="zh-CN"/>
        </w:rPr>
        <w:t>乙方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8"/>
          <w:szCs w:val="28"/>
          <w:highlight w:val="none"/>
        </w:rPr>
        <w:t>派1名具有售后服务能力、两年以上工作经验的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8"/>
          <w:szCs w:val="28"/>
          <w:highlight w:val="none"/>
          <w:lang w:val="en-US" w:eastAsia="zh-CN"/>
        </w:rPr>
        <w:t>人员</w:t>
      </w:r>
      <w:r>
        <w:rPr>
          <w:rFonts w:hint="eastAsia" w:ascii="方正仿宋_GB2312" w:hAnsi="方正仿宋_GB2312" w:eastAsia="方正仿宋_GB2312" w:cs="方正仿宋_GB2312"/>
          <w:b w:val="0"/>
          <w:bCs/>
          <w:color w:val="auto"/>
          <w:sz w:val="28"/>
          <w:szCs w:val="28"/>
          <w:highlight w:val="none"/>
        </w:rPr>
        <w:t>驻场。</w:t>
      </w:r>
    </w:p>
    <w:p w14:paraId="172EDA64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48" w:firstLineChars="196"/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4.服务响应时间：接到院方电话后，30分钟内响应。在5*8的工作时间内驻场工程师现场处理，如无法立即排除故障的提供相应的解决方案；在5*8的工作时间外，工程师应在4小时内到达现场处理，如无法立即排除故障的提供相应的解决方案。</w:t>
      </w:r>
    </w:p>
    <w:p w14:paraId="749124E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48" w:firstLineChars="196"/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5.需提供多种联系手段提供快捷的响应服务：7×24小时咨询电话和专线负责人等；远程技术支持，服务内容包括：网站在线技术文档支持、电话热线技术支持、远程调试支持等，要求能解答在设备使用中遇到的问题，及时提出解决问题的建议和操作方法。</w:t>
      </w:r>
    </w:p>
    <w:p w14:paraId="57CA1253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48" w:firstLineChars="196"/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 w:val="0"/>
          <w:bCs/>
          <w:sz w:val="28"/>
          <w:szCs w:val="28"/>
          <w:highlight w:val="none"/>
        </w:rPr>
        <w:t>6.提供针对本项目的其他利于本项目开展的承诺。</w:t>
      </w:r>
    </w:p>
    <w:p w14:paraId="775E579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51" w:firstLineChars="196"/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  <w:lang w:val="en-US" w:eastAsia="zh-CN"/>
        </w:rPr>
        <w:t>七</w:t>
      </w: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</w:rPr>
        <w:t>、</w:t>
      </w: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  <w:lang w:val="en-US" w:eastAsia="zh-CN"/>
        </w:rPr>
        <w:t>包装和</w:t>
      </w: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</w:rPr>
        <w:t>运输</w:t>
      </w:r>
      <w:r>
        <w:rPr>
          <w:rFonts w:hint="eastAsia" w:ascii="方正仿宋_GB2312" w:hAnsi="方正仿宋_GB2312" w:eastAsia="方正仿宋_GB2312" w:cs="方正仿宋_GB2312"/>
          <w:b/>
          <w:bCs w:val="0"/>
          <w:sz w:val="28"/>
          <w:szCs w:val="28"/>
          <w:highlight w:val="none"/>
          <w:lang w:val="en-US" w:eastAsia="zh-CN"/>
        </w:rPr>
        <w:t>要求</w:t>
      </w:r>
    </w:p>
    <w:p w14:paraId="506F8F7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495" w:firstLineChars="177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货物的运输方式由乙方自行选择，但包装必须符合国家标准或行业标准，满足航空、铁路或公路运输以及货物装卸要求，保证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甲方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收到的是无任何损伤的货物。否则，因此造成的损失由乙方自行承担。</w:t>
      </w:r>
    </w:p>
    <w:p w14:paraId="41A6E1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2" w:firstLineChars="200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  <w:t>八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、售后服务</w:t>
      </w:r>
    </w:p>
    <w:p w14:paraId="4DFAB3D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乙方所供货物提供以下售后服务：</w:t>
      </w:r>
    </w:p>
    <w:p w14:paraId="1B60F84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质量保证：乙方承诺所提供的产品必须是符合质量标准的合格产品，进货渠道正常，并具备正规的产品注册证登记表、生产许可证，配送时须提供配送批次产品的合格证明资料、检测报告、卫生安全评价报告等</w:t>
      </w:r>
    </w:p>
    <w:p w14:paraId="6B2943C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包装及其他要求：符合出厂要求、包装完整无破损；包装标识清楚，配送产品必须为全新未拆封产品且渠道合法。</w:t>
      </w:r>
    </w:p>
    <w:p w14:paraId="4883F2B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495" w:firstLineChars="177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3.免费维保期：两年。维保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期内因产品的质量问题，在接到甲方通知后，乙方在24小时内完成更换。</w:t>
      </w:r>
    </w:p>
    <w:p w14:paraId="3D45A505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2" w:firstLineChars="200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  <w:t>九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、验收</w:t>
      </w:r>
    </w:p>
    <w:p w14:paraId="11A8FB93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货物到达甲方指定地点后，甲乙双方根据合同要求，进行外观验收，确认产地、规格、型号和数量。验收内容包括但不限于货物的名称、规格、数量、质量、外观包装等。验收合格的，甲方应签署《验收合格单》，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</w:rPr>
        <w:t>验收不作为产品质量合格的最终依据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；验收不合格的，甲方有权拒收货物，并在5个工作日内以书面形式向乙方提出具体的问题及整改要求，乙方需在收到通知后的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个工作日内进行处理，直至验收合格。</w:t>
      </w:r>
    </w:p>
    <w:p w14:paraId="37A6A99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乙方向甲方提交货物实施过程中的所有资料。以便甲方日后管理和维护。</w:t>
      </w:r>
    </w:p>
    <w:p w14:paraId="31E4FCC8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验收依据：</w:t>
      </w:r>
    </w:p>
    <w:p w14:paraId="63A8FC74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1采购文件、响应文件；</w:t>
      </w:r>
    </w:p>
    <w:p w14:paraId="053C95B2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2本合同；</w:t>
      </w:r>
    </w:p>
    <w:p w14:paraId="06A94A9E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3国家相应的标准、规范。</w:t>
      </w:r>
    </w:p>
    <w:p w14:paraId="6433C955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51" w:firstLineChars="196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  <w:t>十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、违约责任</w:t>
      </w:r>
    </w:p>
    <w:p w14:paraId="02166B2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按《政府采购法》、《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</w:rPr>
        <w:t>民法典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》中的相关条款执行。</w:t>
      </w:r>
    </w:p>
    <w:p w14:paraId="000F2D8E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乙方未按合同要求提供货物或质量不能满足招标技术要求，</w:t>
      </w:r>
      <w:r>
        <w:rPr>
          <w:rFonts w:hint="eastAsia" w:ascii="方正仿宋_GB2312" w:hAnsi="方正仿宋_GB2312" w:eastAsia="方正仿宋_GB2312" w:cs="方正仿宋_GB2312"/>
          <w:color w:val="1F2329"/>
          <w:sz w:val="28"/>
          <w:szCs w:val="28"/>
          <w:highlight w:val="none"/>
          <w:shd w:val="clear" w:color="auto" w:fill="FFFFFF"/>
        </w:rPr>
        <w:t>乙方应在接到甲方通知后的3个工作日内免费更换或补足符合要求的产品，由此产生的一切费用由乙方承担；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否则，甲方有权解除合同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合同自书面解除通知送达（即使拒收）乙方之日起解除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，并对乙方的违约行为报监管机构进行相应的处罚，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</w:rPr>
        <w:t>乙方应当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向甲方支付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本合同总预算价款的30%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作为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违约金。</w:t>
      </w:r>
    </w:p>
    <w:p w14:paraId="434977F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乙方不能按期交货，每延迟一天，乙方应偿付甲方本合同总预算价款的1%的迟延违约金，违约金可累计计算。超过30天未交货，甲方有权解除合同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合同自书面解除通知送达（即使拒收）乙方之日起解除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，乙方应赔偿甲方本合同总预算价款的30%作为违约金。</w:t>
      </w:r>
    </w:p>
    <w:p w14:paraId="1AA6F4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495" w:firstLineChars="177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4.乙方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所交付货物不符合其投标承诺，存在偷工减料、以次充好情形的，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经甲方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要求更换一次后仍不符合约定的，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视为乙方违约，甲方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有权解除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本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合同，合同自书面解除通知送达（即使拒收）乙方之日起解除，乙方应赔偿甲方本合同总预算价款的30%作为违约金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，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且甲方有权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将有关情况上报政府采购监管部门处理。</w:t>
      </w:r>
    </w:p>
    <w:p w14:paraId="3E42622E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2" w:firstLineChars="200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  <w:t>十一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、合同争议解决的方式</w:t>
      </w:r>
    </w:p>
    <w:p w14:paraId="4D61B253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本合同在履行过程中发生的争议，由甲、乙双方当事人协商解决，协商不成的按下列第（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 ）种方式解决：</w:t>
      </w:r>
    </w:p>
    <w:p w14:paraId="3E6EB94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提交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  <w:u w:val="single"/>
        </w:rPr>
        <w:t>西安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仲裁委员会仲裁；</w:t>
      </w:r>
    </w:p>
    <w:p w14:paraId="26A82844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依法向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  <w:u w:val="single"/>
        </w:rPr>
        <w:t>甲方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  <w:u w:val="singl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所在地人民法院起诉。</w:t>
      </w:r>
    </w:p>
    <w:p w14:paraId="25A8D9C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51" w:firstLineChars="196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  <w:t>十二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、合同生效</w:t>
      </w:r>
    </w:p>
    <w:p w14:paraId="4B16A1C6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本合同一式伍份，甲方执肆份，乙方执壹份，本合同甲、乙、确认各方签字盖章后生效，合同执行完毕后，自动失效（合同的服务承诺则长期有效）。</w:t>
      </w:r>
    </w:p>
    <w:p w14:paraId="4412D9B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left="420" w:leftChars="20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  <w:lang w:val="en-US" w:eastAsia="zh-CN"/>
        </w:rPr>
        <w:t>十三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  <w:t>、合同终止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  <w:lang w:val="en-US" w:eastAsia="zh-CN"/>
        </w:rPr>
        <w:t>与解除</w:t>
      </w:r>
    </w:p>
    <w:p w14:paraId="2547447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乙方违反本合同约定或者已经按约定完成本合同约定内容，本合同终止。</w:t>
      </w:r>
    </w:p>
    <w:p w14:paraId="218B159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cs="方正仿宋_GB2312" w:eastAsiaTheme="minorEastAsia"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</w:rPr>
        <w:t>货物单价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  <w:lang w:val="en-US" w:eastAsia="zh-CN"/>
        </w:rPr>
        <w:t>限价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</w:rPr>
        <w:t>不受市场上涨因素的影响。如遇厂家成本降低或市场同类产品价格低于本合同单价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  <w:lang w:val="en-US" w:eastAsia="zh-CN"/>
        </w:rPr>
        <w:t>限价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</w:rPr>
        <w:t>，乙方应及时降低供货价格，否则甲方有权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  <w:lang w:val="en-US" w:eastAsia="zh-CN"/>
        </w:rPr>
        <w:t>解除</w:t>
      </w: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</w:rPr>
        <w:t>合同。</w:t>
      </w:r>
    </w:p>
    <w:p w14:paraId="41803A5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="方正仿宋_GB2312" w:hAnsi="方正仿宋_GB2312" w:eastAsia="方正仿宋_GB2312" w:cs="方正仿宋_GB2312"/>
          <w:color w:val="auto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  <w:t>有下列情形之一的，甲方可以解除合同：</w:t>
      </w:r>
    </w:p>
    <w:p w14:paraId="2549E56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(1)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  <w:t>因不可抗力致使不能实现合同目的；</w:t>
      </w:r>
    </w:p>
    <w:p w14:paraId="19094E0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(2)</w:t>
      </w:r>
      <w:r>
        <w:rPr>
          <w:rFonts w:hint="eastAsia" w:ascii="方正仿宋_GB2312" w:hAnsi="方正仿宋_GB2312" w:eastAsia="方正仿宋_GB2312" w:cs="方正仿宋_GB2312"/>
          <w:color w:val="auto"/>
          <w:kern w:val="0"/>
          <w:sz w:val="28"/>
          <w:szCs w:val="28"/>
          <w:highlight w:val="none"/>
          <w:shd w:val="clear" w:color="auto" w:fill="FFFFFF"/>
          <w:lang w:bidi="ar"/>
        </w:rPr>
        <w:t>在履行期限届满之前，乙方明确表示或者以自己的行为表明不履行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t>主要债务；</w:t>
      </w:r>
    </w:p>
    <w:p w14:paraId="7A21F786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(3)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t>乙方迟延履行主要债务，经催告后在合理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instrText xml:space="preserve">HYPERLINK "http://www.so.com/s?q=%E6%9C%9F%E9%99%90&amp;ie=utf-8&amp;src=internal_wenda_recommend_textn" \t "https://wenda.so.com/q/_blank"</w:instrTex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t>期限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fldChar w:fldCharType="end"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t>内仍未履行；</w:t>
      </w:r>
    </w:p>
    <w:p w14:paraId="0910CAF0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val="en-US" w:eastAsia="zh-CN" w:bidi="ar"/>
        </w:rPr>
        <w:t>(4)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t>乙方迟延履行债务或者有其他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fldChar w:fldCharType="begin"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instrText xml:space="preserve">HYPERLINK "http://www.so.com/s?q=%E8%BF%9D%E7%BA%A6%E8%A1%8C%E4%B8%BA&amp;ie=utf-8&amp;src=internal_wenda_recommend_textn" \t "https://wenda.so.com/q/_blank"</w:instrTex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fldChar w:fldCharType="separate"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t>违约行为</w:t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fldChar w:fldCharType="end"/>
      </w:r>
      <w:r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  <w:t>致使不能实现合同目的。</w:t>
      </w:r>
    </w:p>
    <w:p w14:paraId="6EDDF89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color w:val="000000"/>
          <w:kern w:val="0"/>
          <w:sz w:val="28"/>
          <w:szCs w:val="28"/>
          <w:highlight w:val="none"/>
          <w:shd w:val="clear" w:color="auto" w:fill="FFFFFF"/>
          <w:lang w:bidi="ar"/>
        </w:rPr>
      </w:pP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lang w:val="en-US" w:eastAsia="zh-CN"/>
        </w:rPr>
        <w:t>4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.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</w:rPr>
        <w:t>在使用期间如质量出现问题引起三次以上投诉，甲方有权要求乙方对该产品进行免费调换，调换后如还发生同类问题，甲方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lang w:val="en-US" w:eastAsia="zh-CN"/>
        </w:rPr>
        <w:t>随时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</w:rPr>
        <w:t>有权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  <w:lang w:val="en-US" w:eastAsia="zh-CN"/>
        </w:rPr>
        <w:t>单方面解除</w:t>
      </w:r>
      <w:r>
        <w:rPr>
          <w:rFonts w:hint="eastAsia" w:ascii="方正仿宋_GB2312" w:hAnsi="方正仿宋_GB2312" w:eastAsia="方正仿宋_GB2312" w:cs="方正仿宋_GB2312"/>
          <w:color w:val="000000"/>
          <w:sz w:val="28"/>
          <w:szCs w:val="28"/>
          <w:highlight w:val="none"/>
        </w:rPr>
        <w:t>合同。</w:t>
      </w:r>
    </w:p>
    <w:p w14:paraId="206996DD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51" w:firstLineChars="196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  <w:t>十四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、其他事项</w:t>
      </w:r>
    </w:p>
    <w:p w14:paraId="4F9DD0F7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若因乙方提供产品质量引起的医疗纠纷及医疗事故，由乙方负全部经济责任和法律责任。如果造成损失，由乙方赔偿甲方的全部损失包括直接损失和间接损失(包括给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但不限于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第三人造成人身损害、财产损失及律师费、诉讼费、鉴定费及相关费用等），该损失甲方如有未向乙方支付的未付款，甲方可以从未付款项中直接扣除。</w:t>
      </w:r>
    </w:p>
    <w:p w14:paraId="7F11B60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2.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采购文件、响应文件、响应文件、成交通知书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、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附件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均成为合同不可分割的部分。</w:t>
      </w:r>
    </w:p>
    <w:p w14:paraId="2747BAB6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3.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合同未尽事宜，由甲、乙双方协商，作为合同补充，与原合同具有同等法律效力。</w:t>
      </w:r>
    </w:p>
    <w:p w14:paraId="3E060A64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4.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合同一经签订，不得擅自变更、中止或终止合同。对确需变更、调整或中止、终止合同的，应按规定履行相应的手续。</w:t>
      </w:r>
    </w:p>
    <w:p w14:paraId="25291AC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5.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本合同按照中华人民共和国的现行法律进行解释。</w:t>
      </w:r>
    </w:p>
    <w:p w14:paraId="29F680C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2" w:firstLineChars="200"/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  <w:lang w:eastAsia="zh-CN"/>
        </w:rPr>
        <w:sectPr>
          <w:footerReference r:id="rId3" w:type="default"/>
          <w:pgSz w:w="11906" w:h="16838"/>
          <w:pgMar w:top="1440" w:right="1457" w:bottom="1440" w:left="1463" w:header="851" w:footer="992" w:gutter="0"/>
          <w:cols w:space="720" w:num="1"/>
          <w:rtlGutter w:val="0"/>
          <w:docGrid w:type="lines" w:linePitch="312" w:charSpace="0"/>
        </w:sectPr>
      </w:pP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</w:rPr>
        <w:t>（以下无正文</w:t>
      </w:r>
      <w:r>
        <w:rPr>
          <w:rFonts w:hint="eastAsia" w:ascii="方正仿宋_GB2312" w:hAnsi="方正仿宋_GB2312" w:eastAsia="方正仿宋_GB2312" w:cs="方正仿宋_GB2312"/>
          <w:b/>
          <w:bCs/>
          <w:sz w:val="28"/>
          <w:szCs w:val="28"/>
          <w:highlight w:val="none"/>
          <w:lang w:eastAsia="zh-CN"/>
        </w:rPr>
        <w:t>）</w:t>
      </w:r>
    </w:p>
    <w:p w14:paraId="1289BBCE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甲  方（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盖章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）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>西安市儿童医院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  乙  方（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盖章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）</w:t>
      </w:r>
      <w:r>
        <w:rPr>
          <w:rFonts w:hint="eastAsia" w:ascii="方正仿宋_GB2312" w:hAnsi="方正仿宋_GB2312" w:eastAsia="方正仿宋_GB2312" w:cs="方正仿宋_GB2312"/>
          <w:kern w:val="2"/>
          <w:sz w:val="28"/>
          <w:szCs w:val="28"/>
          <w:highlight w:val="none"/>
          <w:lang w:val="en-US" w:eastAsia="zh-CN"/>
        </w:rPr>
        <w:t xml:space="preserve"> </w:t>
      </w:r>
    </w:p>
    <w:p w14:paraId="69E983E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</w:p>
    <w:p w14:paraId="34D4517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法定代表人（签字）：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ab/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法定代表人（签字）：  </w:t>
      </w:r>
    </w:p>
    <w:p w14:paraId="5B11815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</w:pPr>
    </w:p>
    <w:p w14:paraId="5E04878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eastAsia="zh-CN"/>
        </w:rPr>
        <w:t>经办人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：                  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经办人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：</w:t>
      </w:r>
    </w:p>
    <w:p w14:paraId="7444409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atLeast"/>
        <w:ind w:left="4189" w:leftChars="1995" w:right="0" w:rightChars="0" w:firstLine="280" w:firstLineChars="100"/>
        <w:textAlignment w:val="auto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开户行： </w:t>
      </w:r>
    </w:p>
    <w:p w14:paraId="3ABAE9E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4480" w:firstLineChars="16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账户：   </w:t>
      </w:r>
    </w:p>
    <w:p w14:paraId="356DF187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ind w:firstLine="560" w:firstLineChars="200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  </w:t>
      </w:r>
    </w:p>
    <w:p w14:paraId="2F4496C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签订时间：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年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月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日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>签订时间：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年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 月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  <w:lang w:val="en-US" w:eastAsia="zh-CN"/>
        </w:rPr>
        <w:t xml:space="preserve">   </w:t>
      </w:r>
      <w:r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  <w:t xml:space="preserve"> 日</w:t>
      </w:r>
    </w:p>
    <w:p w14:paraId="046275FA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60" w:lineRule="atLeast"/>
        <w:rPr>
          <w:rFonts w:hint="eastAsia" w:ascii="方正仿宋_GB2312" w:hAnsi="方正仿宋_GB2312" w:eastAsia="方正仿宋_GB2312" w:cs="方正仿宋_GB2312"/>
          <w:sz w:val="28"/>
          <w:szCs w:val="28"/>
          <w:highlight w:val="none"/>
        </w:rPr>
      </w:pPr>
    </w:p>
    <w:p w14:paraId="7AEE239E">
      <w:pPr>
        <w:rPr>
          <w:rFonts w:hint="eastAsia" w:ascii="方正仿宋_GB2312" w:hAnsi="方正仿宋_GB2312" w:eastAsia="方正仿宋_GB2312" w:cs="方正仿宋_GB2312"/>
          <w:sz w:val="24"/>
          <w:szCs w:val="24"/>
          <w:highlight w:val="none"/>
        </w:rPr>
      </w:pPr>
    </w:p>
    <w:p w14:paraId="7B20EB27">
      <w:pPr>
        <w:spacing w:line="440" w:lineRule="exact"/>
        <w:jc w:val="left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eastAsia="zh-CN"/>
        </w:rPr>
      </w:pPr>
    </w:p>
    <w:p w14:paraId="175DE300">
      <w:pPr>
        <w:spacing w:line="440" w:lineRule="exact"/>
        <w:jc w:val="left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eastAsia="zh-CN"/>
        </w:rPr>
      </w:pPr>
    </w:p>
    <w:p w14:paraId="18E8E68C">
      <w:pPr>
        <w:spacing w:line="440" w:lineRule="exact"/>
        <w:jc w:val="left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eastAsia="zh-CN"/>
        </w:rPr>
      </w:pPr>
    </w:p>
    <w:p w14:paraId="1334B324">
      <w:pPr>
        <w:spacing w:line="440" w:lineRule="exact"/>
        <w:jc w:val="left"/>
        <w:rPr>
          <w:rFonts w:hint="default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eastAsia="zh-CN"/>
        </w:rPr>
        <w:br w:type="page"/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eastAsia="zh-CN"/>
        </w:rPr>
        <w:t>附件：</w:t>
      </w: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</w:rPr>
        <w:t>合同中标的物品内容</w:t>
      </w:r>
    </w:p>
    <w:p w14:paraId="35E1B5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  <w:highlight w:val="none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highlight w:val="none"/>
        </w:rPr>
        <w:t>项目名称：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highlight w:val="none"/>
        </w:rPr>
        <w:t xml:space="preserve">                           </w:t>
      </w:r>
    </w:p>
    <w:p w14:paraId="44F7C5C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方正仿宋_GBK" w:hAnsi="方正仿宋_GBK" w:eastAsia="方正仿宋_GBK" w:cs="方正仿宋_GBK"/>
          <w:color w:val="auto"/>
          <w:sz w:val="24"/>
          <w:szCs w:val="24"/>
          <w:highlight w:val="none"/>
          <w:lang w:val="zh-CN"/>
        </w:rPr>
      </w:pP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highlight w:val="none"/>
        </w:rPr>
        <w:t>项目编号：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highlight w:val="none"/>
          <w:lang w:val="en-US" w:eastAsia="zh-CN"/>
        </w:rPr>
        <w:t xml:space="preserve">                                                 </w:t>
      </w:r>
      <w:r>
        <w:rPr>
          <w:rFonts w:hint="eastAsia" w:ascii="方正仿宋_GBK" w:hAnsi="方正仿宋_GBK" w:eastAsia="方正仿宋_GBK" w:cs="方正仿宋_GBK"/>
          <w:color w:val="auto"/>
          <w:sz w:val="24"/>
          <w:szCs w:val="24"/>
          <w:highlight w:val="none"/>
          <w:lang w:val="zh-CN"/>
        </w:rPr>
        <w:t>单位：人民币（元）</w:t>
      </w:r>
    </w:p>
    <w:tbl>
      <w:tblPr>
        <w:tblStyle w:val="5"/>
        <w:tblW w:w="5511" w:type="pct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2"/>
        <w:gridCol w:w="790"/>
        <w:gridCol w:w="907"/>
        <w:gridCol w:w="990"/>
        <w:gridCol w:w="589"/>
        <w:gridCol w:w="3525"/>
        <w:gridCol w:w="978"/>
        <w:gridCol w:w="932"/>
      </w:tblGrid>
      <w:tr w14:paraId="6C15659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BD86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序号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A5DB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商品名称</w:t>
            </w: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B22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品牌</w:t>
            </w: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9F231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型号</w:t>
            </w: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279D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  <w:t>单位</w:t>
            </w:r>
          </w:p>
        </w:tc>
        <w:tc>
          <w:tcPr>
            <w:tcW w:w="1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D950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规格</w:t>
            </w: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6C1D9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单价限价</w:t>
            </w: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74D0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/>
                <w:bCs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产地</w:t>
            </w:r>
          </w:p>
        </w:tc>
      </w:tr>
      <w:tr w14:paraId="5CEE479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060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  <w:t>...</w:t>
            </w:r>
          </w:p>
        </w:tc>
        <w:tc>
          <w:tcPr>
            <w:tcW w:w="4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C1F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48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D52A1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2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54ADE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31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24D88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bidi="ar"/>
              </w:rPr>
            </w:pPr>
          </w:p>
        </w:tc>
        <w:tc>
          <w:tcPr>
            <w:tcW w:w="187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021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52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B9B6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  <w:tc>
          <w:tcPr>
            <w:tcW w:w="495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3A95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方正仿宋_GBK" w:hAnsi="方正仿宋_GBK" w:eastAsia="方正仿宋_GBK" w:cs="方正仿宋_GBK"/>
                <w:b/>
                <w:bCs/>
                <w:color w:val="auto"/>
                <w:kern w:val="0"/>
                <w:sz w:val="24"/>
                <w:szCs w:val="24"/>
                <w:highlight w:val="none"/>
                <w:lang w:val="en-US" w:eastAsia="zh-CN" w:bidi="ar"/>
              </w:rPr>
            </w:pPr>
          </w:p>
        </w:tc>
      </w:tr>
      <w:tr w14:paraId="45C481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36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197EF63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</w:p>
        </w:tc>
        <w:tc>
          <w:tcPr>
            <w:tcW w:w="3620" w:type="pct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 w14:paraId="208C5D5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 w:eastAsia="zh-CN"/>
              </w:rPr>
              <w:t>单价限价合计</w:t>
            </w:r>
          </w:p>
        </w:tc>
        <w:tc>
          <w:tcPr>
            <w:tcW w:w="1016" w:type="pct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5A6F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方正仿宋_GBK" w:hAnsi="方正仿宋_GBK" w:eastAsia="方正仿宋_GBK" w:cs="方正仿宋_GBK"/>
                <w:i w:val="0"/>
                <w:iCs w:val="0"/>
                <w:color w:val="000000"/>
                <w:sz w:val="24"/>
                <w:szCs w:val="24"/>
                <w:highlight w:val="none"/>
                <w:u w:val="none"/>
                <w:lang w:val="en-US"/>
              </w:rPr>
            </w:pPr>
          </w:p>
        </w:tc>
      </w:tr>
    </w:tbl>
    <w:p w14:paraId="5855BB71">
      <w:pPr>
        <w:spacing w:line="440" w:lineRule="exact"/>
        <w:jc w:val="left"/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</w:pPr>
    </w:p>
    <w:p w14:paraId="33A6A645">
      <w:pPr>
        <w:spacing w:line="440" w:lineRule="exact"/>
        <w:jc w:val="left"/>
        <w:rPr>
          <w:rFonts w:hint="default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</w:pPr>
      <w:r>
        <w:rPr>
          <w:rFonts w:hint="eastAsia" w:ascii="方正仿宋_GB2312" w:hAnsi="方正仿宋_GB2312" w:eastAsia="方正仿宋_GB2312" w:cs="方正仿宋_GB2312"/>
          <w:b/>
          <w:sz w:val="28"/>
          <w:szCs w:val="28"/>
          <w:highlight w:val="none"/>
          <w:lang w:val="en-US" w:eastAsia="zh-CN"/>
        </w:rPr>
        <w:t>备注：合同未尽事宜，详见招投标文件</w:t>
      </w:r>
    </w:p>
    <w:p w14:paraId="619E3510">
      <w:pPr>
        <w:pStyle w:val="8"/>
        <w:rPr>
          <w:rFonts w:hint="eastAsia"/>
          <w:highlight w:val="none"/>
          <w:lang w:val="en-US" w:eastAsia="zh-Hans"/>
        </w:rPr>
      </w:pPr>
      <w:r>
        <w:rPr>
          <w:rFonts w:ascii="仿宋_GB2312" w:hAnsi="仿宋_GB2312" w:eastAsia="仿宋_GB2312" w:cs="仿宋_GB2312"/>
          <w:highlight w:val="none"/>
        </w:rPr>
        <w:br w:type="textWrapping"/>
      </w:r>
    </w:p>
    <w:p w14:paraId="50BF37E1"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81239540-B998-4890-99BD-45C0C437BB24}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  <w:embedRegular r:id="rId2" w:fontKey="{0CAE588D-91F2-430A-9A3B-C3B2B444E1DC}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3" w:fontKey="{DE436D27-DF6F-4FA3-94AB-712CDFEDF69A}"/>
  </w:font>
  <w:font w:name="方正仿宋_GBK">
    <w:altName w:val="微软雅黑"/>
    <w:panose1 w:val="02000000000000000000"/>
    <w:charset w:val="86"/>
    <w:family w:val="auto"/>
    <w:pitch w:val="default"/>
    <w:sig w:usb0="00000000" w:usb1="00000000" w:usb2="00082016" w:usb3="00000000" w:csb0="00040001" w:csb1="00000000"/>
    <w:embedRegular r:id="rId4" w:fontKey="{6D54FA44-EEB1-4B10-AE8E-C0E355452EFE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KSOFD8A28030">
    <w:panose1 w:val="020B0503020204020204"/>
    <w:charset w:val="86"/>
    <w:family w:val="auto"/>
    <w:pitch w:val="default"/>
    <w:sig w:usb0="00000001" w:usb1="00000000" w:usb2="00000000" w:usb3="00000000" w:csb0="00040001" w:csb1="00000000"/>
  </w:font>
  <w:font w:name="KSOFDA5758CF">
    <w:panose1 w:val="020B07030202040202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A401D2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5A0ABB69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B4HF0wAgAAYw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QxQHSzMMBESn3p0Qrtvh34&#10;7E1xBk1n+jnxlm9qlLJlPjwwh8FA+Xg64R5LKQ1SmsGipDLuy7/OYzz6BS8lDQYtpxrvihL5XqOP&#10;AAyj4UZjPxr6qO4MJhe9QS2diQsuyNEsnVGf8Z5WMQdcTHNkymkYzbvQDzveIxerVReEybMsbPXO&#10;8ggd5fF2dQyQs1M5itIrge7EDWav69PwTuJw/7nvoh7/Dcv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s0lY7tAAAAAFAQAADwAAAAAAAAABACAAAAAiAAAAZHJzL2Rvd25yZXYueG1sUEsBAhQAFAAA&#10;AAgAh07iQFB4HF0wAgAAYwQAAA4AAAAAAAAAAQAgAAAAHw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0ABB69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9580F5"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07C8A255">
                          <w:pPr>
                            <w:pStyle w:val="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5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bxmbQxAgAAY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hMmzLGz1&#10;zvIIHeXxdnUMkDOpHEXplEB34gGzl/rU70kc7j/PKerxv2H5G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G8Zm0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7C8A255">
                    <w:pPr>
                      <w:pStyle w:val="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5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3612CED"/>
    <w:multiLevelType w:val="singleLevel"/>
    <w:tmpl w:val="73612CED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1D7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iPriority="99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adjustRightInd w:val="0"/>
      <w:spacing w:before="280" w:after="290" w:line="376" w:lineRule="atLeast"/>
      <w:textAlignment w:val="baseline"/>
      <w:outlineLvl w:val="3"/>
    </w:pPr>
    <w:rPr>
      <w:rFonts w:ascii="Arial" w:hAnsi="Arial"/>
      <w:b/>
      <w:spacing w:val="20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unhideWhenUsed/>
    <w:qFormat/>
    <w:uiPriority w:val="99"/>
    <w:rPr>
      <w:sz w:val="18"/>
      <w:szCs w:val="18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styleId="7">
    <w:name w:val="Strong"/>
    <w:qFormat/>
    <w:uiPriority w:val="0"/>
    <w:rPr>
      <w:b/>
      <w:bCs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9">
    <w:name w:val="页脚1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2026-07-30T02:17:22Z</dcterms:created>
  <dc:creator>PC</dc:creator>
  <cp:lastModifiedBy>黑黑黑黑黑</cp:lastModifiedBy>
  <dcterms:modified xsi:type="dcterms:W3CDTF">2026-07-30T02:17:32Z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8E307B43F4174858BC02A516CEBD133E_12</vt:lpwstr>
  </property>
</Properties>
</file>