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版本号：TZZB-Z-2026126C20260611001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西安市第六批基础教育教学名师培养培训项目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TZZB-Z-2026126C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西安市第六批基础教育教学名师培养培训项目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TZZB-Z-2026126C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西安市第六批基础教育教学名师培养培训项目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新时代基础教育强师计划》《关于全面深化新时代教师队伍建设改革的意见》《陕西省基础教育名师名家培育行动计划》等文件精神，落实“培养造就一支师德高尚、业务精湛、结构合理、充满活力的高素质专业化教师队伍”的战略要求。西安市持续推进基础教育教学名师培养工程，第六批培养培训项目遵循新时代名师成长规律，聚焦已具备一定教学经验与专业影响力的骨干教师，通过系统性、进阶式集中研修，帮助教师凝练教学主张、提升教育科研与创新能力、发挥示范引领作用，打造一批具有鲜明教育理念和成熟教学模式的高素质专业化创新型名师，培养为学、为事、为人示范的新时代“大先生”，推动西安市基础教育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查询：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计取。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新时代基础教育强师计划》《关于全面深化新时代教师队伍建设改革的意见》《陕西省基础教育名师名家培育行动计划》等文件精神，落实“培养造就一支师德高尚、业务精湛、结构合理、充满活力的高素质专业化教师队伍”的战略要求。西安市持续推进基础教育教学名师培养工程，第六批培养培训项目遵循新时代名师成长规律，聚焦已具备一定教学经验与专业影响力的骨干教师，通过系统性、进阶式集中研修，帮助教师凝练教学主张、提升教育科研与创新能力、发挥示范引领作用，打造一批具有鲜明教育理念和成熟教学模式的高素质专业化创新型名师，培养为学、为事、为人示范的新时代“大先生”，推动西安市基础教育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西安市第六批基础教育教学名师培养培训项目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标的名称：西安市第六批基础教育教学名师培养培训项目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一、基本情况</w:t>
            </w:r>
          </w:p>
          <w:p>
            <w:pPr>
              <w:pStyle w:val="null3"/>
            </w:pPr>
            <w:r>
              <w:rPr>
                <w:rFonts w:ascii="仿宋_GB2312" w:hAnsi="仿宋_GB2312" w:cs="仿宋_GB2312" w:eastAsia="仿宋_GB2312"/>
                <w:sz w:val="24"/>
              </w:rPr>
              <w:t>项目名称：西安市第六批基础教育教学名师培养培训项目</w:t>
            </w:r>
          </w:p>
          <w:p>
            <w:pPr>
              <w:pStyle w:val="null3"/>
              <w:jc w:val="both"/>
            </w:pPr>
            <w:r>
              <w:rPr>
                <w:rFonts w:ascii="仿宋_GB2312" w:hAnsi="仿宋_GB2312" w:cs="仿宋_GB2312" w:eastAsia="仿宋_GB2312"/>
                <w:sz w:val="24"/>
              </w:rPr>
              <w:t>预算金额：</w:t>
            </w:r>
            <w:r>
              <w:rPr>
                <w:rFonts w:ascii="仿宋_GB2312" w:hAnsi="仿宋_GB2312" w:cs="仿宋_GB2312" w:eastAsia="仿宋_GB2312"/>
                <w:sz w:val="24"/>
              </w:rPr>
              <w:t>180万元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项目实施背景和依据</w:t>
            </w:r>
          </w:p>
          <w:p>
            <w:pPr>
              <w:pStyle w:val="null3"/>
              <w:jc w:val="both"/>
            </w:pPr>
            <w:r>
              <w:rPr>
                <w:rFonts w:ascii="仿宋_GB2312" w:hAnsi="仿宋_GB2312" w:cs="仿宋_GB2312" w:eastAsia="仿宋_GB2312"/>
                <w:sz w:val="24"/>
              </w:rPr>
              <w:t>依据《新时代基础教育强师计划》《关于全面深化新时代教师队伍建设改革的意见》《陕西省基础教育名师名家培育行动计划》等文件精神，落实</w:t>
            </w:r>
            <w:r>
              <w:rPr>
                <w:rFonts w:ascii="仿宋_GB2312" w:hAnsi="仿宋_GB2312" w:cs="仿宋_GB2312" w:eastAsia="仿宋_GB2312"/>
                <w:sz w:val="24"/>
              </w:rPr>
              <w:t>“培养造就一支师德高尚、业务精湛、结构合理、充满活力的高素质专业化教师队伍”的战略要求。西安市持续推进基础教育教学名师培养工程，第六批培养培训项目遵循新时代名师成长规律，聚焦已具备一定教学经验与专业影响力的骨干教师，通过系统性、进阶式集中研修，帮助教师凝练教学主张、提升教育科研与创新能力、发挥示范引领作用，打造一批具有鲜明教育理念和成熟教学模式的高素质专业化创新型名师，培养为学、为事、为人示范的新时代“大先生”，推动西安市基础教育高质量发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三、项目经费预算</w:t>
            </w:r>
          </w:p>
          <w:p>
            <w:pPr>
              <w:pStyle w:val="null3"/>
            </w:pPr>
            <w:r>
              <w:rPr>
                <w:rFonts w:ascii="仿宋_GB2312" w:hAnsi="仿宋_GB2312" w:cs="仿宋_GB2312" w:eastAsia="仿宋_GB2312"/>
                <w:sz w:val="24"/>
              </w:rPr>
              <w:t>西安市第六批基础教育教学名师培养培训项目</w:t>
            </w:r>
          </w:p>
          <w:p>
            <w:pPr>
              <w:pStyle w:val="null3"/>
            </w:pPr>
            <w:r>
              <w:rPr>
                <w:rFonts w:ascii="仿宋_GB2312" w:hAnsi="仿宋_GB2312" w:cs="仿宋_GB2312" w:eastAsia="仿宋_GB2312"/>
                <w:sz w:val="24"/>
              </w:rPr>
              <w:t>培训人数：</w:t>
            </w:r>
            <w:r>
              <w:rPr>
                <w:rFonts w:ascii="仿宋_GB2312" w:hAnsi="仿宋_GB2312" w:cs="仿宋_GB2312" w:eastAsia="仿宋_GB2312"/>
                <w:sz w:val="24"/>
              </w:rPr>
              <w:t>90人，培训时长：45天分阶段开展</w:t>
            </w:r>
          </w:p>
          <w:p>
            <w:pPr>
              <w:pStyle w:val="null3"/>
            </w:pPr>
            <w:r>
              <w:rPr>
                <w:rFonts w:ascii="仿宋_GB2312" w:hAnsi="仿宋_GB2312" w:cs="仿宋_GB2312" w:eastAsia="仿宋_GB2312"/>
                <w:sz w:val="24"/>
              </w:rPr>
              <w:t>合计：</w:t>
            </w:r>
            <w:r>
              <w:rPr>
                <w:rFonts w:ascii="仿宋_GB2312" w:hAnsi="仿宋_GB2312" w:cs="仿宋_GB2312" w:eastAsia="仿宋_GB2312"/>
                <w:sz w:val="24"/>
              </w:rPr>
              <w:t>1800000.00元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四、项目需求</w:t>
            </w:r>
          </w:p>
          <w:p>
            <w:pPr>
              <w:pStyle w:val="null3"/>
            </w:pPr>
            <w:r>
              <w:rPr>
                <w:rFonts w:ascii="仿宋_GB2312" w:hAnsi="仿宋_GB2312" w:cs="仿宋_GB2312" w:eastAsia="仿宋_GB2312"/>
                <w:sz w:val="24"/>
                <w:b/>
              </w:rPr>
              <w:t>1.培训对象：</w:t>
            </w:r>
            <w:r>
              <w:rPr>
                <w:rFonts w:ascii="仿宋_GB2312" w:hAnsi="仿宋_GB2312" w:cs="仿宋_GB2312" w:eastAsia="仿宋_GB2312"/>
                <w:sz w:val="24"/>
              </w:rPr>
              <w:t>西安市中小学、幼儿园骨干教师（已具备市级以上教学能手或同等专业称号）</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培训人数：</w:t>
            </w:r>
            <w:r>
              <w:rPr>
                <w:rFonts w:ascii="仿宋_GB2312" w:hAnsi="仿宋_GB2312" w:cs="仿宋_GB2312" w:eastAsia="仿宋_GB2312"/>
                <w:sz w:val="24"/>
              </w:rPr>
              <w:t>90人</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培训周期：</w:t>
            </w:r>
            <w:r>
              <w:rPr>
                <w:rFonts w:ascii="仿宋_GB2312" w:hAnsi="仿宋_GB2312" w:cs="仿宋_GB2312" w:eastAsia="仿宋_GB2312"/>
                <w:sz w:val="24"/>
              </w:rPr>
              <w:t>45天分阶段开展</w:t>
            </w:r>
          </w:p>
          <w:p>
            <w:pPr>
              <w:pStyle w:val="null3"/>
            </w:pPr>
            <w:r>
              <w:rPr>
                <w:rFonts w:ascii="仿宋_GB2312" w:hAnsi="仿宋_GB2312" w:cs="仿宋_GB2312" w:eastAsia="仿宋_GB2312"/>
                <w:sz w:val="24"/>
                <w:b/>
              </w:rPr>
              <w:t>4.</w:t>
            </w:r>
            <w:r>
              <w:rPr>
                <w:rFonts w:ascii="仿宋_GB2312" w:hAnsi="仿宋_GB2312" w:cs="仿宋_GB2312" w:eastAsia="仿宋_GB2312"/>
                <w:sz w:val="24"/>
                <w:b/>
              </w:rPr>
              <w:t>培训内容：</w:t>
            </w:r>
            <w:r>
              <w:rPr>
                <w:rFonts w:ascii="仿宋_GB2312" w:hAnsi="仿宋_GB2312" w:cs="仿宋_GB2312" w:eastAsia="仿宋_GB2312"/>
                <w:sz w:val="24"/>
              </w:rPr>
              <w:t>围绕名师核心素养设置五大模块。</w:t>
            </w:r>
            <w:r>
              <w:rPr>
                <w:rFonts w:ascii="仿宋_GB2312" w:hAnsi="仿宋_GB2312" w:cs="仿宋_GB2312" w:eastAsia="仿宋_GB2312"/>
                <w:sz w:val="24"/>
              </w:rPr>
              <w:t>其中</w:t>
            </w:r>
            <w:r>
              <w:rPr>
                <w:rFonts w:ascii="仿宋_GB2312" w:hAnsi="仿宋_GB2312" w:cs="仿宋_GB2312" w:eastAsia="仿宋_GB2312"/>
                <w:sz w:val="24"/>
              </w:rPr>
              <w:t>教育理念与教学主张模块，帮助教师凝练个性化的教育思想和教学风格；课堂创新能力模块，聚焦新课标背景下的单元整体教学、跨学科主题学习与深度学习设计；教育科研与成果提炼模块，指导教师开展课题研究、撰写教学论文、总结教学经验与提炼教学成果；示范引领与团队建设模块，提升教师带教指导、校本研修组织等能力，发挥名师辐射带动作用；数字化赋能教学模块，学习数字化教学工具的深度应用及数据驱动教学改进方法。各模块相互融合，助推教师形成成熟的个性化教学模式。</w:t>
            </w:r>
          </w:p>
          <w:p>
            <w:pPr>
              <w:pStyle w:val="null3"/>
            </w:pPr>
            <w:r>
              <w:rPr>
                <w:rFonts w:ascii="仿宋_GB2312" w:hAnsi="仿宋_GB2312" w:cs="仿宋_GB2312" w:eastAsia="仿宋_GB2312"/>
                <w:sz w:val="24"/>
                <w:b/>
              </w:rPr>
              <w:t>5.</w:t>
            </w:r>
            <w:r>
              <w:rPr>
                <w:rFonts w:ascii="仿宋_GB2312" w:hAnsi="仿宋_GB2312" w:cs="仿宋_GB2312" w:eastAsia="仿宋_GB2312"/>
                <w:sz w:val="24"/>
                <w:b/>
              </w:rPr>
              <w:t>培训方式：</w:t>
            </w:r>
            <w:r>
              <w:rPr>
                <w:rFonts w:ascii="仿宋_GB2312" w:hAnsi="仿宋_GB2312" w:cs="仿宋_GB2312" w:eastAsia="仿宋_GB2312"/>
                <w:sz w:val="24"/>
              </w:rPr>
              <w:t>通过问卷、访谈、课堂观察等方式诊断学员专业发展水平与个性化需求</w:t>
            </w:r>
            <w:r>
              <w:rPr>
                <w:rFonts w:ascii="仿宋_GB2312" w:hAnsi="仿宋_GB2312" w:cs="仿宋_GB2312" w:eastAsia="仿宋_GB2312"/>
                <w:sz w:val="24"/>
              </w:rPr>
              <w:t>；</w:t>
            </w:r>
            <w:r>
              <w:rPr>
                <w:rFonts w:ascii="仿宋_GB2312" w:hAnsi="仿宋_GB2312" w:cs="仿宋_GB2312" w:eastAsia="仿宋_GB2312"/>
                <w:sz w:val="24"/>
              </w:rPr>
              <w:t>在此基础上，综合运用专题讲座、工作坊、跟岗学习、入校指导等多元形式</w:t>
            </w:r>
            <w:r>
              <w:rPr>
                <w:rFonts w:ascii="仿宋_GB2312" w:hAnsi="仿宋_GB2312" w:cs="仿宋_GB2312" w:eastAsia="仿宋_GB2312"/>
                <w:sz w:val="24"/>
              </w:rPr>
              <w:t>开展培训；</w:t>
            </w:r>
            <w:r>
              <w:rPr>
                <w:rFonts w:ascii="仿宋_GB2312" w:hAnsi="仿宋_GB2312" w:cs="仿宋_GB2312" w:eastAsia="仿宋_GB2312"/>
                <w:sz w:val="24"/>
              </w:rPr>
              <w:t>学员须完成教学设计、课题申报书、教学主张报告等</w:t>
            </w:r>
            <w:r>
              <w:rPr>
                <w:rFonts w:ascii="仿宋_GB2312" w:hAnsi="仿宋_GB2312" w:cs="仿宋_GB2312" w:eastAsia="仿宋_GB2312"/>
                <w:sz w:val="24"/>
              </w:rPr>
              <w:t>六</w:t>
            </w:r>
            <w:r>
              <w:rPr>
                <w:rFonts w:ascii="仿宋_GB2312" w:hAnsi="仿宋_GB2312" w:cs="仿宋_GB2312" w:eastAsia="仿宋_GB2312"/>
                <w:sz w:val="24"/>
              </w:rPr>
              <w:t>项标志性成果；依据学习过程数据动态调整培训安排，确保学员能力精准提升。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自合同签订之日起至2027年6月30日止，完成本项目全部服务内容.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进度款，服务期结束且经采购人验收合格后，达到付款条件起7个工作日内，支付合同总金额的50.0%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7个工作日内向代理机构提交纸质版响应文件以存档，响应文件正本1份，副本2份（文件内容、格式及信息须与系统上传电子文件保持一致）。纸质响应文件均须A4纸打印，分别各自装订成册并编制目录和页码。 2.依据西安市财政局《关于印发〈西安市预算单位政府采购主体责任清单〉的通知》（市财函〔2026〕123 号）相关要求，采购人与中标（成交）供应商应在中标（成交）通知书发出之日起25日内签订政府采购合同。 3.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9.一般资格要求及特殊资格要求.docx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9.一般资格要求及特殊资格要求.docx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9.一般资格要求及特殊资格要求.docx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9.一般资格要求及特殊资格要求.docx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9.一般资格要求及特殊资格要求.docx 2.商务要求偏离表.docx 13.其他材料及供应商认为有必要说明、阐述的事项.docx 4.教学管理制度.docx 8.业绩.docx 中小企业声明函 10.供应商廉洁自律承诺书.docx 响应文件封面 11.供应商企业关系关联承诺书.docx 6.应急管理方案.docx 12.陕西省政府采购供应商拒绝政府采购领域商业贿赂承诺书.docx 残疾人福利性单位声明函 5.组织管理保障方案.docx 标的清单 3.培训方案.docx 1.服务内容及服务要求应答表.docx 响应函 监狱企业的证明文件 7.团队人员配备方案.docx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9.一般资格要求及特殊资格要求.docx 2.商务要求偏离表.docx 13.其他材料及供应商认为有必要说明、阐述的事项.docx 4.教学管理制度.docx 8.业绩.docx 中小企业声明函 10.供应商廉洁自律承诺书.docx 响应文件封面 11.供应商企业关系关联承诺书.docx 6.应急管理方案.docx 12.陕西省政府采购供应商拒绝政府采购领域商业贿赂承诺书.docx 残疾人福利性单位声明函 5.组织管理保障方案.docx 标的清单 3.培训方案.docx 1.服务内容及服务要求应答表.docx 响应函 监狱企业的证明文件 7.团队人员配备方案.docx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针对本项目采购内容，供应商提供对详细的培训方案；内容至少包括①项目理论依据；②项目需求分析；③培训目标；④培训内容（课程模块）；⑤培训方式；⑥阶段实施计划；⑦在线研修平台等。 二、评审标准 1、完整性：内容全面，对评审内容中的各项要求有详细描述； 2、可实施性：切合本项目实际情况，实施步骤清晰合理； 3、针对性：内容科学合理，能够紧扣项目实际情况。 三、赋分标准（满分42分） ①项目理论依据：每满足一个评审标准得2分，对该评审标准的响应内容模糊或存在缺陷得1分，未提供或完全无法满足该评审标准得0分。（满分6分） ②项目需求分析：每满足一个评审标准得2分，对该评审标准的响应内容模糊或存在缺陷得1分，未提供或完全无法满足该评审标准得0分。（满分6分） ③培训目标：每满足一个评审标准得2分，对该评审标准的响应内容模糊或存在缺陷得1分，未提供或完全无法满足该评审标准得0分。（满分6分） ④培训内容（课程模块）：每满足一个评审标准得2分，对该评审标准的响应内容模糊或存在缺陷得1分，未提供或完全无法满足该评审标准得0分。（满分6分） ⑤培训方式：每满足一个评审标准得2分，对该评审标准的响应内容模糊或存在缺陷得1分，未提供或完全无法满足该评审标准得0分。（满分6分） ⑥阶段实施计划：每满足一个评审标准得2分，对该评审标准的响应内容模糊或存在缺陷得1分，未提供或完全无法满足该评审标准得0分。（满分6分） ⑦在线研修平台：每满足一个评审标准得2分，对该评审标准的响应内容模糊或存在缺陷得1分，未提供或完全无法满足该评审标准得0分。（满分6分）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3.培训方案.docx</w:t>
            </w:r>
          </w:p>
        </w:tc>
      </w:tr>
      <w:tr>
        <w:tc>
          <w:tcPr>
            <w:tcW w:type="dxa" w:w="831"/>
            <w:vMerge/>
          </w:tcPr>
          <w:p/>
        </w:tc>
        <w:tc>
          <w:tcPr>
            <w:tcW w:type="dxa" w:w="1661"/>
          </w:tcPr>
          <w:p>
            <w:pPr>
              <w:pStyle w:val="null3"/>
            </w:pPr>
            <w:r>
              <w:rPr>
                <w:rFonts w:ascii="仿宋_GB2312" w:hAnsi="仿宋_GB2312" w:cs="仿宋_GB2312" w:eastAsia="仿宋_GB2312"/>
              </w:rPr>
              <w:t>教学管理制度</w:t>
            </w:r>
          </w:p>
        </w:tc>
        <w:tc>
          <w:tcPr>
            <w:tcW w:type="dxa" w:w="2492"/>
          </w:tcPr>
          <w:p>
            <w:pPr>
              <w:pStyle w:val="null3"/>
            </w:pPr>
            <w:r>
              <w:rPr>
                <w:rFonts w:ascii="仿宋_GB2312" w:hAnsi="仿宋_GB2312" w:cs="仿宋_GB2312" w:eastAsia="仿宋_GB2312"/>
              </w:rPr>
              <w:t>一、评审内容 针对本项目采购内容，供应商提供对详细的教学管理制度；内容至少包括①授课教师管理制度；②学员管理及考核制度；③班主任管理制度；④其他健全的内部管理制度等 二、评审标准 1.完整性：内容全面，对评审内容中的各项要求有详细描述； 2.可实施性：切合本项目实际情况，实施步骤清晰合理； 3.针对性：内容科学合理，能够紧扣项目实际情况。 三、赋分标准（满分12分） ①授课教师管理制度：每满足一个评审标准得1分，对该评审标准的响应内容模糊或存在缺陷得0.5分，未提供或完全无法满足该评审标准得0分。（满分3分） ②学员管理及考核制度：每满足一个评审标准得1分，对该评审标准的响应内容模糊或存在缺陷得0.5分，未提供或完全无法满足该评审标准得0分。（满分3分） ③班主任管理制度：每满足一个评审标准得1分，对该评审标准的响应内容模糊或存在缺陷得0.5分，未提供或完全无法满足该评审标准得0分。（满分3分） ④其他健全的内部管理制度：每满足一个评审标准得1分，对该评审标准的响应内容模糊或存在缺陷得0.5分，未提供或完全无法满足该评审标准得0分。（满分3分）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4.教学管理制度.docx</w:t>
            </w:r>
          </w:p>
        </w:tc>
      </w:tr>
      <w:tr>
        <w:tc>
          <w:tcPr>
            <w:tcW w:type="dxa" w:w="831"/>
            <w:vMerge/>
          </w:tcPr>
          <w:p/>
        </w:tc>
        <w:tc>
          <w:tcPr>
            <w:tcW w:type="dxa" w:w="1661"/>
          </w:tcPr>
          <w:p>
            <w:pPr>
              <w:pStyle w:val="null3"/>
            </w:pPr>
            <w:r>
              <w:rPr>
                <w:rFonts w:ascii="仿宋_GB2312" w:hAnsi="仿宋_GB2312" w:cs="仿宋_GB2312" w:eastAsia="仿宋_GB2312"/>
              </w:rPr>
              <w:t>组织管理保障方案</w:t>
            </w:r>
          </w:p>
        </w:tc>
        <w:tc>
          <w:tcPr>
            <w:tcW w:type="dxa" w:w="2492"/>
          </w:tcPr>
          <w:p>
            <w:pPr>
              <w:pStyle w:val="null3"/>
            </w:pPr>
            <w:r>
              <w:rPr>
                <w:rFonts w:ascii="仿宋_GB2312" w:hAnsi="仿宋_GB2312" w:cs="仿宋_GB2312" w:eastAsia="仿宋_GB2312"/>
              </w:rPr>
              <w:t>一、评审内容 针对本项目采购内容，供应商提供对详细的组织管理保障方案；内容至少包括①资源整合方案；②食宿、场地、设施设备等后勤条件保障方案；③跟岗实践基地资源；④分层跟踪指导机制；⑤沟通协调机制；⑥分阶段培训管控、学员学习及标志性成果督导管理等。 二、评审标准 1.完整性：内容全面，对评审内容中的各项要求有详细描述； 2.可实施性：切合本项目实际情况，实施步骤清晰合理； 3.针对性：内容科学合理，能够紧扣项目实际情况。 三、赋分标准（满分9分） ①资源整合方案：每满足一个评审标准得0.5分，对该评审标准的响应内容模糊或存在缺陷得0.25分，未提供或完全无法满足该评审标准得0分。（满分1.5分） ②食宿、场地、设施设备等后勤条件保障方案：每满足一个评审标准得0.5分，对该评审标准的响应内容模糊或存在缺陷得0.25分，未提供或完全无法满足该评审标准得0分。（满分1.5分） ③跟岗实践基地资源：每满足一个评审标准得0.5分，对该评审标准的响应内容模糊或存在缺陷得0.25分，未提供或完全无法满足该评审标准得0分。（满分1.5分） ④分层跟踪指导机制：每满足一个评审标准得0.5分，对该评审标准的响应内容模糊或存在缺陷得0.25分，未提供或完全无法满足该评审标准得0分。（满分1.5分） ⑤沟通协调机制：每满足一个评审标准得0.5分，对该评审标准的响应内容模糊或存在缺陷得0.25分，未提供或完全无法满足该评审标准得0分。（满分1.5分） ⑥分阶段培训管控、学员学习及标志性成果督导管理：每满足一个评审标准得0.5分，对该评审标准的响应内容模糊或存在缺陷得0.25分，未提供或完全无法满足该评审标准得0分。（满分1.5分）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5.组织管理保障方案.docx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针对本项目采购内容，供应商提供对详细的应急管理方案；内容至少包括①突发事件预防；②突发事件处理等。 二、评审标准 1.完整性：内容全面，对评审内容中的各项要求有详细描述； 2.可实施性：切合本项目实际情况，实施步骤清晰合理； 3.针对性：内容科学合理，能够紧扣项目实际情况。 三、赋分标准（满分3分） ①突发事件预防：每满足一个评审标准得0.5分，对该评审标准的响应内容模糊或存在缺陷得0.25分，未提供或完全无法满足该评审标准得0分。（满分1.5分） ②突发事件处理：每满足一个评审标准得0.5分，对该评审标准的响应内容模糊或存在缺陷得0.25分，未提供或完全无法满足该评审标准得0分。（满分1.5分）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6.应急管理方案.docx</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一、评审内容： 针对本项目采购内容，供应商提供对详细的团队人员配备方案；内容至少包括：①授课专家团队（须含培训专家组组长1人）；②专职班主任；③人员配置与工作职责方案； 二、赋分依据： 1.授课专家团队中（须含培训专家组组长1人）： ①具有教育类正高级职称，得3分； ②具有教育类副高级职称，得2分； ③具有教育类中级职称，得1分。 ④未提供，不得分。 本项最高得12分 注：1.专家团队中同一人员不可重复计分；2.提供职称证证书复印件。 2.专职班主任：每配置1名专职班主任的，得1分，本项最高得3分。未提供，不得分。 注：需提供人员身份复印件； 3.人员配置与工作职责方案： ①人员配置科学充足，组织架构完整；所有岗位权责划分细致、分工明确，工作流程衔接顺畅；配套人员管理、应急补位、考核机制全面，完全满足项目要求；得3分。 ②人员配置、岗位设置基本齐全，岗位职责描述较清晰，具备基础人员保障措施，整体可满足项目需求；得2分。 ③人员配置存在少量缺口，岗位职责内容简略，保障措施不完善，勉强适配项目；得1分。 ④人员配置严重不足，岗位缺失、权责混乱，无合理工作职责及人员保障方案；不得分。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7.团队人员配备方案.docx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供应商2023年6月1日至今承担过类似项目业绩，每提供1份类似项目业绩得2分，最高得6分。弄虚作假者，取消其成交资格。（以加盖供应商公章的合同扫描件为准，日期以合同签订日期为准）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详见附件：3.培训方案.docx</w:t>
      </w:r>
    </w:p>
    <w:p>
      <w:pPr>
        <w:pStyle w:val="null3"/>
        <w:ind w:firstLine="960"/>
      </w:pPr>
      <w:r>
        <w:rPr>
          <w:rFonts w:ascii="仿宋_GB2312" w:hAnsi="仿宋_GB2312" w:cs="仿宋_GB2312" w:eastAsia="仿宋_GB2312"/>
        </w:rPr>
        <w:t>详见附件：4.教学管理制度.docx</w:t>
      </w:r>
    </w:p>
    <w:p>
      <w:pPr>
        <w:pStyle w:val="null3"/>
        <w:ind w:firstLine="960"/>
      </w:pPr>
      <w:r>
        <w:rPr>
          <w:rFonts w:ascii="仿宋_GB2312" w:hAnsi="仿宋_GB2312" w:cs="仿宋_GB2312" w:eastAsia="仿宋_GB2312"/>
        </w:rPr>
        <w:t>详见附件：5.组织管理保障方案.docx</w:t>
      </w:r>
    </w:p>
    <w:p>
      <w:pPr>
        <w:pStyle w:val="null3"/>
        <w:ind w:firstLine="960"/>
      </w:pPr>
      <w:r>
        <w:rPr>
          <w:rFonts w:ascii="仿宋_GB2312" w:hAnsi="仿宋_GB2312" w:cs="仿宋_GB2312" w:eastAsia="仿宋_GB2312"/>
        </w:rPr>
        <w:t>详见附件：6.应急管理方案.docx</w:t>
      </w:r>
    </w:p>
    <w:p>
      <w:pPr>
        <w:pStyle w:val="null3"/>
        <w:ind w:firstLine="960"/>
      </w:pPr>
      <w:r>
        <w:rPr>
          <w:rFonts w:ascii="仿宋_GB2312" w:hAnsi="仿宋_GB2312" w:cs="仿宋_GB2312" w:eastAsia="仿宋_GB2312"/>
        </w:rPr>
        <w:t>详见附件：7.团队人员配备方案.docx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详见附件：9.一般资格要求及特殊资格要求.docx</w:t>
      </w:r>
    </w:p>
    <w:p>
      <w:pPr>
        <w:pStyle w:val="null3"/>
        <w:ind w:firstLine="960"/>
      </w:pPr>
      <w:r>
        <w:rPr>
          <w:rFonts w:ascii="仿宋_GB2312" w:hAnsi="仿宋_GB2312" w:cs="仿宋_GB2312" w:eastAsia="仿宋_GB2312"/>
        </w:rPr>
        <w:t>详见附件：10.供应商廉洁自律承诺书.docx</w:t>
      </w:r>
    </w:p>
    <w:p>
      <w:pPr>
        <w:pStyle w:val="null3"/>
        <w:ind w:firstLine="960"/>
      </w:pPr>
      <w:r>
        <w:rPr>
          <w:rFonts w:ascii="仿宋_GB2312" w:hAnsi="仿宋_GB2312" w:cs="仿宋_GB2312" w:eastAsia="仿宋_GB2312"/>
        </w:rPr>
        <w:t>详见附件：11.供应商企业关系关联承诺书.docx</w:t>
      </w:r>
    </w:p>
    <w:p>
      <w:pPr>
        <w:pStyle w:val="null3"/>
        <w:ind w:firstLine="960"/>
      </w:pPr>
      <w:r>
        <w:rPr>
          <w:rFonts w:ascii="仿宋_GB2312" w:hAnsi="仿宋_GB2312" w:cs="仿宋_GB2312" w:eastAsia="仿宋_GB2312"/>
        </w:rPr>
        <w:t>详见附件：12.陕西省政府采购供应商拒绝政府采购领域商业贿赂承诺书.docx</w:t>
      </w:r>
    </w:p>
    <w:p>
      <w:pPr>
        <w:pStyle w:val="null3"/>
        <w:ind w:firstLine="960"/>
      </w:pPr>
      <w:r>
        <w:rPr>
          <w:rFonts w:ascii="仿宋_GB2312" w:hAnsi="仿宋_GB2312" w:cs="仿宋_GB2312" w:eastAsia="仿宋_GB2312"/>
        </w:rPr>
        <w:t>详见附件：13.其他材料及供应商认为有必要说明、阐述的事项.docx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