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outlineLvl w:val="1"/>
        <w:rPr>
          <w:rFonts w:hint="eastAsia" w:ascii="仿宋" w:hAnsi="仿宋" w:eastAsia="仿宋" w:cs="仿宋"/>
        </w:rPr>
      </w:pPr>
      <w:r>
        <w:rPr>
          <w:rFonts w:hint="eastAsia" w:ascii="仿宋" w:hAnsi="仿宋" w:eastAsia="仿宋" w:cs="仿宋"/>
          <w:b/>
          <w:sz w:val="36"/>
        </w:rPr>
        <w:t xml:space="preserve"> 拟签订采购合同文本</w:t>
      </w:r>
    </w:p>
    <w:p>
      <w:pPr>
        <w:pStyle w:val="7"/>
        <w:keepNext w:val="0"/>
        <w:keepLines w:val="0"/>
        <w:pageBreakBefore w:val="0"/>
        <w:kinsoku/>
        <w:overflowPunct/>
        <w:topLinePunct w:val="0"/>
        <w:autoSpaceDE/>
        <w:autoSpaceDN/>
        <w:bidi w:val="0"/>
        <w:adjustRightInd/>
        <w:snapToGrid/>
        <w:spacing w:line="360" w:lineRule="auto"/>
        <w:ind w:firstLine="48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xml:space="preserve"> </w:t>
      </w:r>
    </w:p>
    <w:p>
      <w:pPr>
        <w:pStyle w:val="7"/>
        <w:keepNext w:val="0"/>
        <w:keepLines w:val="0"/>
        <w:pageBreakBefore w:val="0"/>
        <w:kinsoku/>
        <w:overflowPunct/>
        <w:topLinePunct w:val="0"/>
        <w:autoSpaceDE/>
        <w:autoSpaceDN/>
        <w:bidi w:val="0"/>
        <w:adjustRightInd/>
        <w:snapToGrid/>
        <w:spacing w:line="360" w:lineRule="auto"/>
        <w:ind w:firstLine="48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xml:space="preserve"> 注：本合同作为合同的基本格式，采购人有权在签订合同时对合同的相关条款及内容作进一步的细化和修改，但不得改变磋商文件及磋商响应文件、成交通知书规定的实质性内容）</w:t>
      </w:r>
    </w:p>
    <w:p>
      <w:pPr>
        <w:pStyle w:val="7"/>
        <w:keepNext w:val="0"/>
        <w:keepLines w:val="0"/>
        <w:pageBreakBefore w:val="0"/>
        <w:kinsoku/>
        <w:overflowPunct/>
        <w:topLinePunct w:val="0"/>
        <w:bidi w:val="0"/>
        <w:adjustRightInd/>
        <w:snapToGrid/>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采购人（以下称“甲方”）：</w:t>
      </w:r>
      <w:r>
        <w:rPr>
          <w:rFonts w:hint="eastAsia" w:ascii="仿宋" w:hAnsi="仿宋" w:eastAsia="仿宋" w:cs="仿宋"/>
          <w:color w:val="auto"/>
          <w:sz w:val="24"/>
          <w:szCs w:val="24"/>
          <w:highlight w:val="none"/>
          <w:u w:val="single"/>
          <w:lang w:val="en-US" w:eastAsia="zh-CN"/>
        </w:rPr>
        <w:t xml:space="preserve"> 西安市教育局 </w:t>
      </w:r>
      <w:r>
        <w:rPr>
          <w:rFonts w:hint="eastAsia" w:ascii="仿宋" w:hAnsi="仿宋" w:eastAsia="仿宋" w:cs="仿宋"/>
          <w:color w:val="auto"/>
          <w:sz w:val="24"/>
          <w:szCs w:val="24"/>
          <w:highlight w:val="none"/>
          <w:u w:val="none"/>
          <w:lang w:val="en-US" w:eastAsia="zh-CN"/>
        </w:rPr>
        <w:t xml:space="preserve"> </w:t>
      </w:r>
      <w:r>
        <w:rPr>
          <w:rFonts w:hint="eastAsia" w:ascii="仿宋" w:hAnsi="仿宋" w:eastAsia="仿宋" w:cs="仿宋"/>
          <w:color w:val="auto"/>
          <w:sz w:val="24"/>
          <w:szCs w:val="24"/>
          <w:highlight w:val="none"/>
        </w:rPr>
        <w:t xml:space="preserve">                                        </w:t>
      </w:r>
    </w:p>
    <w:p>
      <w:pPr>
        <w:pStyle w:val="7"/>
        <w:keepNext w:val="0"/>
        <w:keepLines w:val="0"/>
        <w:pageBreakBefore w:val="0"/>
        <w:kinsoku/>
        <w:overflowPunct/>
        <w:topLinePunct w:val="0"/>
        <w:bidi w:val="0"/>
        <w:adjustRightInd/>
        <w:snapToGrid/>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西安市凤城八路109号市政府6号楼</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rPr>
        <w:t xml:space="preserve"> </w:t>
      </w:r>
      <w:r>
        <w:rPr>
          <w:rFonts w:hint="eastAsia" w:ascii="仿宋" w:hAnsi="仿宋" w:eastAsia="仿宋" w:cs="仿宋"/>
          <w:color w:val="auto"/>
          <w:sz w:val="24"/>
          <w:szCs w:val="24"/>
          <w:highlight w:val="none"/>
        </w:rPr>
        <w:t xml:space="preserve">                                                           </w:t>
      </w:r>
    </w:p>
    <w:p>
      <w:pPr>
        <w:pStyle w:val="7"/>
        <w:keepNext w:val="0"/>
        <w:keepLines w:val="0"/>
        <w:pageBreakBefore w:val="0"/>
        <w:kinsoku/>
        <w:overflowPunct/>
        <w:topLinePunct w:val="0"/>
        <w:bidi w:val="0"/>
        <w:adjustRightInd/>
        <w:snapToGrid/>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联系方式：</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 xml:space="preserve">                                                     </w:t>
      </w:r>
    </w:p>
    <w:p>
      <w:pPr>
        <w:pStyle w:val="7"/>
        <w:keepNext w:val="0"/>
        <w:keepLines w:val="0"/>
        <w:pageBreakBefore w:val="0"/>
        <w:kinsoku/>
        <w:overflowPunct/>
        <w:topLinePunct w:val="0"/>
        <w:bidi w:val="0"/>
        <w:adjustRightInd/>
        <w:snapToGrid/>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供应商（以下称“乙方”）：</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rPr>
        <w:t xml:space="preserve"> </w:t>
      </w:r>
      <w:r>
        <w:rPr>
          <w:rFonts w:hint="eastAsia" w:ascii="仿宋" w:hAnsi="仿宋" w:eastAsia="仿宋" w:cs="仿宋"/>
          <w:color w:val="auto"/>
          <w:sz w:val="24"/>
          <w:szCs w:val="24"/>
          <w:highlight w:val="none"/>
        </w:rPr>
        <w:t xml:space="preserve">                                       </w:t>
      </w:r>
    </w:p>
    <w:p>
      <w:pPr>
        <w:pStyle w:val="7"/>
        <w:keepNext w:val="0"/>
        <w:keepLines w:val="0"/>
        <w:pageBreakBefore w:val="0"/>
        <w:kinsoku/>
        <w:overflowPunct/>
        <w:topLinePunct w:val="0"/>
        <w:bidi w:val="0"/>
        <w:adjustRightInd/>
        <w:snapToGrid/>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pPr>
        <w:pStyle w:val="7"/>
        <w:keepNext w:val="0"/>
        <w:keepLines w:val="0"/>
        <w:pageBreakBefore w:val="0"/>
        <w:kinsoku/>
        <w:overflowPunct/>
        <w:topLinePunct w:val="0"/>
        <w:bidi w:val="0"/>
        <w:adjustRightInd/>
        <w:snapToGrid/>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联系方式：</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pPr>
        <w:pStyle w:val="7"/>
        <w:keepNext w:val="0"/>
        <w:keepLines w:val="0"/>
        <w:pageBreakBefore w:val="0"/>
        <w:kinsoku/>
        <w:overflowPunct/>
        <w:topLinePunct w:val="0"/>
        <w:bidi w:val="0"/>
        <w:adjustRightInd/>
        <w:snapToGrid/>
        <w:spacing w:line="360" w:lineRule="auto"/>
        <w:ind w:firstLine="468" w:firstLineChars="195"/>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根据《中华人民共和国政府采购法》及实施条例、《中华人民共和国民法典》和甲方采购项目</w:t>
      </w:r>
      <w:r>
        <w:rPr>
          <w:rFonts w:hint="eastAsia" w:ascii="仿宋" w:hAnsi="仿宋" w:eastAsia="仿宋" w:cs="仿宋"/>
          <w:color w:val="auto"/>
          <w:sz w:val="24"/>
          <w:szCs w:val="24"/>
          <w:highlight w:val="none"/>
          <w:u w:val="single"/>
        </w:rPr>
        <w:t>（采购项目编号：</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rPr>
        <w:t>的</w:t>
      </w:r>
      <w:r>
        <w:rPr>
          <w:rFonts w:hint="eastAsia" w:ascii="仿宋" w:hAnsi="仿宋" w:eastAsia="仿宋" w:cs="仿宋"/>
          <w:color w:val="auto"/>
          <w:sz w:val="24"/>
          <w:szCs w:val="24"/>
          <w:highlight w:val="none"/>
          <w:lang w:val="en-US" w:eastAsia="zh-CN"/>
        </w:rPr>
        <w:t>竞争性</w:t>
      </w:r>
      <w:r>
        <w:rPr>
          <w:rFonts w:hint="eastAsia" w:ascii="仿宋" w:hAnsi="仿宋" w:eastAsia="仿宋" w:cs="仿宋"/>
          <w:color w:val="auto"/>
          <w:sz w:val="24"/>
          <w:szCs w:val="24"/>
          <w:highlight w:val="none"/>
        </w:rPr>
        <w:t>磋商文件、</w:t>
      </w:r>
      <w:r>
        <w:rPr>
          <w:rFonts w:hint="eastAsia" w:ascii="仿宋" w:hAnsi="仿宋" w:eastAsia="仿宋" w:cs="仿宋"/>
          <w:color w:val="auto"/>
          <w:sz w:val="24"/>
          <w:szCs w:val="24"/>
          <w:highlight w:val="none"/>
          <w:lang w:val="en-US" w:eastAsia="zh-CN"/>
        </w:rPr>
        <w:t>乙方递交的</w:t>
      </w:r>
      <w:r>
        <w:rPr>
          <w:rFonts w:hint="eastAsia" w:ascii="仿宋" w:hAnsi="仿宋" w:eastAsia="仿宋" w:cs="仿宋"/>
          <w:color w:val="auto"/>
          <w:sz w:val="24"/>
          <w:szCs w:val="24"/>
          <w:highlight w:val="none"/>
        </w:rPr>
        <w:t>响应文件等有关规定，为确保甲方采购项目的顺利实施，甲、乙双方在平等自愿原则下签订本合同，并共同遵守如下条款：</w:t>
      </w:r>
    </w:p>
    <w:p>
      <w:pPr>
        <w:keepNext w:val="0"/>
        <w:keepLines w:val="0"/>
        <w:pageBreakBefore w:val="0"/>
        <w:numPr>
          <w:ilvl w:val="0"/>
          <w:numId w:val="1"/>
        </w:numPr>
        <w:tabs>
          <w:tab w:val="left" w:pos="1379"/>
        </w:tabs>
        <w:kinsoku/>
        <w:overflowPunct/>
        <w:topLinePunct w:val="0"/>
        <w:bidi w:val="0"/>
        <w:adjustRightInd/>
        <w:snapToGrid/>
        <w:spacing w:line="360" w:lineRule="auto"/>
        <w:ind w:firstLine="482" w:firstLineChars="200"/>
        <w:outlineLvl w:val="1"/>
        <w:rPr>
          <w:rFonts w:hint="eastAsia" w:ascii="仿宋" w:hAnsi="仿宋" w:eastAsia="仿宋" w:cs="仿宋"/>
          <w:b/>
          <w:bCs w:val="0"/>
          <w:color w:val="auto"/>
          <w:sz w:val="24"/>
          <w:szCs w:val="24"/>
          <w:highlight w:val="none"/>
          <w:lang w:val="en-US" w:eastAsia="zh-CN"/>
        </w:rPr>
      </w:pPr>
      <w:bookmarkStart w:id="0" w:name="_Toc8233"/>
      <w:bookmarkStart w:id="1" w:name="_Toc562"/>
      <w:r>
        <w:rPr>
          <w:rFonts w:hint="eastAsia" w:ascii="仿宋" w:hAnsi="仿宋" w:eastAsia="仿宋" w:cs="仿宋"/>
          <w:b/>
          <w:bCs w:val="0"/>
          <w:color w:val="auto"/>
          <w:sz w:val="24"/>
          <w:szCs w:val="24"/>
          <w:highlight w:val="none"/>
          <w:lang w:val="en-US" w:eastAsia="zh-CN"/>
        </w:rPr>
        <w:t>合同采购内容</w:t>
      </w:r>
      <w:bookmarkEnd w:id="0"/>
      <w:bookmarkEnd w:id="1"/>
    </w:p>
    <w:tbl>
      <w:tblPr>
        <w:tblStyle w:val="5"/>
        <w:tblW w:w="9888" w:type="dxa"/>
        <w:tblInd w:w="-154"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887"/>
        <w:gridCol w:w="1320"/>
        <w:gridCol w:w="1920"/>
        <w:gridCol w:w="771"/>
        <w:gridCol w:w="885"/>
        <w:gridCol w:w="1770"/>
        <w:gridCol w:w="1092"/>
        <w:gridCol w:w="124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28" w:hRule="atLeast"/>
          <w:tblHeader/>
        </w:trPr>
        <w:tc>
          <w:tcPr>
            <w:tcW w:w="887"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jc w:val="center"/>
              <w:textAlignment w:val="center"/>
              <w:rPr>
                <w:rFonts w:hint="eastAsia" w:ascii="仿宋" w:hAnsi="仿宋" w:eastAsia="仿宋" w:cs="仿宋"/>
                <w:b/>
                <w:bCs/>
                <w:color w:val="auto"/>
                <w:kern w:val="0"/>
                <w:sz w:val="24"/>
                <w:szCs w:val="24"/>
                <w:highlight w:val="none"/>
                <w:lang w:val="en-US" w:eastAsia="zh-CN" w:bidi="ar"/>
              </w:rPr>
            </w:pPr>
            <w:r>
              <w:rPr>
                <w:rFonts w:hint="eastAsia" w:ascii="仿宋" w:hAnsi="仿宋" w:eastAsia="仿宋" w:cs="仿宋"/>
                <w:b/>
                <w:bCs/>
                <w:color w:val="auto"/>
                <w:kern w:val="0"/>
                <w:sz w:val="24"/>
                <w:szCs w:val="24"/>
                <w:highlight w:val="none"/>
                <w:lang w:val="en-US" w:eastAsia="zh-CN" w:bidi="ar"/>
              </w:rPr>
              <w:t>品目</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jc w:val="center"/>
              <w:textAlignment w:val="center"/>
              <w:rPr>
                <w:rFonts w:hint="eastAsia" w:ascii="仿宋" w:hAnsi="仿宋" w:eastAsia="仿宋" w:cs="仿宋"/>
                <w:b/>
                <w:bCs/>
                <w:color w:val="auto"/>
                <w:sz w:val="24"/>
                <w:szCs w:val="24"/>
                <w:highlight w:val="none"/>
                <w:lang w:val="en-US"/>
              </w:rPr>
            </w:pPr>
            <w:r>
              <w:rPr>
                <w:rFonts w:hint="eastAsia" w:ascii="仿宋" w:hAnsi="仿宋" w:eastAsia="仿宋" w:cs="仿宋"/>
                <w:b/>
                <w:bCs/>
                <w:color w:val="auto"/>
                <w:kern w:val="0"/>
                <w:sz w:val="24"/>
                <w:szCs w:val="24"/>
                <w:highlight w:val="none"/>
                <w:lang w:val="en-US" w:eastAsia="zh-CN" w:bidi="ar"/>
              </w:rPr>
              <w:t>编码</w:t>
            </w:r>
          </w:p>
        </w:tc>
        <w:tc>
          <w:tcPr>
            <w:tcW w:w="1320"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jc w:val="center"/>
              <w:textAlignment w:val="center"/>
              <w:rPr>
                <w:rFonts w:hint="eastAsia" w:ascii="仿宋" w:hAnsi="仿宋" w:eastAsia="仿宋" w:cs="仿宋"/>
                <w:b/>
                <w:bCs/>
                <w:color w:val="auto"/>
                <w:kern w:val="0"/>
                <w:sz w:val="24"/>
                <w:szCs w:val="24"/>
                <w:highlight w:val="none"/>
                <w:lang w:val="en-US" w:eastAsia="zh-CN" w:bidi="ar"/>
              </w:rPr>
            </w:pPr>
            <w:r>
              <w:rPr>
                <w:rFonts w:hint="eastAsia" w:ascii="仿宋" w:hAnsi="仿宋" w:eastAsia="仿宋" w:cs="仿宋"/>
                <w:b/>
                <w:bCs/>
                <w:color w:val="auto"/>
                <w:kern w:val="0"/>
                <w:sz w:val="24"/>
                <w:szCs w:val="24"/>
                <w:highlight w:val="none"/>
                <w:lang w:val="en-US" w:eastAsia="zh-CN" w:bidi="ar"/>
              </w:rPr>
              <w:t>品目</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jc w:val="center"/>
              <w:textAlignment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名称</w:t>
            </w:r>
          </w:p>
        </w:tc>
        <w:tc>
          <w:tcPr>
            <w:tcW w:w="1920"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jc w:val="center"/>
              <w:textAlignment w:val="center"/>
              <w:rPr>
                <w:rFonts w:hint="eastAsia" w:ascii="仿宋" w:hAnsi="仿宋" w:eastAsia="仿宋" w:cs="仿宋"/>
                <w:b/>
                <w:bCs/>
                <w:color w:val="auto"/>
                <w:kern w:val="0"/>
                <w:sz w:val="24"/>
                <w:szCs w:val="24"/>
                <w:highlight w:val="none"/>
                <w:lang w:val="en-US" w:eastAsia="zh-CN" w:bidi="ar"/>
              </w:rPr>
            </w:pPr>
            <w:r>
              <w:rPr>
                <w:rFonts w:hint="eastAsia" w:ascii="仿宋" w:hAnsi="仿宋" w:eastAsia="仿宋" w:cs="仿宋"/>
                <w:b/>
                <w:bCs/>
                <w:color w:val="auto"/>
                <w:kern w:val="0"/>
                <w:sz w:val="24"/>
                <w:szCs w:val="24"/>
                <w:highlight w:val="none"/>
                <w:lang w:val="en-US" w:eastAsia="zh-CN" w:bidi="ar"/>
              </w:rPr>
              <w:t>采购</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jc w:val="center"/>
              <w:textAlignment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标的</w:t>
            </w:r>
          </w:p>
        </w:tc>
        <w:tc>
          <w:tcPr>
            <w:tcW w:w="771"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jc w:val="center"/>
              <w:textAlignment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采购数量</w:t>
            </w:r>
          </w:p>
        </w:tc>
        <w:tc>
          <w:tcPr>
            <w:tcW w:w="885"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jc w:val="center"/>
              <w:textAlignment w:val="center"/>
              <w:rPr>
                <w:rFonts w:hint="eastAsia" w:ascii="仿宋" w:hAnsi="仿宋" w:eastAsia="仿宋" w:cs="仿宋"/>
                <w:b/>
                <w:bCs/>
                <w:color w:val="auto"/>
                <w:kern w:val="0"/>
                <w:sz w:val="24"/>
                <w:szCs w:val="24"/>
                <w:highlight w:val="none"/>
                <w:lang w:val="en-US" w:eastAsia="zh-CN" w:bidi="ar"/>
              </w:rPr>
            </w:pPr>
            <w:r>
              <w:rPr>
                <w:rFonts w:hint="eastAsia" w:ascii="仿宋" w:hAnsi="仿宋" w:eastAsia="仿宋" w:cs="仿宋"/>
                <w:b/>
                <w:bCs/>
                <w:color w:val="auto"/>
                <w:kern w:val="0"/>
                <w:sz w:val="24"/>
                <w:szCs w:val="24"/>
                <w:highlight w:val="none"/>
                <w:lang w:val="en-US" w:eastAsia="zh-CN" w:bidi="ar"/>
              </w:rPr>
              <w:t>计量</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jc w:val="center"/>
              <w:textAlignment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单位</w:t>
            </w:r>
          </w:p>
        </w:tc>
        <w:tc>
          <w:tcPr>
            <w:tcW w:w="1770"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jc w:val="center"/>
              <w:textAlignment w:val="center"/>
              <w:rPr>
                <w:rFonts w:hint="eastAsia" w:ascii="仿宋" w:hAnsi="仿宋" w:eastAsia="仿宋" w:cs="仿宋"/>
                <w:b/>
                <w:bCs/>
                <w:color w:val="auto"/>
                <w:sz w:val="24"/>
                <w:szCs w:val="24"/>
                <w:highlight w:val="none"/>
                <w:lang w:val="en-US"/>
              </w:rPr>
            </w:pPr>
            <w:r>
              <w:rPr>
                <w:rFonts w:hint="eastAsia" w:ascii="仿宋" w:hAnsi="仿宋" w:eastAsia="仿宋" w:cs="仿宋"/>
                <w:b/>
                <w:bCs/>
                <w:color w:val="auto"/>
                <w:kern w:val="0"/>
                <w:sz w:val="24"/>
                <w:szCs w:val="24"/>
                <w:highlight w:val="none"/>
                <w:lang w:val="en-US" w:eastAsia="zh-CN" w:bidi="ar"/>
              </w:rPr>
              <w:t>服务范围</w:t>
            </w:r>
          </w:p>
        </w:tc>
        <w:tc>
          <w:tcPr>
            <w:tcW w:w="1092"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jc w:val="center"/>
              <w:textAlignment w:val="center"/>
              <w:rPr>
                <w:rFonts w:hint="eastAsia" w:ascii="仿宋" w:hAnsi="仿宋" w:eastAsia="仿宋" w:cs="仿宋"/>
                <w:b/>
                <w:bCs/>
                <w:color w:val="auto"/>
                <w:kern w:val="0"/>
                <w:sz w:val="24"/>
                <w:szCs w:val="24"/>
                <w:highlight w:val="none"/>
                <w:lang w:val="en-US" w:eastAsia="zh-CN" w:bidi="ar"/>
              </w:rPr>
            </w:pPr>
            <w:r>
              <w:rPr>
                <w:rFonts w:hint="eastAsia" w:ascii="仿宋" w:hAnsi="仿宋" w:eastAsia="仿宋" w:cs="仿宋"/>
                <w:b/>
                <w:bCs/>
                <w:color w:val="auto"/>
                <w:kern w:val="0"/>
                <w:sz w:val="24"/>
                <w:szCs w:val="24"/>
                <w:highlight w:val="none"/>
                <w:lang w:val="en-US" w:eastAsia="zh-CN" w:bidi="ar"/>
              </w:rPr>
              <w:t>单价</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jc w:val="center"/>
              <w:textAlignment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(元)</w:t>
            </w:r>
          </w:p>
        </w:tc>
        <w:tc>
          <w:tcPr>
            <w:tcW w:w="1243"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jc w:val="center"/>
              <w:textAlignment w:val="center"/>
              <w:rPr>
                <w:rFonts w:hint="eastAsia" w:ascii="仿宋" w:hAnsi="仿宋" w:eastAsia="仿宋" w:cs="仿宋"/>
                <w:b/>
                <w:bCs/>
                <w:color w:val="auto"/>
                <w:kern w:val="0"/>
                <w:sz w:val="24"/>
                <w:szCs w:val="24"/>
                <w:highlight w:val="none"/>
                <w:lang w:val="en-US" w:eastAsia="zh-CN" w:bidi="ar"/>
              </w:rPr>
            </w:pPr>
            <w:r>
              <w:rPr>
                <w:rFonts w:hint="eastAsia" w:ascii="仿宋" w:hAnsi="仿宋" w:eastAsia="仿宋" w:cs="仿宋"/>
                <w:b/>
                <w:bCs/>
                <w:color w:val="auto"/>
                <w:kern w:val="0"/>
                <w:sz w:val="24"/>
                <w:szCs w:val="24"/>
                <w:highlight w:val="none"/>
                <w:lang w:val="en-US" w:eastAsia="zh-CN" w:bidi="ar"/>
              </w:rPr>
              <w:t>总金额（元）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47" w:hRule="atLeast"/>
        </w:trPr>
        <w:tc>
          <w:tcPr>
            <w:tcW w:w="887"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jc w:val="center"/>
              <w:textAlignment w:val="center"/>
              <w:rPr>
                <w:rFonts w:hint="eastAsia" w:ascii="仿宋" w:hAnsi="仿宋" w:eastAsia="仿宋" w:cs="仿宋"/>
                <w:color w:val="auto"/>
                <w:sz w:val="24"/>
                <w:szCs w:val="24"/>
                <w:highlight w:val="none"/>
                <w:lang w:val="en-US"/>
              </w:rPr>
            </w:pPr>
            <w:r>
              <w:rPr>
                <w:rFonts w:hint="eastAsia" w:ascii="仿宋" w:hAnsi="仿宋" w:eastAsia="仿宋" w:cs="仿宋"/>
                <w:color w:val="auto"/>
                <w:kern w:val="0"/>
                <w:sz w:val="24"/>
                <w:szCs w:val="24"/>
                <w:highlight w:val="none"/>
                <w:lang w:val="en-US" w:eastAsia="zh-CN" w:bidi="ar"/>
              </w:rPr>
              <w:t>1-1</w:t>
            </w:r>
          </w:p>
        </w:tc>
        <w:tc>
          <w:tcPr>
            <w:tcW w:w="1320"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培训服务</w:t>
            </w:r>
          </w:p>
        </w:tc>
        <w:tc>
          <w:tcPr>
            <w:tcW w:w="1920"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西安市第六批基础教育教学名师培养培训项目</w:t>
            </w:r>
          </w:p>
        </w:tc>
        <w:tc>
          <w:tcPr>
            <w:tcW w:w="771"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1</w:t>
            </w:r>
          </w:p>
        </w:tc>
        <w:tc>
          <w:tcPr>
            <w:tcW w:w="885"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项</w:t>
            </w:r>
          </w:p>
        </w:tc>
        <w:tc>
          <w:tcPr>
            <w:tcW w:w="1770"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西安市第六批基础教育教学名师培养培训项目</w:t>
            </w:r>
          </w:p>
        </w:tc>
        <w:tc>
          <w:tcPr>
            <w:tcW w:w="1092"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leftChars="0" w:right="0" w:rightChars="0"/>
              <w:jc w:val="center"/>
              <w:textAlignment w:val="center"/>
              <w:rPr>
                <w:rFonts w:hint="eastAsia" w:ascii="仿宋" w:hAnsi="仿宋" w:eastAsia="仿宋" w:cs="仿宋"/>
                <w:color w:val="auto"/>
                <w:sz w:val="24"/>
                <w:szCs w:val="24"/>
                <w:highlight w:val="none"/>
                <w:lang w:val="en-US"/>
              </w:rPr>
            </w:pPr>
          </w:p>
        </w:tc>
        <w:tc>
          <w:tcPr>
            <w:tcW w:w="1243"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jc w:val="right"/>
              <w:textAlignment w:val="center"/>
              <w:rPr>
                <w:rFonts w:hint="eastAsia" w:ascii="仿宋" w:hAnsi="仿宋" w:eastAsia="仿宋" w:cs="仿宋"/>
                <w:i w:val="0"/>
                <w:iCs w:val="0"/>
                <w:caps w:val="0"/>
                <w:color w:val="0000FF"/>
                <w:spacing w:val="0"/>
                <w:sz w:val="24"/>
                <w:szCs w:val="24"/>
                <w:highlight w:val="none"/>
                <w:shd w:val="clear" w:fill="FFFFFF"/>
                <w:vertAlign w:val="baseline"/>
                <w:lang w:val="en-US" w:eastAsia="zh-CN"/>
              </w:rPr>
            </w:pPr>
          </w:p>
        </w:tc>
      </w:tr>
    </w:tbl>
    <w:p>
      <w:pPr>
        <w:pStyle w:val="8"/>
        <w:keepNext w:val="0"/>
        <w:keepLines w:val="0"/>
        <w:pageBreakBefore w:val="0"/>
        <w:numPr>
          <w:ilvl w:val="0"/>
          <w:numId w:val="0"/>
        </w:numPr>
        <w:kinsoku/>
        <w:overflowPunct/>
        <w:topLinePunct w:val="0"/>
        <w:bidi w:val="0"/>
        <w:adjustRightInd/>
        <w:snapToGrid/>
        <w:spacing w:line="360" w:lineRule="auto"/>
        <w:ind w:firstLine="480" w:firstLineChars="200"/>
        <w:rPr>
          <w:rFonts w:hint="eastAsia" w:ascii="仿宋" w:hAnsi="仿宋" w:eastAsia="仿宋" w:cs="仿宋"/>
          <w:color w:val="0000FF"/>
          <w:sz w:val="24"/>
          <w:szCs w:val="24"/>
          <w:highlight w:val="none"/>
          <w:u w:val="none"/>
          <w:lang w:val="en-US" w:eastAsia="zh-CN"/>
        </w:rPr>
      </w:pPr>
      <w:r>
        <w:rPr>
          <w:rFonts w:hint="eastAsia" w:ascii="仿宋" w:hAnsi="仿宋" w:eastAsia="仿宋" w:cs="仿宋"/>
          <w:sz w:val="24"/>
          <w:szCs w:val="24"/>
          <w:highlight w:val="none"/>
          <w:lang w:val="en-US" w:eastAsia="zh-CN"/>
        </w:rPr>
        <w:t>合计金额人民币（大写）：</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lang w:val="en-US" w:eastAsia="zh-CN"/>
        </w:rPr>
        <w:t xml:space="preserve"> </w:t>
      </w:r>
    </w:p>
    <w:p>
      <w:pPr>
        <w:keepNext w:val="0"/>
        <w:keepLines w:val="0"/>
        <w:pageBreakBefore w:val="0"/>
        <w:tabs>
          <w:tab w:val="left" w:pos="1379"/>
        </w:tabs>
        <w:kinsoku/>
        <w:overflowPunct/>
        <w:topLinePunct w:val="0"/>
        <w:bidi w:val="0"/>
        <w:adjustRightInd/>
        <w:snapToGrid/>
        <w:spacing w:line="360" w:lineRule="auto"/>
        <w:ind w:firstLine="482" w:firstLineChars="200"/>
        <w:outlineLvl w:val="1"/>
        <w:rPr>
          <w:rFonts w:hint="eastAsia" w:ascii="仿宋" w:hAnsi="仿宋" w:eastAsia="仿宋" w:cs="仿宋"/>
          <w:b/>
          <w:bCs w:val="0"/>
          <w:color w:val="auto"/>
          <w:sz w:val="24"/>
          <w:szCs w:val="24"/>
          <w:highlight w:val="none"/>
        </w:rPr>
      </w:pPr>
      <w:bookmarkStart w:id="2" w:name="_Toc22213"/>
      <w:bookmarkStart w:id="3" w:name="_Toc17947"/>
      <w:r>
        <w:rPr>
          <w:rFonts w:hint="eastAsia" w:ascii="仿宋" w:hAnsi="仿宋" w:eastAsia="仿宋" w:cs="仿宋"/>
          <w:b/>
          <w:bCs w:val="0"/>
          <w:color w:val="auto"/>
          <w:sz w:val="24"/>
          <w:szCs w:val="24"/>
          <w:highlight w:val="none"/>
        </w:rPr>
        <w:t>第</w:t>
      </w:r>
      <w:r>
        <w:rPr>
          <w:rFonts w:hint="eastAsia" w:ascii="仿宋" w:hAnsi="仿宋" w:eastAsia="仿宋" w:cs="仿宋"/>
          <w:b/>
          <w:bCs w:val="0"/>
          <w:color w:val="auto"/>
          <w:sz w:val="24"/>
          <w:szCs w:val="24"/>
          <w:highlight w:val="none"/>
          <w:lang w:val="en-US" w:eastAsia="zh-CN"/>
        </w:rPr>
        <w:t>二</w:t>
      </w:r>
      <w:r>
        <w:rPr>
          <w:rFonts w:hint="eastAsia" w:ascii="仿宋" w:hAnsi="仿宋" w:eastAsia="仿宋" w:cs="仿宋"/>
          <w:b/>
          <w:bCs w:val="0"/>
          <w:color w:val="auto"/>
          <w:sz w:val="24"/>
          <w:szCs w:val="24"/>
          <w:highlight w:val="none"/>
        </w:rPr>
        <w:t>条</w:t>
      </w:r>
      <w:r>
        <w:rPr>
          <w:rFonts w:hint="eastAsia" w:ascii="仿宋" w:hAnsi="仿宋" w:eastAsia="仿宋" w:cs="仿宋"/>
          <w:b/>
          <w:bCs w:val="0"/>
          <w:color w:val="auto"/>
          <w:sz w:val="24"/>
          <w:szCs w:val="24"/>
          <w:highlight w:val="none"/>
          <w:lang w:val="en-US" w:eastAsia="zh-CN"/>
        </w:rPr>
        <w:t xml:space="preserve"> 合同价款</w:t>
      </w:r>
      <w:bookmarkEnd w:id="2"/>
      <w:bookmarkEnd w:id="3"/>
    </w:p>
    <w:p>
      <w:pPr>
        <w:pStyle w:val="7"/>
        <w:keepNext w:val="0"/>
        <w:keepLines w:val="0"/>
        <w:pageBreakBefore w:val="0"/>
        <w:kinsoku/>
        <w:overflowPunct/>
        <w:topLinePunct w:val="0"/>
        <w:bidi w:val="0"/>
        <w:adjustRightInd/>
        <w:snapToGrid/>
        <w:spacing w:line="360" w:lineRule="auto"/>
        <w:ind w:firstLine="48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合同总价款</w:t>
      </w:r>
      <w:r>
        <w:rPr>
          <w:rFonts w:hint="eastAsia" w:ascii="仿宋" w:hAnsi="仿宋" w:eastAsia="仿宋" w:cs="仿宋"/>
          <w:color w:val="auto"/>
          <w:sz w:val="24"/>
          <w:szCs w:val="24"/>
          <w:highlight w:val="none"/>
        </w:rPr>
        <w:t>为人民币</w:t>
      </w:r>
      <w:r>
        <w:rPr>
          <w:rFonts w:hint="eastAsia" w:ascii="仿宋" w:hAnsi="仿宋" w:eastAsia="仿宋" w:cs="仿宋"/>
          <w:color w:val="auto"/>
          <w:sz w:val="24"/>
          <w:szCs w:val="24"/>
          <w:highlight w:val="none"/>
          <w:u w:val="single"/>
        </w:rPr>
        <w:t>（大写）：</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p>
      <w:pPr>
        <w:pStyle w:val="7"/>
        <w:keepNext w:val="0"/>
        <w:keepLines w:val="0"/>
        <w:pageBreakBefore w:val="0"/>
        <w:kinsoku/>
        <w:overflowPunct/>
        <w:topLinePunct w:val="0"/>
        <w:bidi w:val="0"/>
        <w:adjustRightInd/>
        <w:snapToGrid/>
        <w:spacing w:line="360" w:lineRule="auto"/>
        <w:ind w:firstLine="48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2.本项目</w:t>
      </w:r>
      <w:r>
        <w:rPr>
          <w:rFonts w:hint="eastAsia" w:ascii="仿宋" w:hAnsi="仿宋" w:eastAsia="仿宋" w:cs="仿宋"/>
          <w:color w:val="auto"/>
          <w:sz w:val="24"/>
          <w:szCs w:val="24"/>
          <w:highlight w:val="none"/>
          <w:lang w:val="en-US" w:eastAsia="zh-CN"/>
        </w:rPr>
        <w:t>合同总价款</w:t>
      </w:r>
      <w:r>
        <w:rPr>
          <w:rFonts w:hint="eastAsia" w:ascii="仿宋" w:hAnsi="仿宋" w:eastAsia="仿宋" w:cs="仿宋"/>
          <w:color w:val="auto"/>
          <w:sz w:val="24"/>
          <w:szCs w:val="24"/>
          <w:highlight w:val="none"/>
        </w:rPr>
        <w:t>由以下组成：</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p>
      <w:pPr>
        <w:pStyle w:val="7"/>
        <w:keepNext w:val="0"/>
        <w:keepLines w:val="0"/>
        <w:pageBreakBefore w:val="0"/>
        <w:kinsoku/>
        <w:overflowPunct/>
        <w:topLinePunct w:val="0"/>
        <w:bidi w:val="0"/>
        <w:adjustRightInd/>
        <w:snapToGrid/>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3.甲方无须另向乙方支付本合同规定之外的其他任何费用</w:t>
      </w:r>
    </w:p>
    <w:p>
      <w:pPr>
        <w:pStyle w:val="7"/>
        <w:keepNext w:val="0"/>
        <w:keepLines w:val="0"/>
        <w:pageBreakBefore w:val="0"/>
        <w:kinsoku/>
        <w:overflowPunct/>
        <w:topLinePunct w:val="0"/>
        <w:bidi w:val="0"/>
        <w:adjustRightInd/>
        <w:snapToGrid/>
        <w:spacing w:line="360" w:lineRule="auto"/>
        <w:ind w:firstLine="48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4.履约保证金：不涉及</w:t>
      </w:r>
    </w:p>
    <w:p>
      <w:pPr>
        <w:keepNext w:val="0"/>
        <w:keepLines w:val="0"/>
        <w:pageBreakBefore w:val="0"/>
        <w:tabs>
          <w:tab w:val="left" w:pos="1379"/>
        </w:tabs>
        <w:kinsoku/>
        <w:overflowPunct/>
        <w:topLinePunct w:val="0"/>
        <w:bidi w:val="0"/>
        <w:adjustRightInd/>
        <w:snapToGrid/>
        <w:spacing w:line="360" w:lineRule="auto"/>
        <w:ind w:firstLine="482" w:firstLineChars="200"/>
        <w:outlineLvl w:val="1"/>
        <w:rPr>
          <w:rFonts w:hint="eastAsia" w:ascii="仿宋" w:hAnsi="仿宋" w:eastAsia="仿宋" w:cs="仿宋"/>
          <w:b/>
          <w:bCs w:val="0"/>
          <w:color w:val="auto"/>
          <w:sz w:val="24"/>
          <w:szCs w:val="24"/>
          <w:highlight w:val="none"/>
          <w:lang w:val="en-US" w:eastAsia="zh-CN"/>
        </w:rPr>
      </w:pPr>
      <w:bookmarkStart w:id="4" w:name="_Toc4425"/>
      <w:bookmarkStart w:id="5" w:name="_Toc31903"/>
      <w:r>
        <w:rPr>
          <w:rFonts w:hint="eastAsia" w:ascii="仿宋" w:hAnsi="仿宋" w:eastAsia="仿宋" w:cs="仿宋"/>
          <w:b/>
          <w:bCs w:val="0"/>
          <w:color w:val="auto"/>
          <w:sz w:val="24"/>
          <w:szCs w:val="24"/>
          <w:highlight w:val="none"/>
        </w:rPr>
        <w:t>第</w:t>
      </w:r>
      <w:r>
        <w:rPr>
          <w:rFonts w:hint="eastAsia" w:ascii="仿宋" w:hAnsi="仿宋" w:eastAsia="仿宋" w:cs="仿宋"/>
          <w:b/>
          <w:bCs w:val="0"/>
          <w:color w:val="auto"/>
          <w:sz w:val="24"/>
          <w:szCs w:val="24"/>
          <w:highlight w:val="none"/>
          <w:lang w:val="en-US" w:eastAsia="zh-CN"/>
        </w:rPr>
        <w:t>三</w:t>
      </w:r>
      <w:r>
        <w:rPr>
          <w:rFonts w:hint="eastAsia" w:ascii="仿宋" w:hAnsi="仿宋" w:eastAsia="仿宋" w:cs="仿宋"/>
          <w:b/>
          <w:bCs w:val="0"/>
          <w:color w:val="auto"/>
          <w:sz w:val="24"/>
          <w:szCs w:val="24"/>
          <w:highlight w:val="none"/>
        </w:rPr>
        <w:t xml:space="preserve">条  </w:t>
      </w:r>
      <w:r>
        <w:rPr>
          <w:rFonts w:hint="eastAsia" w:ascii="仿宋" w:hAnsi="仿宋" w:eastAsia="仿宋" w:cs="仿宋"/>
          <w:b/>
          <w:bCs w:val="0"/>
          <w:color w:val="auto"/>
          <w:sz w:val="24"/>
          <w:szCs w:val="24"/>
          <w:highlight w:val="none"/>
          <w:lang w:val="en-US" w:eastAsia="zh-CN"/>
        </w:rPr>
        <w:t>付款方式、时间及条件</w:t>
      </w:r>
      <w:bookmarkEnd w:id="4"/>
      <w:bookmarkEnd w:id="5"/>
    </w:p>
    <w:p>
      <w:pPr>
        <w:keepNext w:val="0"/>
        <w:keepLines w:val="0"/>
        <w:pageBreakBefore w:val="0"/>
        <w:widowControl w:val="0"/>
        <w:numPr>
          <w:ilvl w:val="0"/>
          <w:numId w:val="0"/>
        </w:numPr>
        <w:tabs>
          <w:tab w:val="left" w:pos="1379"/>
        </w:tabs>
        <w:kinsoku/>
        <w:wordWrap/>
        <w:overflowPunct/>
        <w:topLinePunct w:val="0"/>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lang w:eastAsia="zh-CN"/>
        </w:rPr>
      </w:pPr>
      <w:bookmarkStart w:id="6" w:name="_Toc25736"/>
      <w:bookmarkStart w:id="7" w:name="_Toc32672"/>
      <w:r>
        <w:rPr>
          <w:rFonts w:hint="eastAsia" w:ascii="仿宋" w:hAnsi="仿宋" w:eastAsia="仿宋" w:cs="仿宋"/>
          <w:color w:val="auto"/>
          <w:sz w:val="24"/>
          <w:szCs w:val="24"/>
          <w:highlight w:val="none"/>
          <w:lang w:eastAsia="zh-CN"/>
        </w:rPr>
        <w:t>1.预付款，合同签订后，达到付款条件起7个工作日内，支付合同总金额的50.0</w:t>
      </w:r>
      <w:r>
        <w:rPr>
          <w:rFonts w:hint="eastAsia" w:ascii="仿宋" w:hAnsi="仿宋" w:eastAsia="仿宋" w:cs="仿宋"/>
          <w:color w:val="auto"/>
          <w:sz w:val="24"/>
          <w:szCs w:val="24"/>
          <w:highlight w:val="none"/>
          <w:lang w:val="en-US" w:eastAsia="zh-CN"/>
        </w:rPr>
        <w:t>0</w:t>
      </w:r>
      <w:r>
        <w:rPr>
          <w:rFonts w:hint="eastAsia" w:ascii="仿宋" w:hAnsi="仿宋" w:eastAsia="仿宋" w:cs="仿宋"/>
          <w:color w:val="auto"/>
          <w:sz w:val="24"/>
          <w:szCs w:val="24"/>
          <w:highlight w:val="none"/>
          <w:lang w:eastAsia="zh-CN"/>
        </w:rPr>
        <w:t>%</w:t>
      </w:r>
    </w:p>
    <w:p>
      <w:pPr>
        <w:keepNext w:val="0"/>
        <w:keepLines w:val="0"/>
        <w:pageBreakBefore w:val="0"/>
        <w:widowControl w:val="0"/>
        <w:numPr>
          <w:ilvl w:val="0"/>
          <w:numId w:val="0"/>
        </w:numPr>
        <w:tabs>
          <w:tab w:val="left" w:pos="1379"/>
        </w:tabs>
        <w:kinsoku/>
        <w:wordWrap/>
        <w:overflowPunct/>
        <w:topLinePunct w:val="0"/>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2.进度款，服务期结束且经采购人验收合格后，达到付款条件起7个工作日内，支付合同总金额的50.00</w:t>
      </w:r>
      <w:r>
        <w:rPr>
          <w:rFonts w:hint="default" w:ascii="仿宋" w:hAnsi="仿宋" w:eastAsia="仿宋" w:cs="仿宋"/>
          <w:color w:val="auto"/>
          <w:sz w:val="24"/>
          <w:szCs w:val="24"/>
          <w:highlight w:val="none"/>
          <w:lang w:val="en-US" w:eastAsia="zh-CN"/>
        </w:rPr>
        <w:t>%</w:t>
      </w:r>
    </w:p>
    <w:p>
      <w:pPr>
        <w:keepNext w:val="0"/>
        <w:keepLines w:val="0"/>
        <w:pageBreakBefore w:val="0"/>
        <w:widowControl w:val="0"/>
        <w:numPr>
          <w:ilvl w:val="0"/>
          <w:numId w:val="0"/>
        </w:numPr>
        <w:tabs>
          <w:tab w:val="left" w:pos="1379"/>
        </w:tabs>
        <w:kinsoku/>
        <w:wordWrap/>
        <w:overflowPunct/>
        <w:topLinePunct w:val="0"/>
        <w:bidi w:val="0"/>
        <w:adjustRightInd/>
        <w:snapToGrid/>
        <w:spacing w:line="360" w:lineRule="auto"/>
        <w:ind w:firstLine="482" w:firstLineChars="200"/>
        <w:textAlignment w:val="auto"/>
        <w:outlineLvl w:val="1"/>
        <w:rPr>
          <w:rFonts w:hint="eastAsia" w:ascii="仿宋" w:hAnsi="仿宋" w:eastAsia="仿宋" w:cs="仿宋"/>
          <w:b/>
          <w:bCs w:val="0"/>
          <w:color w:val="auto"/>
          <w:sz w:val="24"/>
          <w:szCs w:val="24"/>
          <w:highlight w:val="none"/>
          <w:lang w:val="en-US" w:eastAsia="zh-CN"/>
        </w:rPr>
      </w:pPr>
      <w:r>
        <w:rPr>
          <w:rFonts w:hint="eastAsia" w:ascii="仿宋" w:hAnsi="仿宋" w:eastAsia="仿宋" w:cs="仿宋"/>
          <w:b/>
          <w:bCs w:val="0"/>
          <w:color w:val="auto"/>
          <w:sz w:val="24"/>
          <w:szCs w:val="24"/>
          <w:highlight w:val="none"/>
        </w:rPr>
        <w:t>第</w:t>
      </w:r>
      <w:r>
        <w:rPr>
          <w:rFonts w:hint="eastAsia" w:ascii="仿宋" w:hAnsi="仿宋" w:eastAsia="仿宋" w:cs="仿宋"/>
          <w:b/>
          <w:bCs w:val="0"/>
          <w:color w:val="auto"/>
          <w:sz w:val="24"/>
          <w:szCs w:val="24"/>
          <w:highlight w:val="none"/>
          <w:lang w:val="en-US" w:eastAsia="zh-CN"/>
        </w:rPr>
        <w:t>四</w:t>
      </w:r>
      <w:r>
        <w:rPr>
          <w:rFonts w:hint="eastAsia" w:ascii="仿宋" w:hAnsi="仿宋" w:eastAsia="仿宋" w:cs="仿宋"/>
          <w:b/>
          <w:bCs w:val="0"/>
          <w:color w:val="auto"/>
          <w:sz w:val="24"/>
          <w:szCs w:val="24"/>
          <w:highlight w:val="none"/>
        </w:rPr>
        <w:t xml:space="preserve">条 </w:t>
      </w:r>
      <w:r>
        <w:rPr>
          <w:rFonts w:hint="eastAsia" w:ascii="仿宋" w:hAnsi="仿宋" w:eastAsia="仿宋" w:cs="仿宋"/>
          <w:b/>
          <w:bCs w:val="0"/>
          <w:color w:val="auto"/>
          <w:sz w:val="24"/>
          <w:szCs w:val="24"/>
          <w:highlight w:val="none"/>
          <w:lang w:val="en-US" w:eastAsia="zh-CN"/>
        </w:rPr>
        <w:t>服务时间、地点、</w:t>
      </w:r>
      <w:bookmarkEnd w:id="6"/>
      <w:bookmarkEnd w:id="7"/>
      <w:r>
        <w:rPr>
          <w:rFonts w:hint="eastAsia" w:ascii="仿宋" w:hAnsi="仿宋" w:eastAsia="仿宋" w:cs="仿宋"/>
          <w:b/>
          <w:bCs w:val="0"/>
          <w:color w:val="auto"/>
          <w:sz w:val="24"/>
          <w:szCs w:val="24"/>
          <w:highlight w:val="none"/>
          <w:lang w:val="en-US" w:eastAsia="zh-CN"/>
        </w:rPr>
        <w:t>交付条件</w:t>
      </w:r>
    </w:p>
    <w:p>
      <w:pPr>
        <w:keepNext w:val="0"/>
        <w:keepLines w:val="0"/>
        <w:pageBreakBefore w:val="0"/>
        <w:widowControl w:val="0"/>
        <w:tabs>
          <w:tab w:val="left" w:pos="1379"/>
        </w:tabs>
        <w:kinsoku/>
        <w:wordWrap/>
        <w:overflowPunct/>
        <w:topLinePunct w:val="0"/>
        <w:bidi w:val="0"/>
        <w:adjustRightInd/>
        <w:snapToGrid/>
        <w:spacing w:line="360" w:lineRule="auto"/>
        <w:ind w:firstLine="480" w:firstLineChars="200"/>
        <w:textAlignment w:val="auto"/>
        <w:rPr>
          <w:rFonts w:hint="eastAsia" w:ascii="仿宋" w:hAnsi="仿宋" w:eastAsia="仿宋" w:cs="仿宋"/>
          <w:color w:val="auto"/>
          <w:sz w:val="24"/>
          <w:szCs w:val="24"/>
          <w:highlight w:val="none"/>
          <w:u w:val="single"/>
        </w:rPr>
      </w:pPr>
      <w:bookmarkStart w:id="8" w:name="_Toc239568418"/>
      <w:bookmarkStart w:id="9" w:name="_Toc185395249"/>
      <w:bookmarkStart w:id="10" w:name="_Toc232492928"/>
      <w:bookmarkStart w:id="11" w:name="_Toc237145406"/>
      <w:bookmarkStart w:id="12" w:name="_Toc282696226"/>
      <w:bookmarkStart w:id="13" w:name="_Toc211854449"/>
      <w:bookmarkStart w:id="14" w:name="_Toc283019214"/>
      <w:bookmarkStart w:id="15" w:name="_Toc251768862"/>
      <w:bookmarkStart w:id="16" w:name="_Toc247334841"/>
      <w:bookmarkStart w:id="17" w:name="_Toc286993786"/>
      <w:bookmarkStart w:id="18" w:name="_Toc211911348"/>
      <w:bookmarkStart w:id="19" w:name="_Toc225670751"/>
      <w:bookmarkStart w:id="20" w:name="_Toc212019594"/>
      <w:bookmarkStart w:id="21" w:name="_Toc239233914"/>
      <w:bookmarkStart w:id="22" w:name="_Toc225654644"/>
      <w:bookmarkStart w:id="23" w:name="_Toc238984975"/>
      <w:bookmarkStart w:id="24" w:name="_Toc225244852"/>
      <w:bookmarkStart w:id="25" w:name="_Toc241833903"/>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.服务期限：</w:t>
      </w:r>
      <w:r>
        <w:rPr>
          <w:rFonts w:hint="eastAsia" w:ascii="仿宋" w:hAnsi="仿宋" w:eastAsia="仿宋" w:cs="仿宋"/>
          <w:color w:val="auto"/>
          <w:sz w:val="24"/>
          <w:szCs w:val="24"/>
          <w:highlight w:val="none"/>
          <w:u w:val="single"/>
        </w:rPr>
        <w:t>自合同签订之日起至2027年6月30日止，完成本项目全部服务内容</w:t>
      </w:r>
    </w:p>
    <w:p>
      <w:pPr>
        <w:keepNext w:val="0"/>
        <w:keepLines w:val="0"/>
        <w:pageBreakBefore w:val="0"/>
        <w:widowControl w:val="0"/>
        <w:tabs>
          <w:tab w:val="left" w:pos="1379"/>
        </w:tabs>
        <w:kinsoku/>
        <w:wordWrap/>
        <w:overflowPunct/>
        <w:topLinePunct w:val="0"/>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.服务</w:t>
      </w:r>
      <w:r>
        <w:rPr>
          <w:rFonts w:hint="eastAsia" w:ascii="仿宋" w:hAnsi="仿宋" w:eastAsia="仿宋" w:cs="仿宋"/>
          <w:color w:val="auto"/>
          <w:sz w:val="24"/>
          <w:szCs w:val="24"/>
          <w:highlight w:val="none"/>
        </w:rPr>
        <w:t>地点：</w:t>
      </w:r>
      <w:r>
        <w:rPr>
          <w:rFonts w:hint="eastAsia" w:ascii="仿宋" w:hAnsi="仿宋" w:eastAsia="仿宋" w:cs="仿宋"/>
          <w:color w:val="auto"/>
          <w:sz w:val="24"/>
          <w:szCs w:val="24"/>
          <w:highlight w:val="none"/>
          <w:u w:val="single"/>
          <w:lang w:val="en-US" w:eastAsia="zh-CN"/>
        </w:rPr>
        <w:t>甲方指定地点</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p>
      <w:pPr>
        <w:pStyle w:val="8"/>
        <w:keepNext w:val="0"/>
        <w:keepLines w:val="0"/>
        <w:pageBreakBefore w:val="0"/>
        <w:widowControl w:val="0"/>
        <w:kinsoku/>
        <w:wordWrap/>
        <w:overflowPunct/>
        <w:topLinePunct w:val="0"/>
        <w:bidi w:val="0"/>
        <w:adjustRightInd/>
        <w:snapToGrid/>
        <w:spacing w:line="360" w:lineRule="auto"/>
        <w:textAlignment w:val="auto"/>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val="en-US" w:eastAsia="zh-CN"/>
        </w:rPr>
        <w:t>3.交付条件：</w:t>
      </w:r>
      <w:r>
        <w:rPr>
          <w:rFonts w:hint="eastAsia" w:ascii="仿宋" w:hAnsi="仿宋" w:eastAsia="仿宋" w:cs="仿宋"/>
          <w:color w:val="auto"/>
          <w:sz w:val="24"/>
          <w:szCs w:val="24"/>
          <w:highlight w:val="none"/>
          <w:u w:val="single"/>
        </w:rPr>
        <w:t>本次所有服务工作完成</w:t>
      </w:r>
      <w:r>
        <w:rPr>
          <w:rFonts w:hint="eastAsia" w:ascii="仿宋" w:hAnsi="仿宋" w:eastAsia="仿宋" w:cs="仿宋"/>
          <w:color w:val="auto"/>
          <w:sz w:val="24"/>
          <w:szCs w:val="24"/>
          <w:highlight w:val="none"/>
          <w:u w:val="single"/>
          <w:lang w:val="en-US" w:eastAsia="zh-CN"/>
        </w:rPr>
        <w:t xml:space="preserve">                   </w:t>
      </w:r>
    </w:p>
    <w:p>
      <w:pPr>
        <w:pStyle w:val="8"/>
        <w:keepNext w:val="0"/>
        <w:keepLines w:val="0"/>
        <w:pageBreakBefore w:val="0"/>
        <w:widowControl w:val="0"/>
        <w:kinsoku/>
        <w:wordWrap/>
        <w:overflowPunct/>
        <w:topLinePunct w:val="0"/>
        <w:bidi w:val="0"/>
        <w:adjustRightInd/>
        <w:snapToGrid/>
        <w:spacing w:line="360" w:lineRule="auto"/>
        <w:textAlignment w:val="auto"/>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u w:val="none"/>
          <w:lang w:val="en-US" w:eastAsia="zh-CN"/>
        </w:rPr>
        <w:t>甲方联系人：</w:t>
      </w:r>
      <w:r>
        <w:rPr>
          <w:rFonts w:hint="eastAsia" w:ascii="仿宋" w:hAnsi="仿宋" w:eastAsia="仿宋" w:cs="仿宋"/>
          <w:color w:val="auto"/>
          <w:sz w:val="24"/>
          <w:szCs w:val="24"/>
          <w:highlight w:val="none"/>
          <w:u w:val="single"/>
          <w:lang w:val="en-US" w:eastAsia="zh-CN"/>
        </w:rPr>
        <w:t xml:space="preserve">      （姓名，联系方式）              </w:t>
      </w:r>
      <w:r>
        <w:rPr>
          <w:rFonts w:hint="eastAsia"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 xml:space="preserve"> </w:t>
      </w:r>
    </w:p>
    <w:p>
      <w:pPr>
        <w:pStyle w:val="8"/>
        <w:keepNext w:val="0"/>
        <w:keepLines w:val="0"/>
        <w:pageBreakBefore w:val="0"/>
        <w:widowControl w:val="0"/>
        <w:kinsoku/>
        <w:wordWrap/>
        <w:overflowPunct/>
        <w:topLinePunct w:val="0"/>
        <w:bidi w:val="0"/>
        <w:adjustRightInd/>
        <w:snapToGrid/>
        <w:spacing w:line="360" w:lineRule="auto"/>
        <w:textAlignment w:val="auto"/>
        <w:rPr>
          <w:rFonts w:hint="eastAsia" w:ascii="仿宋" w:hAnsi="仿宋" w:eastAsia="仿宋" w:cs="仿宋"/>
          <w:b/>
          <w:color w:val="auto"/>
          <w:sz w:val="24"/>
          <w:szCs w:val="24"/>
          <w:highlight w:val="none"/>
        </w:rPr>
      </w:pPr>
      <w:r>
        <w:rPr>
          <w:rFonts w:hint="eastAsia" w:ascii="仿宋" w:hAnsi="仿宋" w:eastAsia="仿宋" w:cs="仿宋"/>
          <w:color w:val="auto"/>
          <w:sz w:val="24"/>
          <w:szCs w:val="24"/>
          <w:highlight w:val="none"/>
          <w:u w:val="none"/>
          <w:lang w:val="en-US" w:eastAsia="zh-CN"/>
        </w:rPr>
        <w:t>乙方联系人：</w:t>
      </w:r>
      <w:r>
        <w:rPr>
          <w:rFonts w:hint="eastAsia" w:ascii="仿宋" w:hAnsi="仿宋" w:eastAsia="仿宋" w:cs="仿宋"/>
          <w:color w:val="auto"/>
          <w:sz w:val="24"/>
          <w:szCs w:val="24"/>
          <w:highlight w:val="none"/>
          <w:u w:val="single"/>
          <w:lang w:val="en-US" w:eastAsia="zh-CN"/>
        </w:rPr>
        <w:t xml:space="preserve">      （姓名，联系方式）            </w:t>
      </w:r>
      <w:r>
        <w:rPr>
          <w:rFonts w:hint="eastAsia"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 xml:space="preserve"> </w:t>
      </w:r>
    </w:p>
    <w:p>
      <w:pPr>
        <w:keepNext w:val="0"/>
        <w:keepLines w:val="0"/>
        <w:pageBreakBefore w:val="0"/>
        <w:tabs>
          <w:tab w:val="left" w:pos="1379"/>
        </w:tabs>
        <w:kinsoku/>
        <w:overflowPunct/>
        <w:topLinePunct w:val="0"/>
        <w:bidi w:val="0"/>
        <w:adjustRightInd/>
        <w:snapToGrid/>
        <w:spacing w:line="360" w:lineRule="auto"/>
        <w:ind w:firstLine="482" w:firstLineChars="200"/>
        <w:outlineLvl w:val="1"/>
        <w:rPr>
          <w:rFonts w:hint="eastAsia" w:ascii="仿宋" w:hAnsi="仿宋" w:eastAsia="仿宋" w:cs="仿宋"/>
          <w:b/>
          <w:bCs w:val="0"/>
          <w:color w:val="auto"/>
          <w:sz w:val="24"/>
          <w:szCs w:val="24"/>
          <w:highlight w:val="none"/>
          <w:lang w:val="en-US" w:eastAsia="zh-CN"/>
        </w:rPr>
      </w:pPr>
      <w:bookmarkStart w:id="26" w:name="_Toc5091"/>
      <w:bookmarkStart w:id="27" w:name="_Toc28705"/>
      <w:r>
        <w:rPr>
          <w:rFonts w:hint="eastAsia" w:ascii="仿宋" w:hAnsi="仿宋" w:eastAsia="仿宋" w:cs="仿宋"/>
          <w:b/>
          <w:bCs w:val="0"/>
          <w:color w:val="auto"/>
          <w:sz w:val="24"/>
          <w:szCs w:val="24"/>
          <w:highlight w:val="none"/>
        </w:rPr>
        <w:t>第</w:t>
      </w:r>
      <w:r>
        <w:rPr>
          <w:rFonts w:hint="eastAsia" w:ascii="仿宋" w:hAnsi="仿宋" w:eastAsia="仿宋" w:cs="仿宋"/>
          <w:b/>
          <w:bCs w:val="0"/>
          <w:color w:val="auto"/>
          <w:sz w:val="24"/>
          <w:szCs w:val="24"/>
          <w:highlight w:val="none"/>
          <w:lang w:val="en-US" w:eastAsia="zh-CN"/>
        </w:rPr>
        <w:t>五</w:t>
      </w:r>
      <w:r>
        <w:rPr>
          <w:rFonts w:hint="eastAsia" w:ascii="仿宋" w:hAnsi="仿宋" w:eastAsia="仿宋" w:cs="仿宋"/>
          <w:b/>
          <w:bCs w:val="0"/>
          <w:color w:val="auto"/>
          <w:sz w:val="24"/>
          <w:szCs w:val="24"/>
          <w:highlight w:val="none"/>
        </w:rPr>
        <w:t>条</w:t>
      </w:r>
      <w:r>
        <w:rPr>
          <w:rFonts w:hint="eastAsia" w:ascii="仿宋" w:hAnsi="仿宋" w:eastAsia="仿宋" w:cs="仿宋"/>
          <w:b/>
          <w:bCs w:val="0"/>
          <w:color w:val="auto"/>
          <w:sz w:val="24"/>
          <w:szCs w:val="24"/>
          <w:highlight w:val="none"/>
          <w:lang w:val="en-US" w:eastAsia="zh-CN"/>
        </w:rPr>
        <w:t xml:space="preserve"> 质量保证及售后服务</w:t>
      </w:r>
      <w:bookmarkEnd w:id="26"/>
      <w:bookmarkEnd w:id="27"/>
    </w:p>
    <w:p>
      <w:pPr>
        <w:pStyle w:val="7"/>
        <w:keepNext w:val="0"/>
        <w:keepLines w:val="0"/>
        <w:pageBreakBefore w:val="0"/>
        <w:kinsoku/>
        <w:overflowPunct/>
        <w:topLinePunct w:val="0"/>
        <w:bidi w:val="0"/>
        <w:adjustRightInd/>
        <w:snapToGrid/>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质量保证</w:t>
      </w:r>
      <w:r>
        <w:rPr>
          <w:rFonts w:hint="eastAsia" w:ascii="仿宋" w:hAnsi="仿宋" w:eastAsia="仿宋" w:cs="仿宋"/>
          <w:color w:val="auto"/>
          <w:sz w:val="24"/>
          <w:szCs w:val="24"/>
          <w:highlight w:val="none"/>
        </w:rPr>
        <w:t>：乙方应保证所提供的服务，符合</w:t>
      </w:r>
      <w:r>
        <w:rPr>
          <w:rFonts w:hint="eastAsia" w:ascii="仿宋" w:hAnsi="仿宋" w:eastAsia="仿宋" w:cs="仿宋"/>
          <w:color w:val="auto"/>
          <w:sz w:val="24"/>
          <w:szCs w:val="24"/>
          <w:highlight w:val="none"/>
          <w:lang w:val="en-US" w:eastAsia="zh-CN"/>
        </w:rPr>
        <w:t>甲方的</w:t>
      </w:r>
      <w:r>
        <w:rPr>
          <w:rFonts w:hint="eastAsia" w:ascii="仿宋" w:hAnsi="仿宋" w:eastAsia="仿宋" w:cs="仿宋"/>
          <w:color w:val="auto"/>
          <w:sz w:val="24"/>
          <w:szCs w:val="24"/>
          <w:highlight w:val="none"/>
        </w:rPr>
        <w:t>要求。如不符时，乙方应负全责并尽快处理解决，由此造成的损失和相关费用由乙方负责，甲方保留终止合同及索赔的权利。</w:t>
      </w:r>
    </w:p>
    <w:p>
      <w:pPr>
        <w:pStyle w:val="7"/>
        <w:keepNext w:val="0"/>
        <w:keepLines w:val="0"/>
        <w:pageBreakBefore w:val="0"/>
        <w:kinsoku/>
        <w:overflowPunct/>
        <w:topLinePunct w:val="0"/>
        <w:bidi w:val="0"/>
        <w:adjustRightInd/>
        <w:snapToGrid/>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售后服务：</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w:t>
      </w:r>
    </w:p>
    <w:p>
      <w:pPr>
        <w:pStyle w:val="7"/>
        <w:keepNext w:val="0"/>
        <w:keepLines w:val="0"/>
        <w:pageBreakBefore w:val="0"/>
        <w:numPr>
          <w:ilvl w:val="0"/>
          <w:numId w:val="2"/>
        </w:numPr>
        <w:kinsoku/>
        <w:overflowPunct/>
        <w:topLinePunct w:val="0"/>
        <w:bidi w:val="0"/>
        <w:adjustRightInd/>
        <w:snapToGrid/>
        <w:spacing w:line="360" w:lineRule="auto"/>
        <w:ind w:firstLine="482" w:firstLineChars="200"/>
        <w:outlineLvl w:val="1"/>
        <w:rPr>
          <w:rFonts w:hint="eastAsia" w:ascii="仿宋" w:hAnsi="仿宋" w:eastAsia="仿宋" w:cs="仿宋"/>
          <w:b/>
          <w:bCs w:val="0"/>
          <w:color w:val="auto"/>
          <w:sz w:val="24"/>
          <w:szCs w:val="24"/>
          <w:highlight w:val="none"/>
          <w:lang w:val="en-US" w:eastAsia="zh-CN"/>
        </w:rPr>
      </w:pPr>
      <w:r>
        <w:rPr>
          <w:rFonts w:hint="eastAsia" w:ascii="仿宋" w:hAnsi="仿宋" w:eastAsia="仿宋" w:cs="仿宋"/>
          <w:b/>
          <w:bCs w:val="0"/>
          <w:color w:val="auto"/>
          <w:sz w:val="24"/>
          <w:szCs w:val="24"/>
          <w:highlight w:val="none"/>
        </w:rPr>
        <w:t xml:space="preserve"> </w:t>
      </w:r>
      <w:bookmarkStart w:id="28" w:name="_Toc27776"/>
      <w:bookmarkStart w:id="29" w:name="_Toc29761"/>
      <w:r>
        <w:rPr>
          <w:rFonts w:hint="eastAsia" w:ascii="仿宋" w:hAnsi="仿宋" w:eastAsia="仿宋" w:cs="仿宋"/>
          <w:b/>
          <w:bCs w:val="0"/>
          <w:color w:val="auto"/>
          <w:sz w:val="24"/>
          <w:szCs w:val="24"/>
          <w:highlight w:val="none"/>
          <w:lang w:val="en-US" w:eastAsia="zh-CN"/>
        </w:rPr>
        <w:t>验收</w:t>
      </w:r>
      <w:bookmarkEnd w:id="28"/>
      <w:bookmarkEnd w:id="29"/>
    </w:p>
    <w:p>
      <w:pPr>
        <w:pStyle w:val="7"/>
        <w:keepNext w:val="0"/>
        <w:keepLines w:val="0"/>
        <w:pageBreakBefore w:val="0"/>
        <w:numPr>
          <w:ilvl w:val="0"/>
          <w:numId w:val="0"/>
        </w:numPr>
        <w:kinsoku/>
        <w:overflowPunct/>
        <w:topLinePunct w:val="0"/>
        <w:bidi w:val="0"/>
        <w:adjustRightInd/>
        <w:snapToGrid/>
        <w:spacing w:line="360" w:lineRule="auto"/>
        <w:ind w:firstLine="480" w:firstLineChars="200"/>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乙方完成服务后应及时通知甲方进行验收。验收合格的，甲方在验收合格单上签字；验收不合格的，乙方应当在7日内进行返工或调整，并重新提交甲方验收。</w:t>
      </w:r>
    </w:p>
    <w:p>
      <w:pPr>
        <w:pStyle w:val="7"/>
        <w:keepNext w:val="0"/>
        <w:keepLines w:val="0"/>
        <w:pageBreakBefore w:val="0"/>
        <w:numPr>
          <w:ilvl w:val="0"/>
          <w:numId w:val="0"/>
        </w:numPr>
        <w:kinsoku/>
        <w:overflowPunct/>
        <w:topLinePunct w:val="0"/>
        <w:bidi w:val="0"/>
        <w:adjustRightInd/>
        <w:snapToGrid/>
        <w:spacing w:line="360" w:lineRule="auto"/>
        <w:ind w:firstLine="482" w:firstLineChars="200"/>
        <w:outlineLvl w:val="1"/>
        <w:rPr>
          <w:rFonts w:hint="eastAsia" w:ascii="仿宋" w:hAnsi="仿宋" w:eastAsia="仿宋" w:cs="仿宋"/>
          <w:b/>
          <w:bCs w:val="0"/>
          <w:color w:val="auto"/>
          <w:sz w:val="24"/>
          <w:szCs w:val="24"/>
          <w:highlight w:val="none"/>
        </w:rPr>
      </w:pPr>
      <w:bookmarkStart w:id="30" w:name="_Toc23750"/>
      <w:bookmarkStart w:id="31" w:name="_Toc19571"/>
      <w:r>
        <w:rPr>
          <w:rFonts w:hint="eastAsia" w:ascii="仿宋" w:hAnsi="仿宋" w:eastAsia="仿宋" w:cs="仿宋"/>
          <w:b/>
          <w:bCs w:val="0"/>
          <w:color w:val="auto"/>
          <w:sz w:val="24"/>
          <w:szCs w:val="24"/>
          <w:highlight w:val="none"/>
        </w:rPr>
        <w:t>第七条  无产权瑕疵条款</w:t>
      </w:r>
      <w:bookmarkEnd w:id="30"/>
      <w:bookmarkEnd w:id="31"/>
    </w:p>
    <w:p>
      <w:pPr>
        <w:keepNext w:val="0"/>
        <w:keepLines w:val="0"/>
        <w:pageBreakBefore w:val="0"/>
        <w:tabs>
          <w:tab w:val="left" w:pos="1440"/>
        </w:tabs>
        <w:kinsoku/>
        <w:overflowPunct/>
        <w:topLinePunct w:val="0"/>
        <w:bidi w:val="0"/>
        <w:adjustRightInd/>
        <w:snapToGrid/>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乙方保证所提供的服务的所有权完全属于乙方且无任何抵押、查封等产权瑕疵。如有产权瑕疵的，视为乙方违约。乙方应负担由此而产生的一切损失。</w:t>
      </w:r>
    </w:p>
    <w:p>
      <w:pPr>
        <w:keepNext w:val="0"/>
        <w:keepLines w:val="0"/>
        <w:pageBreakBefore w:val="0"/>
        <w:kinsoku/>
        <w:overflowPunct/>
        <w:topLinePunct w:val="0"/>
        <w:bidi w:val="0"/>
        <w:adjustRightInd/>
        <w:snapToGrid/>
        <w:spacing w:line="360" w:lineRule="auto"/>
        <w:ind w:firstLine="482" w:firstLineChars="200"/>
        <w:textAlignment w:val="baseline"/>
        <w:outlineLvl w:val="1"/>
        <w:rPr>
          <w:rFonts w:hint="eastAsia" w:ascii="仿宋" w:hAnsi="仿宋" w:eastAsia="仿宋" w:cs="仿宋"/>
          <w:b/>
          <w:bCs w:val="0"/>
          <w:color w:val="auto"/>
          <w:sz w:val="24"/>
          <w:szCs w:val="24"/>
          <w:highlight w:val="none"/>
        </w:rPr>
      </w:pPr>
      <w:bookmarkStart w:id="32" w:name="_Toc18315"/>
      <w:bookmarkStart w:id="33" w:name="_Toc12634"/>
      <w:r>
        <w:rPr>
          <w:rFonts w:hint="eastAsia" w:ascii="仿宋" w:hAnsi="仿宋" w:eastAsia="仿宋" w:cs="仿宋"/>
          <w:b/>
          <w:bCs w:val="0"/>
          <w:color w:val="auto"/>
          <w:sz w:val="24"/>
          <w:szCs w:val="24"/>
          <w:highlight w:val="none"/>
        </w:rPr>
        <w:t>第八条  甲方的权利和义务</w:t>
      </w:r>
      <w:bookmarkEnd w:id="32"/>
      <w:bookmarkEnd w:id="33"/>
    </w:p>
    <w:p>
      <w:pPr>
        <w:keepNext w:val="0"/>
        <w:keepLines w:val="0"/>
        <w:pageBreakBefore w:val="0"/>
        <w:kinsoku/>
        <w:overflowPunct/>
        <w:topLinePunct w:val="0"/>
        <w:bidi w:val="0"/>
        <w:adjustRightInd/>
        <w:snapToGrid/>
        <w:spacing w:line="360" w:lineRule="auto"/>
        <w:ind w:firstLine="480" w:firstLineChars="200"/>
        <w:textAlignment w:val="baseline"/>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1.甲方有权对合同规定范围内乙方的服务行为进行监督和检查，拥有监管权。有权定期核对乙方提供服务所配备的人员数量。对甲方认为不合理的部分有权下达整改通知书，并要求乙方限期整改。</w:t>
      </w:r>
    </w:p>
    <w:p>
      <w:pPr>
        <w:keepNext w:val="0"/>
        <w:keepLines w:val="0"/>
        <w:pageBreakBefore w:val="0"/>
        <w:kinsoku/>
        <w:overflowPunct/>
        <w:topLinePunct w:val="0"/>
        <w:bidi w:val="0"/>
        <w:adjustRightInd/>
        <w:snapToGrid/>
        <w:spacing w:line="360" w:lineRule="auto"/>
        <w:ind w:firstLine="480" w:firstLineChars="200"/>
        <w:textAlignment w:val="baseline"/>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2.甲方有权依据双方签订的考评办法对乙方提供的服务进行定期考评。当考评结果未达到标准时，有权依据考评办法约定的数额扣除履约保证金。</w:t>
      </w:r>
    </w:p>
    <w:p>
      <w:pPr>
        <w:keepNext w:val="0"/>
        <w:keepLines w:val="0"/>
        <w:pageBreakBefore w:val="0"/>
        <w:kinsoku/>
        <w:overflowPunct/>
        <w:topLinePunct w:val="0"/>
        <w:bidi w:val="0"/>
        <w:adjustRightInd/>
        <w:snapToGrid/>
        <w:spacing w:line="360" w:lineRule="auto"/>
        <w:ind w:firstLine="480" w:firstLineChars="200"/>
        <w:textAlignment w:val="baseline"/>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3.负责检查监督乙方管理工作的实施及制度的执行情况。</w:t>
      </w:r>
    </w:p>
    <w:p>
      <w:pPr>
        <w:keepNext w:val="0"/>
        <w:keepLines w:val="0"/>
        <w:pageBreakBefore w:val="0"/>
        <w:kinsoku/>
        <w:overflowPunct/>
        <w:topLinePunct w:val="0"/>
        <w:bidi w:val="0"/>
        <w:adjustRightInd/>
        <w:snapToGrid/>
        <w:spacing w:line="360" w:lineRule="auto"/>
        <w:ind w:firstLine="480" w:firstLineChars="200"/>
        <w:textAlignment w:val="baseline"/>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4.根据本合同规定，按时向乙方支付应付服务费用。</w:t>
      </w:r>
    </w:p>
    <w:p>
      <w:pPr>
        <w:keepNext w:val="0"/>
        <w:keepLines w:val="0"/>
        <w:pageBreakBefore w:val="0"/>
        <w:kinsoku/>
        <w:overflowPunct/>
        <w:topLinePunct w:val="0"/>
        <w:bidi w:val="0"/>
        <w:adjustRightInd/>
        <w:snapToGrid/>
        <w:spacing w:line="360" w:lineRule="auto"/>
        <w:ind w:firstLine="480" w:firstLineChars="200"/>
        <w:textAlignment w:val="baseline"/>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5.国家法律、法规所规定由甲方承担的其它责任。</w:t>
      </w:r>
    </w:p>
    <w:p>
      <w:pPr>
        <w:keepNext w:val="0"/>
        <w:keepLines w:val="0"/>
        <w:pageBreakBefore w:val="0"/>
        <w:tabs>
          <w:tab w:val="left" w:pos="1379"/>
        </w:tabs>
        <w:kinsoku/>
        <w:overflowPunct/>
        <w:topLinePunct w:val="0"/>
        <w:bidi w:val="0"/>
        <w:adjustRightInd/>
        <w:snapToGrid/>
        <w:spacing w:line="360" w:lineRule="auto"/>
        <w:ind w:firstLine="482" w:firstLineChars="200"/>
        <w:outlineLvl w:val="1"/>
        <w:rPr>
          <w:rFonts w:hint="eastAsia" w:ascii="仿宋" w:hAnsi="仿宋" w:eastAsia="仿宋" w:cs="仿宋"/>
          <w:b/>
          <w:bCs w:val="0"/>
          <w:color w:val="auto"/>
          <w:sz w:val="24"/>
          <w:szCs w:val="24"/>
          <w:highlight w:val="none"/>
        </w:rPr>
      </w:pPr>
      <w:bookmarkStart w:id="34" w:name="_Toc5806"/>
      <w:r>
        <w:rPr>
          <w:rFonts w:hint="eastAsia" w:ascii="仿宋" w:hAnsi="仿宋" w:eastAsia="仿宋" w:cs="仿宋"/>
          <w:b/>
          <w:bCs w:val="0"/>
          <w:color w:val="auto"/>
          <w:sz w:val="24"/>
          <w:szCs w:val="24"/>
          <w:highlight w:val="none"/>
          <w:lang w:val="en-US" w:eastAsia="zh-CN"/>
        </w:rPr>
        <w:t>第九</w:t>
      </w:r>
      <w:r>
        <w:rPr>
          <w:rFonts w:hint="eastAsia" w:ascii="仿宋" w:hAnsi="仿宋" w:eastAsia="仿宋" w:cs="仿宋"/>
          <w:b/>
          <w:bCs w:val="0"/>
          <w:color w:val="auto"/>
          <w:sz w:val="24"/>
          <w:szCs w:val="24"/>
          <w:highlight w:val="none"/>
        </w:rPr>
        <w:t>条  乙方的权利和义务</w:t>
      </w:r>
      <w:bookmarkEnd w:id="34"/>
    </w:p>
    <w:p>
      <w:pPr>
        <w:keepNext w:val="0"/>
        <w:keepLines w:val="0"/>
        <w:pageBreakBefore w:val="0"/>
        <w:kinsoku/>
        <w:overflowPunct/>
        <w:topLinePunct w:val="0"/>
        <w:bidi w:val="0"/>
        <w:adjustRightInd/>
        <w:snapToGrid/>
        <w:spacing w:line="360" w:lineRule="auto"/>
        <w:ind w:firstLine="480" w:firstLineChars="200"/>
        <w:textAlignment w:val="baseline"/>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1.对本合同规定的委托服务范围内的项目享有管理权及服务义务。</w:t>
      </w:r>
    </w:p>
    <w:p>
      <w:pPr>
        <w:keepNext w:val="0"/>
        <w:keepLines w:val="0"/>
        <w:pageBreakBefore w:val="0"/>
        <w:kinsoku/>
        <w:overflowPunct/>
        <w:topLinePunct w:val="0"/>
        <w:bidi w:val="0"/>
        <w:adjustRightInd/>
        <w:snapToGrid/>
        <w:spacing w:line="360" w:lineRule="auto"/>
        <w:ind w:firstLine="480" w:firstLineChars="200"/>
        <w:textAlignment w:val="baseline"/>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2.根据本合同的规定向甲方收取相关服务费用，并有权在本项目管理范围内管理及合理使用。</w:t>
      </w:r>
    </w:p>
    <w:p>
      <w:pPr>
        <w:keepNext w:val="0"/>
        <w:keepLines w:val="0"/>
        <w:pageBreakBefore w:val="0"/>
        <w:kinsoku/>
        <w:overflowPunct/>
        <w:topLinePunct w:val="0"/>
        <w:bidi w:val="0"/>
        <w:adjustRightInd/>
        <w:snapToGrid/>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3.及时向甲方通告本项目服务范围内有关服务的重大事项，及时配合处理投诉。</w:t>
      </w:r>
    </w:p>
    <w:p>
      <w:pPr>
        <w:keepNext w:val="0"/>
        <w:keepLines w:val="0"/>
        <w:pageBreakBefore w:val="0"/>
        <w:kinsoku/>
        <w:overflowPunct/>
        <w:topLinePunct w:val="0"/>
        <w:bidi w:val="0"/>
        <w:adjustRightInd/>
        <w:snapToGrid/>
        <w:spacing w:line="360" w:lineRule="auto"/>
        <w:ind w:firstLine="480" w:firstLineChars="200"/>
        <w:textAlignment w:val="baseline"/>
        <w:rPr>
          <w:rFonts w:hint="eastAsia" w:ascii="仿宋" w:hAnsi="仿宋" w:eastAsia="仿宋" w:cs="仿宋"/>
          <w:bCs/>
          <w:color w:val="auto"/>
          <w:sz w:val="24"/>
          <w:szCs w:val="24"/>
          <w:highlight w:val="none"/>
        </w:rPr>
      </w:pPr>
      <w:r>
        <w:rPr>
          <w:rFonts w:hint="eastAsia" w:ascii="仿宋" w:hAnsi="仿宋" w:eastAsia="仿宋" w:cs="仿宋"/>
          <w:color w:val="auto"/>
          <w:sz w:val="24"/>
          <w:szCs w:val="24"/>
          <w:highlight w:val="none"/>
        </w:rPr>
        <w:t>4.</w:t>
      </w:r>
      <w:r>
        <w:rPr>
          <w:rFonts w:hint="eastAsia" w:ascii="仿宋" w:hAnsi="仿宋" w:eastAsia="仿宋" w:cs="仿宋"/>
          <w:bCs/>
          <w:color w:val="auto"/>
          <w:sz w:val="24"/>
          <w:szCs w:val="24"/>
          <w:highlight w:val="none"/>
        </w:rPr>
        <w:t>接受项目行业管理部门及政府有关部门的指导，接受甲方的监督。</w:t>
      </w:r>
    </w:p>
    <w:p>
      <w:pPr>
        <w:keepNext w:val="0"/>
        <w:keepLines w:val="0"/>
        <w:pageBreakBefore w:val="0"/>
        <w:kinsoku/>
        <w:overflowPunct/>
        <w:topLinePunct w:val="0"/>
        <w:bidi w:val="0"/>
        <w:adjustRightInd/>
        <w:snapToGrid/>
        <w:spacing w:line="360" w:lineRule="auto"/>
        <w:ind w:firstLine="480" w:firstLineChars="200"/>
        <w:textAlignment w:val="baseline"/>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5.国家法律、法规所规定由乙方承担的其它责任。</w:t>
      </w:r>
    </w:p>
    <w:p>
      <w:pPr>
        <w:keepNext w:val="0"/>
        <w:keepLines w:val="0"/>
        <w:pageBreakBefore w:val="0"/>
        <w:tabs>
          <w:tab w:val="left" w:pos="1379"/>
        </w:tabs>
        <w:kinsoku/>
        <w:overflowPunct/>
        <w:topLinePunct w:val="0"/>
        <w:bidi w:val="0"/>
        <w:adjustRightInd/>
        <w:snapToGrid/>
        <w:spacing w:line="360" w:lineRule="auto"/>
        <w:ind w:firstLine="482" w:firstLineChars="200"/>
        <w:outlineLvl w:val="1"/>
        <w:rPr>
          <w:rFonts w:hint="eastAsia" w:ascii="仿宋" w:hAnsi="仿宋" w:eastAsia="仿宋" w:cs="仿宋"/>
          <w:b/>
          <w:bCs w:val="0"/>
          <w:color w:val="auto"/>
          <w:sz w:val="24"/>
          <w:szCs w:val="24"/>
          <w:highlight w:val="none"/>
        </w:rPr>
      </w:pPr>
      <w:bookmarkStart w:id="35" w:name="_Toc17336"/>
      <w:bookmarkStart w:id="36" w:name="_Toc29819"/>
      <w:r>
        <w:rPr>
          <w:rFonts w:hint="eastAsia" w:ascii="仿宋" w:hAnsi="仿宋" w:eastAsia="仿宋" w:cs="仿宋"/>
          <w:b/>
          <w:bCs w:val="0"/>
          <w:color w:val="auto"/>
          <w:sz w:val="24"/>
          <w:szCs w:val="24"/>
          <w:highlight w:val="none"/>
        </w:rPr>
        <w:t>第十条  违约责任</w:t>
      </w:r>
      <w:bookmarkEnd w:id="35"/>
      <w:bookmarkEnd w:id="36"/>
    </w:p>
    <w:p>
      <w:pPr>
        <w:keepNext w:val="0"/>
        <w:keepLines w:val="0"/>
        <w:pageBreakBefore w:val="0"/>
        <w:kinsoku/>
        <w:overflowPunct/>
        <w:topLinePunct w:val="0"/>
        <w:bidi w:val="0"/>
        <w:adjustRightInd/>
        <w:snapToGrid/>
        <w:spacing w:line="360" w:lineRule="auto"/>
        <w:ind w:firstLine="480" w:firstLineChars="200"/>
        <w:textAlignment w:val="baseline"/>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1.甲乙双方必须遵守本合同并执行合同中的各项规定，保证本合同的正常履行。</w:t>
      </w:r>
    </w:p>
    <w:p>
      <w:pPr>
        <w:keepNext w:val="0"/>
        <w:keepLines w:val="0"/>
        <w:pageBreakBefore w:val="0"/>
        <w:kinsoku/>
        <w:overflowPunct/>
        <w:topLinePunct w:val="0"/>
        <w:bidi w:val="0"/>
        <w:adjustRightInd/>
        <w:snapToGrid/>
        <w:spacing w:line="360" w:lineRule="auto"/>
        <w:ind w:firstLine="480" w:firstLineChars="200"/>
        <w:textAlignment w:val="baseline"/>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依据《中华人民共和国民法典》《中华人民共和国政府采购法》的相关条款规定和本合同约定，乙方未全面履行合同义务或者发生违约，甲方有权终止合同，依法向乙方进行经济索赔，并报请政府采购监督管理机关依法进行相应的行政处罚。甲方违约的，应当赔偿给乙方造成的经济损失。</w:t>
      </w:r>
    </w:p>
    <w:p>
      <w:pPr>
        <w:keepNext w:val="0"/>
        <w:keepLines w:val="0"/>
        <w:pageBreakBefore w:val="0"/>
        <w:tabs>
          <w:tab w:val="left" w:pos="1379"/>
        </w:tabs>
        <w:kinsoku/>
        <w:overflowPunct/>
        <w:topLinePunct w:val="0"/>
        <w:bidi w:val="0"/>
        <w:adjustRightInd/>
        <w:snapToGrid/>
        <w:spacing w:line="360" w:lineRule="auto"/>
        <w:ind w:firstLine="482" w:firstLineChars="200"/>
        <w:outlineLvl w:val="1"/>
        <w:rPr>
          <w:rFonts w:hint="eastAsia" w:ascii="仿宋" w:hAnsi="仿宋" w:eastAsia="仿宋" w:cs="仿宋"/>
          <w:b/>
          <w:bCs w:val="0"/>
          <w:color w:val="auto"/>
          <w:sz w:val="24"/>
          <w:szCs w:val="24"/>
          <w:highlight w:val="none"/>
        </w:rPr>
      </w:pPr>
      <w:bookmarkStart w:id="37" w:name="_Toc20912"/>
      <w:bookmarkStart w:id="38" w:name="_Toc18652"/>
      <w:r>
        <w:rPr>
          <w:rFonts w:hint="eastAsia" w:ascii="仿宋" w:hAnsi="仿宋" w:eastAsia="仿宋" w:cs="仿宋"/>
          <w:b/>
          <w:bCs w:val="0"/>
          <w:color w:val="auto"/>
          <w:sz w:val="24"/>
          <w:szCs w:val="24"/>
          <w:highlight w:val="none"/>
        </w:rPr>
        <w:t>第十</w:t>
      </w:r>
      <w:r>
        <w:rPr>
          <w:rFonts w:hint="eastAsia" w:ascii="仿宋" w:hAnsi="仿宋" w:eastAsia="仿宋" w:cs="仿宋"/>
          <w:b/>
          <w:bCs w:val="0"/>
          <w:color w:val="auto"/>
          <w:sz w:val="24"/>
          <w:szCs w:val="24"/>
          <w:highlight w:val="none"/>
          <w:lang w:val="en-US" w:eastAsia="zh-CN"/>
        </w:rPr>
        <w:t>一</w:t>
      </w:r>
      <w:r>
        <w:rPr>
          <w:rFonts w:hint="eastAsia" w:ascii="仿宋" w:hAnsi="仿宋" w:eastAsia="仿宋" w:cs="仿宋"/>
          <w:b/>
          <w:bCs w:val="0"/>
          <w:color w:val="auto"/>
          <w:sz w:val="24"/>
          <w:szCs w:val="24"/>
          <w:highlight w:val="none"/>
        </w:rPr>
        <w:t>条  不可抗力事件处理</w:t>
      </w:r>
      <w:bookmarkEnd w:id="37"/>
      <w:bookmarkEnd w:id="38"/>
    </w:p>
    <w:p>
      <w:pPr>
        <w:keepNext w:val="0"/>
        <w:keepLines w:val="0"/>
        <w:pageBreakBefore w:val="0"/>
        <w:tabs>
          <w:tab w:val="left" w:pos="0"/>
        </w:tabs>
        <w:kinsoku/>
        <w:overflowPunct/>
        <w:topLinePunct w:val="0"/>
        <w:bidi w:val="0"/>
        <w:adjustRightInd/>
        <w:snapToGrid/>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1.在合同有效期内，任何一方因不可抗力事件导致不能履行合同，则合同履行期可延长，其延长期与不可抗力影响期相同。</w:t>
      </w:r>
    </w:p>
    <w:p>
      <w:pPr>
        <w:keepNext w:val="0"/>
        <w:keepLines w:val="0"/>
        <w:pageBreakBefore w:val="0"/>
        <w:tabs>
          <w:tab w:val="left" w:pos="0"/>
        </w:tabs>
        <w:kinsoku/>
        <w:overflowPunct/>
        <w:topLinePunct w:val="0"/>
        <w:bidi w:val="0"/>
        <w:adjustRightInd/>
        <w:snapToGrid/>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2.不可抗力事件发生后，应立即通知对方，并寄送有关权威机构出具的证明。</w:t>
      </w:r>
    </w:p>
    <w:p>
      <w:pPr>
        <w:keepNext w:val="0"/>
        <w:keepLines w:val="0"/>
        <w:pageBreakBefore w:val="0"/>
        <w:tabs>
          <w:tab w:val="left" w:pos="0"/>
        </w:tabs>
        <w:kinsoku/>
        <w:overflowPunct/>
        <w:topLinePunct w:val="0"/>
        <w:bidi w:val="0"/>
        <w:adjustRightInd/>
        <w:snapToGrid/>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3.不可抗力事件延续</w:t>
      </w:r>
      <w:r>
        <w:rPr>
          <w:rFonts w:hint="eastAsia" w:ascii="仿宋" w:hAnsi="仿宋" w:eastAsia="仿宋" w:cs="仿宋"/>
          <w:color w:val="auto"/>
          <w:sz w:val="24"/>
          <w:szCs w:val="24"/>
          <w:highlight w:val="none"/>
          <w:lang w:val="en-US" w:eastAsia="zh-CN"/>
        </w:rPr>
        <w:t>30</w:t>
      </w:r>
      <w:r>
        <w:rPr>
          <w:rFonts w:hint="eastAsia" w:ascii="仿宋" w:hAnsi="仿宋" w:eastAsia="仿宋" w:cs="仿宋"/>
          <w:color w:val="auto"/>
          <w:sz w:val="24"/>
          <w:szCs w:val="24"/>
          <w:highlight w:val="none"/>
        </w:rPr>
        <w:t>天以上，双方应通过友好协商，确定是否继续履行合同。</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Pr>
        <w:keepNext w:val="0"/>
        <w:keepLines w:val="0"/>
        <w:pageBreakBefore w:val="0"/>
        <w:tabs>
          <w:tab w:val="left" w:pos="1379"/>
        </w:tabs>
        <w:kinsoku/>
        <w:overflowPunct/>
        <w:topLinePunct w:val="0"/>
        <w:bidi w:val="0"/>
        <w:adjustRightInd/>
        <w:snapToGrid/>
        <w:spacing w:line="360" w:lineRule="auto"/>
        <w:ind w:firstLine="482" w:firstLineChars="200"/>
        <w:outlineLvl w:val="1"/>
        <w:rPr>
          <w:rFonts w:hint="eastAsia" w:ascii="仿宋" w:hAnsi="仿宋" w:eastAsia="仿宋" w:cs="仿宋"/>
          <w:b/>
          <w:bCs w:val="0"/>
          <w:color w:val="auto"/>
          <w:sz w:val="24"/>
          <w:szCs w:val="24"/>
          <w:highlight w:val="none"/>
        </w:rPr>
      </w:pPr>
      <w:bookmarkStart w:id="39" w:name="_Toc6795"/>
      <w:bookmarkStart w:id="40" w:name="_Toc13911"/>
      <w:bookmarkStart w:id="41" w:name="_Toc247334846"/>
      <w:bookmarkStart w:id="42" w:name="_Toc232492933"/>
      <w:bookmarkStart w:id="43" w:name="_Toc237145411"/>
      <w:bookmarkStart w:id="44" w:name="_Toc225670756"/>
      <w:bookmarkStart w:id="45" w:name="_Toc286993792"/>
      <w:bookmarkStart w:id="46" w:name="_Toc239233919"/>
      <w:bookmarkStart w:id="47" w:name="_Toc241833908"/>
      <w:bookmarkStart w:id="48" w:name="_Toc225244857"/>
      <w:bookmarkStart w:id="49" w:name="_Toc211911353"/>
      <w:bookmarkStart w:id="50" w:name="_Toc211854454"/>
      <w:bookmarkStart w:id="51" w:name="_Toc239568423"/>
      <w:bookmarkStart w:id="52" w:name="_Toc225654649"/>
      <w:bookmarkStart w:id="53" w:name="_Toc185395254"/>
      <w:bookmarkStart w:id="54" w:name="_Toc251768867"/>
      <w:bookmarkStart w:id="55" w:name="_Toc238984980"/>
      <w:bookmarkStart w:id="56" w:name="_Toc212019599"/>
      <w:r>
        <w:rPr>
          <w:rFonts w:hint="eastAsia" w:ascii="仿宋" w:hAnsi="仿宋" w:eastAsia="仿宋" w:cs="仿宋"/>
          <w:b/>
          <w:bCs w:val="0"/>
          <w:color w:val="auto"/>
          <w:sz w:val="24"/>
          <w:szCs w:val="24"/>
          <w:highlight w:val="none"/>
        </w:rPr>
        <w:t>第十</w:t>
      </w:r>
      <w:r>
        <w:rPr>
          <w:rFonts w:hint="eastAsia" w:ascii="仿宋" w:hAnsi="仿宋" w:eastAsia="仿宋" w:cs="仿宋"/>
          <w:b/>
          <w:bCs w:val="0"/>
          <w:color w:val="auto"/>
          <w:sz w:val="24"/>
          <w:szCs w:val="24"/>
          <w:highlight w:val="none"/>
          <w:lang w:val="en-US" w:eastAsia="zh-CN"/>
        </w:rPr>
        <w:t>二</w:t>
      </w:r>
      <w:r>
        <w:rPr>
          <w:rFonts w:hint="eastAsia" w:ascii="仿宋" w:hAnsi="仿宋" w:eastAsia="仿宋" w:cs="仿宋"/>
          <w:b/>
          <w:bCs w:val="0"/>
          <w:color w:val="auto"/>
          <w:sz w:val="24"/>
          <w:szCs w:val="24"/>
          <w:highlight w:val="none"/>
        </w:rPr>
        <w:t>条  合同的变更和终止</w:t>
      </w:r>
      <w:bookmarkEnd w:id="39"/>
      <w:bookmarkEnd w:id="40"/>
    </w:p>
    <w:p>
      <w:pPr>
        <w:keepNext w:val="0"/>
        <w:keepLines w:val="0"/>
        <w:pageBreakBefore w:val="0"/>
        <w:kinsoku/>
        <w:overflowPunct/>
        <w:topLinePunct w:val="0"/>
        <w:bidi w:val="0"/>
        <w:adjustRightInd/>
        <w:snapToGrid/>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除《中华人民共和国政府采购法》第49条、第50条第二款规定的情形外，本合同一经签订，甲乙双方不得擅自变更、中止或终止合同。</w:t>
      </w:r>
    </w:p>
    <w:p>
      <w:pPr>
        <w:keepNext w:val="0"/>
        <w:keepLines w:val="0"/>
        <w:pageBreakBefore w:val="0"/>
        <w:tabs>
          <w:tab w:val="left" w:pos="1379"/>
        </w:tabs>
        <w:kinsoku/>
        <w:overflowPunct/>
        <w:topLinePunct w:val="0"/>
        <w:bidi w:val="0"/>
        <w:adjustRightInd/>
        <w:snapToGrid/>
        <w:spacing w:line="360" w:lineRule="auto"/>
        <w:ind w:firstLine="482" w:firstLineChars="200"/>
        <w:outlineLvl w:val="1"/>
        <w:rPr>
          <w:rFonts w:hint="eastAsia" w:ascii="仿宋" w:hAnsi="仿宋" w:eastAsia="仿宋" w:cs="仿宋"/>
          <w:b/>
          <w:bCs w:val="0"/>
          <w:color w:val="auto"/>
          <w:sz w:val="24"/>
          <w:szCs w:val="24"/>
          <w:highlight w:val="none"/>
          <w:lang w:val="en-US" w:eastAsia="zh-CN"/>
        </w:rPr>
      </w:pPr>
      <w:bookmarkStart w:id="57" w:name="_Toc5821"/>
      <w:bookmarkStart w:id="58" w:name="_Toc9175"/>
      <w:r>
        <w:rPr>
          <w:rFonts w:hint="eastAsia" w:ascii="仿宋" w:hAnsi="仿宋" w:eastAsia="仿宋" w:cs="仿宋"/>
          <w:b/>
          <w:bCs w:val="0"/>
          <w:color w:val="auto"/>
          <w:sz w:val="24"/>
          <w:szCs w:val="24"/>
          <w:highlight w:val="none"/>
        </w:rPr>
        <w:t>第十</w:t>
      </w:r>
      <w:r>
        <w:rPr>
          <w:rFonts w:hint="eastAsia" w:ascii="仿宋" w:hAnsi="仿宋" w:eastAsia="仿宋" w:cs="仿宋"/>
          <w:b/>
          <w:bCs w:val="0"/>
          <w:color w:val="auto"/>
          <w:sz w:val="24"/>
          <w:szCs w:val="24"/>
          <w:highlight w:val="none"/>
          <w:lang w:val="en-US" w:eastAsia="zh-CN"/>
        </w:rPr>
        <w:t>三</w:t>
      </w:r>
      <w:r>
        <w:rPr>
          <w:rFonts w:hint="eastAsia" w:ascii="仿宋" w:hAnsi="仿宋" w:eastAsia="仿宋" w:cs="仿宋"/>
          <w:b/>
          <w:bCs w:val="0"/>
          <w:color w:val="auto"/>
          <w:sz w:val="24"/>
          <w:szCs w:val="24"/>
          <w:highlight w:val="none"/>
        </w:rPr>
        <w:t xml:space="preserve">条  </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Pr>
          <w:rFonts w:hint="eastAsia" w:ascii="仿宋" w:hAnsi="仿宋" w:eastAsia="仿宋" w:cs="仿宋"/>
          <w:b/>
          <w:bCs w:val="0"/>
          <w:color w:val="auto"/>
          <w:sz w:val="24"/>
          <w:szCs w:val="24"/>
          <w:highlight w:val="none"/>
          <w:lang w:val="en-US" w:eastAsia="zh-CN"/>
        </w:rPr>
        <w:t>争议解决条款</w:t>
      </w:r>
      <w:bookmarkEnd w:id="57"/>
      <w:bookmarkEnd w:id="58"/>
    </w:p>
    <w:p>
      <w:pPr>
        <w:pStyle w:val="7"/>
        <w:keepNext w:val="0"/>
        <w:keepLines w:val="0"/>
        <w:pageBreakBefore w:val="0"/>
        <w:kinsoku/>
        <w:overflowPunct/>
        <w:topLinePunct w:val="0"/>
        <w:bidi w:val="0"/>
        <w:adjustRightInd/>
        <w:snapToGrid/>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在执行本合同中发生的或与本合同有关的争端，双方应通过友好协商解决，经协商在</w:t>
      </w: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天内不能达成协议时，则采取：向甲方所在地有管辖权的人民法院提起诉讼；</w:t>
      </w:r>
    </w:p>
    <w:p>
      <w:pPr>
        <w:keepNext w:val="0"/>
        <w:keepLines w:val="0"/>
        <w:pageBreakBefore w:val="0"/>
        <w:tabs>
          <w:tab w:val="left" w:pos="1379"/>
        </w:tabs>
        <w:kinsoku/>
        <w:overflowPunct/>
        <w:topLinePunct w:val="0"/>
        <w:bidi w:val="0"/>
        <w:adjustRightInd/>
        <w:snapToGrid/>
        <w:spacing w:line="360" w:lineRule="auto"/>
        <w:ind w:firstLine="482" w:firstLineChars="200"/>
        <w:outlineLvl w:val="1"/>
        <w:rPr>
          <w:rFonts w:hint="eastAsia" w:ascii="仿宋" w:hAnsi="仿宋" w:eastAsia="仿宋" w:cs="仿宋"/>
          <w:b/>
          <w:bCs w:val="0"/>
          <w:color w:val="auto"/>
          <w:sz w:val="24"/>
          <w:szCs w:val="24"/>
          <w:highlight w:val="none"/>
        </w:rPr>
      </w:pPr>
      <w:bookmarkStart w:id="59" w:name="_Toc238984981"/>
      <w:bookmarkStart w:id="60" w:name="_Toc225244858"/>
      <w:bookmarkStart w:id="61" w:name="_Toc237145412"/>
      <w:bookmarkStart w:id="62" w:name="_Toc212019600"/>
      <w:bookmarkStart w:id="63" w:name="_Toc185395255"/>
      <w:bookmarkStart w:id="64" w:name="_Toc225670757"/>
      <w:bookmarkStart w:id="65" w:name="_Toc247334847"/>
      <w:bookmarkStart w:id="66" w:name="_Toc225654650"/>
      <w:bookmarkStart w:id="67" w:name="_Toc283019219"/>
      <w:bookmarkStart w:id="68" w:name="_Toc241833909"/>
      <w:bookmarkStart w:id="69" w:name="_Toc239233920"/>
      <w:bookmarkStart w:id="70" w:name="_Toc232492934"/>
      <w:bookmarkStart w:id="71" w:name="_Toc211854455"/>
      <w:bookmarkStart w:id="72" w:name="_Toc286993793"/>
      <w:bookmarkStart w:id="73" w:name="_Toc239568424"/>
      <w:bookmarkStart w:id="74" w:name="_Toc282696231"/>
      <w:bookmarkStart w:id="75" w:name="_Toc251768868"/>
      <w:bookmarkStart w:id="76" w:name="_Toc211911354"/>
      <w:bookmarkStart w:id="77" w:name="_Toc233"/>
      <w:bookmarkStart w:id="78" w:name="_Toc26582"/>
      <w:r>
        <w:rPr>
          <w:rFonts w:hint="eastAsia" w:ascii="仿宋" w:hAnsi="仿宋" w:eastAsia="仿宋" w:cs="仿宋"/>
          <w:b/>
          <w:bCs w:val="0"/>
          <w:color w:val="auto"/>
          <w:sz w:val="24"/>
          <w:szCs w:val="24"/>
          <w:highlight w:val="none"/>
        </w:rPr>
        <w:t>第十四条  合同</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r>
        <w:rPr>
          <w:rFonts w:hint="eastAsia" w:ascii="仿宋" w:hAnsi="仿宋" w:eastAsia="仿宋" w:cs="仿宋"/>
          <w:b/>
          <w:bCs w:val="0"/>
          <w:color w:val="auto"/>
          <w:sz w:val="24"/>
          <w:szCs w:val="24"/>
          <w:highlight w:val="none"/>
        </w:rPr>
        <w:t>生效及其他</w:t>
      </w:r>
      <w:bookmarkEnd w:id="77"/>
      <w:bookmarkEnd w:id="78"/>
    </w:p>
    <w:p>
      <w:pPr>
        <w:pStyle w:val="9"/>
        <w:keepNext w:val="0"/>
        <w:keepLines w:val="0"/>
        <w:pageBreakBefore w:val="0"/>
        <w:kinsoku/>
        <w:overflowPunct/>
        <w:topLinePunct w:val="0"/>
        <w:bidi w:val="0"/>
        <w:adjustRightInd/>
        <w:snapToGrid/>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1.合同经双方法定代表人或授权委托代理人签字并加盖单位公章后生效。</w:t>
      </w:r>
    </w:p>
    <w:p>
      <w:pPr>
        <w:pStyle w:val="9"/>
        <w:keepNext w:val="0"/>
        <w:keepLines w:val="0"/>
        <w:pageBreakBefore w:val="0"/>
        <w:kinsoku/>
        <w:overflowPunct/>
        <w:topLinePunct w:val="0"/>
        <w:bidi w:val="0"/>
        <w:adjustRightInd/>
        <w:snapToGrid/>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2.合同执行中涉及采购资金和采购内容修改或补充的，须经政府采购监管部门审批，并签书面补充协议报政府采购监督管理部门备案，方可作为主合同不可分割的一部分。</w:t>
      </w:r>
    </w:p>
    <w:p>
      <w:pPr>
        <w:pStyle w:val="9"/>
        <w:keepNext w:val="0"/>
        <w:keepLines w:val="0"/>
        <w:pageBreakBefore w:val="0"/>
        <w:kinsoku/>
        <w:overflowPunct/>
        <w:topLinePunct w:val="0"/>
        <w:bidi w:val="0"/>
        <w:adjustRightInd/>
        <w:snapToGrid/>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3.本合同一式</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份，自双方签章之日起</w:t>
      </w:r>
      <w:r>
        <w:rPr>
          <w:rFonts w:hint="eastAsia" w:ascii="仿宋" w:hAnsi="仿宋" w:eastAsia="仿宋" w:cs="仿宋"/>
          <w:color w:val="auto"/>
          <w:sz w:val="24"/>
          <w:szCs w:val="24"/>
          <w:highlight w:val="none"/>
          <w:lang w:eastAsia="zh-CN"/>
        </w:rPr>
        <w:t>生效</w:t>
      </w:r>
      <w:r>
        <w:rPr>
          <w:rFonts w:hint="eastAsia" w:ascii="仿宋" w:hAnsi="仿宋" w:eastAsia="仿宋" w:cs="仿宋"/>
          <w:color w:val="auto"/>
          <w:sz w:val="24"/>
          <w:szCs w:val="24"/>
          <w:highlight w:val="none"/>
        </w:rPr>
        <w:t>。甲方</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份，乙方</w:t>
      </w:r>
      <w:r>
        <w:rPr>
          <w:rFonts w:hint="eastAsia" w:ascii="仿宋" w:hAnsi="仿宋" w:eastAsia="仿宋" w:cs="仿宋"/>
          <w:i/>
          <w:iCs/>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份</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具有同等法律效力。</w:t>
      </w:r>
    </w:p>
    <w:p>
      <w:pPr>
        <w:keepNext w:val="0"/>
        <w:keepLines w:val="0"/>
        <w:pageBreakBefore w:val="0"/>
        <w:tabs>
          <w:tab w:val="left" w:pos="1379"/>
        </w:tabs>
        <w:kinsoku/>
        <w:overflowPunct/>
        <w:topLinePunct w:val="0"/>
        <w:bidi w:val="0"/>
        <w:adjustRightInd/>
        <w:snapToGrid/>
        <w:spacing w:line="360" w:lineRule="auto"/>
        <w:ind w:firstLine="482" w:firstLineChars="200"/>
        <w:outlineLvl w:val="1"/>
        <w:rPr>
          <w:rFonts w:hint="eastAsia" w:ascii="仿宋" w:hAnsi="仿宋" w:eastAsia="仿宋" w:cs="仿宋"/>
          <w:b/>
          <w:bCs w:val="0"/>
          <w:color w:val="auto"/>
          <w:sz w:val="24"/>
          <w:szCs w:val="24"/>
          <w:highlight w:val="none"/>
        </w:rPr>
      </w:pPr>
      <w:bookmarkStart w:id="79" w:name="_Toc11106"/>
      <w:bookmarkStart w:id="80" w:name="_Toc15608"/>
      <w:r>
        <w:rPr>
          <w:rFonts w:hint="eastAsia" w:ascii="仿宋" w:hAnsi="仿宋" w:eastAsia="仿宋" w:cs="仿宋"/>
          <w:b/>
          <w:bCs w:val="0"/>
          <w:color w:val="auto"/>
          <w:sz w:val="24"/>
          <w:szCs w:val="24"/>
          <w:highlight w:val="none"/>
        </w:rPr>
        <w:t>第十五条  附件</w:t>
      </w:r>
      <w:bookmarkEnd w:id="79"/>
      <w:bookmarkEnd w:id="80"/>
    </w:p>
    <w:p>
      <w:pPr>
        <w:pStyle w:val="9"/>
        <w:keepNext w:val="0"/>
        <w:keepLines w:val="0"/>
        <w:pageBreakBefore w:val="0"/>
        <w:kinsoku/>
        <w:overflowPunct/>
        <w:topLinePunct w:val="0"/>
        <w:bidi w:val="0"/>
        <w:adjustRightInd/>
        <w:snapToGrid/>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1.项目竞争性磋商文件</w:t>
      </w:r>
    </w:p>
    <w:p>
      <w:pPr>
        <w:pStyle w:val="9"/>
        <w:keepNext w:val="0"/>
        <w:keepLines w:val="0"/>
        <w:pageBreakBefore w:val="0"/>
        <w:kinsoku/>
        <w:overflowPunct/>
        <w:topLinePunct w:val="0"/>
        <w:bidi w:val="0"/>
        <w:adjustRightInd/>
        <w:snapToGrid/>
        <w:spacing w:line="360" w:lineRule="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2.项目修改澄清文件</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若有</w:t>
      </w:r>
      <w:r>
        <w:rPr>
          <w:rFonts w:hint="eastAsia" w:ascii="仿宋" w:hAnsi="仿宋" w:eastAsia="仿宋" w:cs="仿宋"/>
          <w:color w:val="auto"/>
          <w:sz w:val="24"/>
          <w:szCs w:val="24"/>
          <w:highlight w:val="none"/>
          <w:lang w:eastAsia="zh-CN"/>
        </w:rPr>
        <w:t>）</w:t>
      </w:r>
    </w:p>
    <w:p>
      <w:pPr>
        <w:pStyle w:val="9"/>
        <w:keepNext w:val="0"/>
        <w:keepLines w:val="0"/>
        <w:pageBreakBefore w:val="0"/>
        <w:kinsoku/>
        <w:overflowPunct/>
        <w:topLinePunct w:val="0"/>
        <w:bidi w:val="0"/>
        <w:adjustRightInd/>
        <w:snapToGrid/>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3.项目响应文件</w:t>
      </w:r>
    </w:p>
    <w:p>
      <w:pPr>
        <w:pStyle w:val="9"/>
        <w:keepNext w:val="0"/>
        <w:keepLines w:val="0"/>
        <w:pageBreakBefore w:val="0"/>
        <w:kinsoku/>
        <w:overflowPunct/>
        <w:topLinePunct w:val="0"/>
        <w:bidi w:val="0"/>
        <w:adjustRightInd/>
        <w:snapToGrid/>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4.成交通知书</w:t>
      </w:r>
    </w:p>
    <w:p>
      <w:pPr>
        <w:pStyle w:val="9"/>
        <w:keepNext w:val="0"/>
        <w:keepLines w:val="0"/>
        <w:pageBreakBefore w:val="0"/>
        <w:kinsoku/>
        <w:overflowPunct/>
        <w:topLinePunct w:val="0"/>
        <w:bidi w:val="0"/>
        <w:adjustRightInd/>
        <w:snapToGrid/>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5.其他</w:t>
      </w:r>
    </w:p>
    <w:p>
      <w:pPr>
        <w:spacing w:line="360" w:lineRule="auto"/>
        <w:ind w:firstLine="480" w:firstLineChars="200"/>
        <w:rPr>
          <w:rFonts w:hint="eastAsia" w:ascii="仿宋" w:hAnsi="仿宋" w:eastAsia="仿宋" w:cs="仿宋"/>
          <w:color w:val="auto"/>
          <w:sz w:val="24"/>
          <w:szCs w:val="24"/>
          <w:highlight w:val="none"/>
        </w:rPr>
      </w:pPr>
    </w:p>
    <w:p>
      <w:pPr>
        <w:spacing w:line="360" w:lineRule="auto"/>
        <w:ind w:firstLine="480" w:firstLineChars="200"/>
        <w:rPr>
          <w:rFonts w:hint="eastAsia" w:ascii="仿宋" w:hAnsi="仿宋" w:eastAsia="仿宋" w:cs="仿宋"/>
          <w:color w:val="auto"/>
          <w:sz w:val="24"/>
          <w:szCs w:val="24"/>
          <w:highlight w:val="none"/>
        </w:rPr>
      </w:pPr>
    </w:p>
    <w:p>
      <w:pPr>
        <w:spacing w:line="360" w:lineRule="auto"/>
        <w:ind w:firstLine="480" w:firstLineChars="200"/>
        <w:rPr>
          <w:rFonts w:hint="eastAsia" w:ascii="仿宋" w:hAnsi="仿宋" w:eastAsia="仿宋" w:cs="仿宋"/>
          <w:color w:val="auto"/>
          <w:sz w:val="24"/>
          <w:szCs w:val="24"/>
          <w:highlight w:val="none"/>
        </w:rPr>
      </w:pP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     方：（</w:t>
      </w:r>
      <w:r>
        <w:rPr>
          <w:rFonts w:hint="eastAsia" w:ascii="仿宋" w:hAnsi="仿宋" w:eastAsia="仿宋" w:cs="仿宋"/>
          <w:color w:val="auto"/>
          <w:sz w:val="24"/>
          <w:szCs w:val="24"/>
          <w:highlight w:val="none"/>
          <w:lang w:val="en-US" w:eastAsia="zh-CN"/>
        </w:rPr>
        <w:t>公</w:t>
      </w:r>
      <w:r>
        <w:rPr>
          <w:rFonts w:hint="eastAsia" w:ascii="仿宋" w:hAnsi="仿宋" w:eastAsia="仿宋" w:cs="仿宋"/>
          <w:color w:val="auto"/>
          <w:sz w:val="24"/>
          <w:szCs w:val="24"/>
          <w:highlight w:val="none"/>
        </w:rPr>
        <w:t xml:space="preserve">章）   </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 xml:space="preserve"> 乙    方：   （</w:t>
      </w:r>
      <w:r>
        <w:rPr>
          <w:rFonts w:hint="eastAsia" w:ascii="仿宋" w:hAnsi="仿宋" w:eastAsia="仿宋" w:cs="仿宋"/>
          <w:color w:val="auto"/>
          <w:sz w:val="24"/>
          <w:szCs w:val="24"/>
          <w:highlight w:val="none"/>
          <w:lang w:val="en-US" w:eastAsia="zh-CN"/>
        </w:rPr>
        <w:t>公</w:t>
      </w:r>
      <w:r>
        <w:rPr>
          <w:rFonts w:hint="eastAsia" w:ascii="仿宋" w:hAnsi="仿宋" w:eastAsia="仿宋" w:cs="仿宋"/>
          <w:color w:val="auto"/>
          <w:sz w:val="24"/>
          <w:szCs w:val="24"/>
          <w:highlight w:val="none"/>
        </w:rPr>
        <w:t>章）</w:t>
      </w: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法定代表人（委托代理人）：      法定代表人（委托代理人）：</w:t>
      </w: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    址：                      地    址：</w:t>
      </w: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                      开户银行：</w:t>
      </w: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账    号：</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账    号：</w:t>
      </w:r>
    </w:p>
    <w:p>
      <w:pPr>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纳税人识别号：</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纳税人识别号：</w:t>
      </w:r>
    </w:p>
    <w:p>
      <w:pPr>
        <w:spacing w:line="360" w:lineRule="auto"/>
        <w:ind w:firstLine="240"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电    话：                      电    话：</w:t>
      </w: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    真：                      传    真：</w:t>
      </w:r>
    </w:p>
    <w:p>
      <w:pPr>
        <w:pStyle w:val="3"/>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期：</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日 </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期：</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pPr>
        <w:pStyle w:val="10"/>
        <w:rPr>
          <w:rFonts w:hint="eastAsia" w:ascii="仿宋" w:hAnsi="仿宋" w:eastAsia="仿宋" w:cs="仿宋"/>
          <w:lang w:val="en-US" w:eastAsia="zh-Hans"/>
        </w:rPr>
      </w:pPr>
      <w:bookmarkStart w:id="81" w:name="_GoBack"/>
      <w:bookmarkEnd w:id="81"/>
    </w:p>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F6E171"/>
    <w:multiLevelType w:val="singleLevel"/>
    <w:tmpl w:val="95F6E171"/>
    <w:lvl w:ilvl="0" w:tentative="0">
      <w:start w:val="1"/>
      <w:numFmt w:val="chineseCounting"/>
      <w:suff w:val="space"/>
      <w:lvlText w:val="第%1条"/>
      <w:lvlJc w:val="left"/>
      <w:rPr>
        <w:rFonts w:hint="eastAsia"/>
      </w:rPr>
    </w:lvl>
  </w:abstractNum>
  <w:abstractNum w:abstractNumId="1">
    <w:nsid w:val="2293BF30"/>
    <w:multiLevelType w:val="singleLevel"/>
    <w:tmpl w:val="2293BF30"/>
    <w:lvl w:ilvl="0" w:tentative="0">
      <w:start w:val="6"/>
      <w:numFmt w:val="chineseCounting"/>
      <w:suff w:val="space"/>
      <w:lvlText w:val="第%1条"/>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ZDUzMjc5YWQ2YzY1Y2VlYzUyMjM5YThiZmM4OTUifQ=="/>
  </w:docVars>
  <w:rsids>
    <w:rsidRoot w:val="00000000"/>
    <w:rsid w:val="316143C1"/>
    <w:rsid w:val="41C444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jc w:val="both"/>
    </w:pPr>
    <w:rPr>
      <w:rFonts w:ascii="Times New Roman" w:hAnsi="Times New Roman" w:eastAsia="宋体" w:cs="Times New Roman"/>
      <w:kern w:val="2"/>
      <w:sz w:val="21"/>
    </w:rPr>
  </w:style>
  <w:style w:type="paragraph" w:styleId="2">
    <w:name w:val="heading 4"/>
    <w:basedOn w:val="1"/>
    <w:next w:val="1"/>
    <w:qFormat/>
    <w:uiPriority w:val="0"/>
    <w:pPr>
      <w:keepNext/>
      <w:outlineLvl w:val="3"/>
    </w:pPr>
    <w:rPr>
      <w:color w:val="FF0000"/>
      <w:sz w:val="28"/>
      <w:u w:val="single"/>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Body Text"/>
    <w:basedOn w:val="1"/>
    <w:unhideWhenUsed/>
    <w:qFormat/>
    <w:uiPriority w:val="99"/>
    <w:pPr>
      <w:spacing w:after="120"/>
    </w:pPr>
  </w:style>
  <w:style w:type="paragraph" w:styleId="4">
    <w:name w:val="footer"/>
    <w:basedOn w:val="1"/>
    <w:qFormat/>
    <w:uiPriority w:val="0"/>
    <w:pPr>
      <w:tabs>
        <w:tab w:val="center" w:pos="4153"/>
        <w:tab w:val="right" w:pos="8306"/>
      </w:tabs>
      <w:snapToGrid w:val="0"/>
      <w:jc w:val="left"/>
    </w:pPr>
    <w:rPr>
      <w:sz w:val="18"/>
    </w:rPr>
  </w:style>
  <w:style w:type="paragraph" w:customStyle="1" w:styleId="7">
    <w:name w:val="样式 首行缩进:  2 字符"/>
    <w:autoRedefine/>
    <w:qFormat/>
    <w:uiPriority w:val="0"/>
    <w:pPr>
      <w:widowControl w:val="0"/>
      <w:pBdr>
        <w:top w:val="none" w:color="000000" w:sz="0" w:space="3"/>
        <w:left w:val="none" w:color="000000" w:sz="0" w:space="3"/>
        <w:bottom w:val="none" w:color="000000" w:sz="0" w:space="3"/>
        <w:right w:val="none" w:color="000000" w:sz="0" w:space="3"/>
        <w:between w:val="none" w:color="000000" w:sz="0" w:space="0"/>
      </w:pBdr>
      <w:spacing w:line="400" w:lineRule="exact"/>
      <w:ind w:firstLine="200"/>
      <w:jc w:val="both"/>
    </w:pPr>
    <w:rPr>
      <w:rFonts w:ascii="Calibri" w:hAnsi="Calibri" w:eastAsia="宋体" w:cs="宋体"/>
      <w:kern w:val="1"/>
      <w:sz w:val="24"/>
      <w:szCs w:val="24"/>
      <w:lang w:val="en-US" w:eastAsia="zh-CN" w:bidi="ar-SA"/>
    </w:rPr>
  </w:style>
  <w:style w:type="paragraph" w:customStyle="1" w:styleId="8">
    <w:name w:val="标书正文1"/>
    <w:basedOn w:val="1"/>
    <w:next w:val="3"/>
    <w:autoRedefine/>
    <w:qFormat/>
    <w:uiPriority w:val="0"/>
    <w:pPr>
      <w:autoSpaceDE w:val="0"/>
      <w:autoSpaceDN w:val="0"/>
      <w:spacing w:line="520" w:lineRule="exact"/>
      <w:ind w:firstLine="640" w:firstLineChars="200"/>
      <w:jc w:val="left"/>
    </w:pPr>
    <w:rPr>
      <w:rFonts w:ascii="仿宋" w:hAnsi="仿宋" w:eastAsia="仿宋" w:cs="仿宋"/>
      <w:kern w:val="0"/>
      <w:sz w:val="22"/>
      <w:lang w:val="zh-CN" w:bidi="zh-CN"/>
    </w:rPr>
  </w:style>
  <w:style w:type="paragraph" w:customStyle="1" w:styleId="9">
    <w:name w:val="列出段落1"/>
    <w:basedOn w:val="1"/>
    <w:autoRedefine/>
    <w:qFormat/>
    <w:uiPriority w:val="99"/>
    <w:pPr>
      <w:ind w:firstLine="420" w:firstLineChars="200"/>
    </w:pPr>
  </w:style>
  <w:style w:type="paragraph" w:customStyle="1" w:styleId="10">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2026-06-04T01:22:00Z</dcterms:created>
  <dc:creator>hailan</dc:creator>
  <cp:lastModifiedBy>懛鰦</cp:lastModifiedBy>
  <dcterms:modified xsi:type="dcterms:W3CDTF">2026-06-11T01:00:20Z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1B685D23E88C4D4197B730B2591E6A3F_12</vt:lpwstr>
  </property>
</Properties>
</file>