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版本号：CT-ZB00-181-202620260720001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门诊楼东区防水维修项目（儿保区域）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CT-ZB00-181-2026</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门诊楼东区防水维修项目（儿保区域）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CT-ZB00-181-2026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门诊楼东区防水维修项目（儿保区域）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西门院区门诊楼东区（儿保区域）渗漏较为严重。为消除房屋结构安全隐患，保障建筑正常使用，延长建筑使用寿命，对该区域进行地面块料、灰层、防水层拆除，基层处理、防水层铺设、地面恢复等。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采购包1（门诊楼东区防水维修项目（儿保区域））：属于专门面向中小企业采购。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7、法定代表人委托授权书：非法定代表人参加磋商的，须提供法定代表人委托授权书，法定代表人参加磋商时,只须提供法定代表人身份证</w:t>
      </w:r>
    </w:p>
    <w:p>
      <w:pPr>
        <w:pStyle w:val="null3"/>
      </w:pPr>
      <w:r>
        <w:rPr>
          <w:rFonts w:ascii="仿宋_GB2312" w:hAnsi="仿宋_GB2312" w:cs="仿宋_GB2312" w:eastAsia="仿宋_GB2312"/>
        </w:rPr>
        <w:t>8、施工资质：具备防水防腐保温工程专业承包二级及以上资质，同时具备有效期内的安全生产许可证</w:t>
      </w:r>
    </w:p>
    <w:p>
      <w:pPr>
        <w:pStyle w:val="null3"/>
      </w:pPr>
      <w:r>
        <w:rPr>
          <w:rFonts w:ascii="仿宋_GB2312" w:hAnsi="仿宋_GB2312" w:cs="仿宋_GB2312" w:eastAsia="仿宋_GB2312"/>
        </w:rPr>
        <w:t>9、外地企业备案：外地企业提供在“陕西省建筑市场监管与诚信信息一体化平台”上登记的基本信息界面截图</w:t>
      </w:r>
    </w:p>
    <w:p>
      <w:pPr>
        <w:pStyle w:val="null3"/>
      </w:pPr>
      <w:r>
        <w:rPr>
          <w:rFonts w:ascii="仿宋_GB2312" w:hAnsi="仿宋_GB2312" w:cs="仿宋_GB2312" w:eastAsia="仿宋_GB2312"/>
        </w:rPr>
        <w:t>10、项目经理：拟投入的项目经理须提供在本单位注册的建筑工程专业贰级（含贰级）以上注册建造师证书及有效的安全生产考核合格证，且未担任其他在建工程项目的项目经理（提供无在建工程的承诺函）</w:t>
      </w:r>
    </w:p>
    <w:p>
      <w:pPr>
        <w:pStyle w:val="null3"/>
      </w:pPr>
      <w:r>
        <w:rPr>
          <w:rFonts w:ascii="仿宋_GB2312" w:hAnsi="仿宋_GB2312" w:cs="仿宋_GB2312" w:eastAsia="仿宋_GB2312"/>
        </w:rPr>
        <w:t>11、非联合体投标：提供非联合体投标声明函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 王超 王涛 刘润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19991497141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照国家计委颁发的《招标代理服务收费管理暂行办法》(计价格[2002]1980号)和《关于招标代理服务收费有关问题的通知》(发改办价格[2003]857号)的收费标准下浮20%执行。开户名称：中昕国际项目管理有限公司；开户行：中国建设银行股份有限公司西安文景路支行；账号：61050178150000000278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联系人：吴亮亮王超王涛刘润</w:t>
      </w:r>
    </w:p>
    <w:p>
      <w:pPr>
        <w:pStyle w:val="null3"/>
      </w:pPr>
      <w:r>
        <w:rPr>
          <w:rFonts w:ascii="仿宋_GB2312" w:hAnsi="仿宋_GB2312" w:cs="仿宋_GB2312" w:eastAsia="仿宋_GB2312"/>
        </w:rPr>
        <w:t>联系电话：19991497141</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785,046.53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门诊楼东区防水维修项目（儿保区域）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标的名称：门诊楼东区防水维修项目（儿保区域）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我院西门院区门诊楼东区（儿保区域）渗漏较为严重。为消除房屋结构安全隐患，保障建筑正常使用，延长建筑使用寿命，对该区域进行地面块料、灰层、防水层拆除，基层处理、防水层铺设、地面恢复等。项目涉及面积约为2135平方米，经公开调研、实地查勘等方式进行综合调研，该维修项目按照采购预算800,000.00元进行竞争性磋商。</w:t>
            </w:r>
          </w:p>
          <w:p>
            <w:pPr>
              <w:pStyle w:val="null3"/>
            </w:pPr>
            <w:r>
              <w:rPr>
                <w:rFonts w:ascii="仿宋_GB2312" w:hAnsi="仿宋_GB2312" w:cs="仿宋_GB2312" w:eastAsia="仿宋_GB2312"/>
              </w:rPr>
              <w:t>二、工程内容和施工地点、计划工期、缺陷责任期、质量保修期</w:t>
            </w:r>
          </w:p>
          <w:p>
            <w:pPr>
              <w:pStyle w:val="null3"/>
            </w:pPr>
            <w:r>
              <w:rPr>
                <w:rFonts w:ascii="仿宋_GB2312" w:hAnsi="仿宋_GB2312" w:cs="仿宋_GB2312" w:eastAsia="仿宋_GB2312"/>
              </w:rPr>
              <w:t>（一）工程地点：西安市儿童医院西门院区门诊楼。</w:t>
            </w:r>
          </w:p>
          <w:p>
            <w:pPr>
              <w:pStyle w:val="null3"/>
            </w:pPr>
            <w:r>
              <w:rPr>
                <w:rFonts w:ascii="仿宋_GB2312" w:hAnsi="仿宋_GB2312" w:cs="仿宋_GB2312" w:eastAsia="仿宋_GB2312"/>
              </w:rPr>
              <w:t>（二）工程内容：对门诊楼东区顶部屋面进行地面块料拆除、抹灰层拆除、防水层拆除、基层处理、防水层铺设、砂浆找平、楼地面块料铺设，部分区域修缮等处理。整体设计、施工并含垃圾清理、安全施工等。工程量制图、现勘。</w:t>
            </w:r>
          </w:p>
          <w:p>
            <w:pPr>
              <w:pStyle w:val="null3"/>
            </w:pPr>
            <w:r>
              <w:rPr>
                <w:rFonts w:ascii="仿宋_GB2312" w:hAnsi="仿宋_GB2312" w:cs="仿宋_GB2312" w:eastAsia="仿宋_GB2312"/>
              </w:rPr>
              <w:t>（三）计划工期：自进场之日起15个日历日内竣工。</w:t>
            </w:r>
          </w:p>
          <w:p>
            <w:pPr>
              <w:pStyle w:val="null3"/>
            </w:pPr>
            <w:r>
              <w:rPr>
                <w:rFonts w:ascii="仿宋_GB2312" w:hAnsi="仿宋_GB2312" w:cs="仿宋_GB2312" w:eastAsia="仿宋_GB2312"/>
              </w:rPr>
              <w:t>（四）质量保修期：5年。</w:t>
            </w:r>
          </w:p>
          <w:p>
            <w:pPr>
              <w:pStyle w:val="null3"/>
            </w:pPr>
            <w:r>
              <w:rPr>
                <w:rFonts w:ascii="仿宋_GB2312" w:hAnsi="仿宋_GB2312" w:cs="仿宋_GB2312" w:eastAsia="仿宋_GB2312"/>
              </w:rPr>
              <w:t>三、工程量清单和计价依据</w:t>
            </w:r>
          </w:p>
          <w:p>
            <w:pPr>
              <w:pStyle w:val="null3"/>
            </w:pPr>
            <w:r>
              <w:rPr>
                <w:rFonts w:ascii="仿宋_GB2312" w:hAnsi="仿宋_GB2312" w:cs="仿宋_GB2312" w:eastAsia="仿宋_GB2312"/>
              </w:rPr>
              <w:t>（一）计价依据：《建设工程工程量清单计价规范》（GB50500）；《房屋建筑与装饰工程消耗量定额》；建筑安装工程费用项目组成（建标[2013]44号）。</w:t>
            </w:r>
          </w:p>
          <w:p>
            <w:pPr>
              <w:pStyle w:val="null3"/>
            </w:pPr>
            <w:r>
              <w:rPr>
                <w:rFonts w:ascii="仿宋_GB2312" w:hAnsi="仿宋_GB2312" w:cs="仿宋_GB2312" w:eastAsia="仿宋_GB2312"/>
              </w:rPr>
              <w:t>（二）工程量清单：面积约为2135平方米，工程量清单详见工程量编制附件。</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rPr>
              <w:t>（一）施工单位须具备防水工程专业承包资质，项目负责人、技术负责人及关键岗位人员须持证上岗。进场前提交详细的施工组织设计、专项施工方案及安全文明施工方案，经甲方及监理单位审批后方可实施。</w:t>
            </w:r>
          </w:p>
          <w:p>
            <w:pPr>
              <w:pStyle w:val="null3"/>
            </w:pPr>
            <w:r>
              <w:rPr>
                <w:rFonts w:ascii="仿宋_GB2312" w:hAnsi="仿宋_GB2312" w:cs="仿宋_GB2312" w:eastAsia="仿宋_GB2312"/>
              </w:rPr>
              <w:t>（二）严格按照设计图纸及规范施工，重点把控基层处理、防水层搭接、细部节点（阴阳角、管根、地漏等）处理等关键工序。防水层施工完成后，须进行蓄水或淋水试验，试验时间及渗漏检查标准须满足规范要求。</w:t>
            </w:r>
          </w:p>
          <w:p>
            <w:pPr>
              <w:pStyle w:val="null3"/>
            </w:pPr>
            <w:r>
              <w:rPr>
                <w:rFonts w:ascii="仿宋_GB2312" w:hAnsi="仿宋_GB2312" w:cs="仿宋_GB2312" w:eastAsia="仿宋_GB2312"/>
              </w:rPr>
              <w:t>（三）施工期间严格遵守医院各项管理制度，采取有效降噪、降尘措施，合理安排施工时间，避免影响正常诊疗秩序。施工现场设置明显警示标识，配备消防器材，严禁烟火，确保医疗区域及人员安全。</w:t>
            </w:r>
          </w:p>
          <w:p>
            <w:pPr>
              <w:pStyle w:val="null3"/>
            </w:pPr>
            <w:r>
              <w:rPr>
                <w:rFonts w:ascii="仿宋_GB2312" w:hAnsi="仿宋_GB2312" w:cs="仿宋_GB2312" w:eastAsia="仿宋_GB2312"/>
              </w:rPr>
              <w:t>（四）按照15日历天的工期计划施工，如遇不可抗力需调整工期，须提前书面报甲方审批。</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工程验收标准或规范：达到国家及⾏业现⾏技术规范标准，符合国家及⾏业验收合格标准。</w:t>
            </w:r>
          </w:p>
          <w:p>
            <w:pPr>
              <w:pStyle w:val="null3"/>
            </w:pPr>
            <w:r>
              <w:rPr>
                <w:rFonts w:ascii="仿宋_GB2312" w:hAnsi="仿宋_GB2312" w:cs="仿宋_GB2312" w:eastAsia="仿宋_GB2312"/>
              </w:rPr>
              <w:t>（一）按《中华人民共和国民法典》中的相关条款执行。</w:t>
            </w:r>
          </w:p>
          <w:p>
            <w:pPr>
              <w:pStyle w:val="null3"/>
            </w:pPr>
            <w:r>
              <w:rPr>
                <w:rFonts w:ascii="仿宋_GB2312" w:hAnsi="仿宋_GB2312" w:cs="仿宋_GB2312" w:eastAsia="仿宋_GB2312"/>
              </w:rPr>
              <w:t>（二）若乙方未按合同要求提供材料、服务，或质量不能满足技术要求的，甲方有权解除合同（合同自书面通知送达/拒收乙方之日解除），乙方赔偿甲方解除合同的全部损失（包括但不限于重新采购产生的费用及其它由此造成的甲方对第三方的违约损失），并按照合同总价的30%向甲方支付违约金。</w:t>
            </w:r>
          </w:p>
          <w:p>
            <w:pPr>
              <w:pStyle w:val="null3"/>
            </w:pPr>
            <w:r>
              <w:rPr>
                <w:rFonts w:ascii="仿宋_GB2312" w:hAnsi="仿宋_GB2312" w:cs="仿宋_GB2312" w:eastAsia="仿宋_GB2312"/>
              </w:rPr>
              <w:t>（三）合同执行中发生争议的，当事人双方应协商解决，无法协商或协商达不成一致时，双方均有权向甲方所在地人民法院提请诉讼。 与本工程相关特别说明：质保期内，乙方须提供24小时应急维修服务，接到报修通知后2小时内响应，4小时内到场处理；如未及时响应，甲方有权委托第三方维修，费用由乙方承担。</w:t>
            </w:r>
          </w:p>
          <w:p>
            <w:pPr>
              <w:pStyle w:val="null3"/>
            </w:pPr>
            <w:r>
              <w:rPr>
                <w:rFonts w:ascii="仿宋_GB2312" w:hAnsi="仿宋_GB2312" w:cs="仿宋_GB2312" w:eastAsia="仿宋_GB2312"/>
              </w:rPr>
              <w:t>六、付款方式</w:t>
            </w:r>
          </w:p>
          <w:p>
            <w:pPr>
              <w:pStyle w:val="null3"/>
            </w:pPr>
            <w:r>
              <w:rPr>
                <w:rFonts w:ascii="仿宋_GB2312" w:hAnsi="仿宋_GB2312" w:cs="仿宋_GB2312" w:eastAsia="仿宋_GB2312"/>
              </w:rPr>
              <w:t>项目竣工验收后支付合同价款70%。乙方准备审计资料甲方组织审计，审计完成后再支付审计价款的97%(含已支付合同款的70%)，留3%质量保修期满无质量问题一次性付清。工程审计的审减部分费用(成果费)由承建方全部承担，甲方承担审计的基本费用。具体费用以招标结果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符合建筑工程施工质量验收统一标准（GB50300-2013）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中标（成交）单位在中标（成交）后需向采购代理机构提供纸质响应文件正本壹份、副本壹份，用于项目归档使用。纸质版与上传版必须保持一致，若纸质版响应文件与上传政府采购系统电子版文件不一致时，以政府采购平台上传版为准。 合同⽀付约定说明：因电⼦化交易系统设置，合同⽀付约定为系统模板、⽆法修改，具体付款⽅式以合同为准。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具备防水防腐保温工程专业承包二级及以上资质，同时具备有效期内的安全生产许可证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拟投入的项目经理须提供在本单位注册的建筑工程专业贰级（含贰级）以上注册建造师证书及有效的安全生产考核合格证，且未担任其他在建工程项目的项目经理（提供无在建工程的承诺函）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技术方案.docx 业绩一览表.docx 已标价工程量清单 中小企业声明函 强制优先采购产品承诺函 响应文件封面 供应商资格要求.docx 残疾人福利性单位声明函 报价函 标的清单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响应文件响应有效期</w:t>
            </w:r>
          </w:p>
        </w:tc>
        <w:tc>
          <w:tcPr>
            <w:tcW w:type="dxa" w:w="3322"/>
          </w:tcPr>
          <w:p>
            <w:pPr>
              <w:pStyle w:val="null3"/>
            </w:pPr>
            <w:r>
              <w:rPr>
                <w:rFonts w:ascii="仿宋_GB2312" w:hAnsi="仿宋_GB2312" w:cs="仿宋_GB2312" w:eastAsia="仿宋_GB2312"/>
              </w:rPr>
              <w:t>响应文件有效期达到竞争性磋商文件要求的（合格）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响应文件未出现工程量漏项或工程量清单与要求不符的（合格） 响应文件出现工程量漏项或工程量清单与要求不符的（不合格）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 效情形(不合格)</w:t>
            </w:r>
          </w:p>
        </w:tc>
        <w:tc>
          <w:tcPr>
            <w:tcW w:type="dxa" w:w="1661"/>
          </w:tcPr>
          <w:p>
            <w:pPr>
              <w:pStyle w:val="null3"/>
            </w:pPr>
            <w:r>
              <w:rPr>
                <w:rFonts w:ascii="仿宋_GB2312" w:hAnsi="仿宋_GB2312" w:cs="仿宋_GB2312" w:eastAsia="仿宋_GB2312"/>
              </w:rPr>
              <w:t>技术方案.docx 业绩一览表.docx 已标价工程量清单 中小企业声明函 强制优先采购产品承诺函 响应文件封面 供应商资格要求.docx 残疾人福利性单位声明函 报价函 标的清单 响应函 监狱企业的证明文件 技术、服务、合同条款及其他商务要求应答表.docx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包含①施工概述②施工工艺③施工方法④垃圾清运。 评审标准：每一项方案内容全面详细、阐述条理清晰详尽、符合本项目得4分，满分16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包含①工作进度计划安排②工作进度计划保障措施③施工进度表或施工网络图。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包含①质量保证承诺及保证措施；②总体质量控制目标及分阶段施工的重点难点分析；③施工检测及工序方案。 评审标准：每一项方案内容全面详细、阐述条理清晰详尽、符合本项目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确保文明施工、环境保护措施</w:t>
            </w:r>
          </w:p>
        </w:tc>
        <w:tc>
          <w:tcPr>
            <w:tcW w:type="dxa" w:w="2492"/>
          </w:tcPr>
          <w:p>
            <w:pPr>
              <w:pStyle w:val="null3"/>
            </w:pPr>
            <w:r>
              <w:rPr>
                <w:rFonts w:ascii="仿宋_GB2312" w:hAnsi="仿宋_GB2312" w:cs="仿宋_GB2312" w:eastAsia="仿宋_GB2312"/>
              </w:rPr>
              <w:t>包含①确保文明施工的技术组织措施②确保文明施工的环境保护措施。 评审标准：每一项方案内容全面详细、阐述条理清晰详尽、符合本项目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包含①安全生产管理制度、配置安全组织机构；②安全隐患排查、整改制度；③应急处置措施.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主材投入</w:t>
            </w:r>
          </w:p>
        </w:tc>
        <w:tc>
          <w:tcPr>
            <w:tcW w:type="dxa" w:w="2492"/>
          </w:tcPr>
          <w:p>
            <w:pPr>
              <w:pStyle w:val="null3"/>
            </w:pPr>
            <w:r>
              <w:rPr>
                <w:rFonts w:ascii="仿宋_GB2312" w:hAnsi="仿宋_GB2312" w:cs="仿宋_GB2312" w:eastAsia="仿宋_GB2312"/>
              </w:rPr>
              <w:t>包含①主材选型配置②相关检测内容的证明材料。 评审标准：每一项方案内容全面详细、阐述条理清晰详尽、符合本项目得3分，满分6分。每项存在一处缺陷，扣1分，扣完为止。（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包含①投入的施工机械、设备②设备数量、选型配置③进场数量、时间安排。 评审标准：每一项方案内容全面详细、阐述条理清晰详尽、符合本项目得1分，满分3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包含①拟投入的人员数量②拟投入的人员年龄、专业经验、资格/职称等情况③时间安排合理。 评审标准：每一项方案内容全面详细、阐述条理清晰详尽、符合本项目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供应商提供拟派项目经理自2023年1月1日至今的类似业绩证明材料，每提供1项得1分，最多得2分。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包含①施工单位应用的技术、产品、工艺、材料等先进科学②合理的施工现场扬尘预防措施。 评审标准：每一项方案内容全面详细、阐述条理清晰详尽、符合本项目得2分，满分4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提供供应商2023年1月1日至今(以合同签订日期为准)类似业绩证明材料，每份业绩计1分，满分5分。 备注：业绩时间以合同签订时间所体现的时间为准。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满足磋商文件要求且最后磋商价格最低的磋商报价为评标基准价，其价格分为满分。其他供应商的价格分统一按照下列公式计算：磋商报价得分=（磋商基准价/有效最终磋商报价）×30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