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版本号：ZB202600720260730002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2号楼及6号楼后勤物业服务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ZB2026007</w:t>
      </w:r>
      <w:r>
        <w:br/>
      </w:r>
      <w:r>
        <w:br/>
      </w:r>
      <w:r>
        <w:br/>
      </w:r>
    </w:p>
    <w:p>
      <w:pPr>
        <w:pStyle w:val="null3"/>
        <w:jc w:val="center"/>
        <w:outlineLvl w:val="2"/>
      </w:pPr>
      <w:r>
        <w:rPr>
          <w:rFonts w:ascii="仿宋_GB2312" w:hAnsi="仿宋_GB2312" w:cs="仿宋_GB2312" w:eastAsia="仿宋_GB2312"/>
          <w:sz w:val="28"/>
          <w:b/>
        </w:rPr>
        <w:t>镇巴县人民医院</w:t>
      </w:r>
    </w:p>
    <w:p>
      <w:pPr>
        <w:pStyle w:val="null3"/>
        <w:jc w:val="center"/>
        <w:outlineLvl w:val="2"/>
      </w:pPr>
      <w:r>
        <w:rPr>
          <w:rFonts w:ascii="仿宋_GB2312" w:hAnsi="仿宋_GB2312" w:cs="仿宋_GB2312" w:eastAsia="仿宋_GB2312"/>
          <w:sz w:val="28"/>
          <w:b/>
        </w:rPr>
        <w:t>镇巴县政府采购中心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镇巴县政府采购中心</w:t>
      </w:r>
      <w:r>
        <w:rPr>
          <w:rFonts w:ascii="仿宋_GB2312" w:hAnsi="仿宋_GB2312" w:cs="仿宋_GB2312" w:eastAsia="仿宋_GB2312"/>
        </w:rPr>
        <w:t>（以下简称“代理机构”）受</w:t>
      </w:r>
      <w:r>
        <w:rPr>
          <w:rFonts w:ascii="仿宋_GB2312" w:hAnsi="仿宋_GB2312" w:cs="仿宋_GB2312" w:eastAsia="仿宋_GB2312"/>
        </w:rPr>
        <w:t>镇巴县人民医院</w:t>
      </w:r>
      <w:r>
        <w:rPr>
          <w:rFonts w:ascii="仿宋_GB2312" w:hAnsi="仿宋_GB2312" w:cs="仿宋_GB2312" w:eastAsia="仿宋_GB2312"/>
        </w:rPr>
        <w:t>委托，拟对</w:t>
      </w:r>
      <w:r>
        <w:rPr>
          <w:rFonts w:ascii="仿宋_GB2312" w:hAnsi="仿宋_GB2312" w:cs="仿宋_GB2312" w:eastAsia="仿宋_GB2312"/>
        </w:rPr>
        <w:t>2号楼及6号楼后勤物业服务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ZB2026007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2号楼及6号楼后勤物业服务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2号楼及6号楼后勤物业服务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采购包1（镇巴县人民医院2号楼及6号楼后勤物业服务）：属于专门面向中小企业采购。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镇巴县新街43号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镇巴县人民医院经办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13871483758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镇巴县政府采购中心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陕西省汉中市镇巴县镇巴县泾洋街道办新街16号财政局五楼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龙宁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13093913393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0916-8641963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采购包1：837,225.00元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镇巴县人民医院</w:t>
      </w:r>
      <w:r>
        <w:rPr>
          <w:rFonts w:ascii="仿宋_GB2312" w:hAnsi="仿宋_GB2312" w:cs="仿宋_GB2312" w:eastAsia="仿宋_GB2312"/>
        </w:rPr>
        <w:t>和</w:t>
      </w:r>
      <w:r>
        <w:rPr>
          <w:rFonts w:ascii="仿宋_GB2312" w:hAnsi="仿宋_GB2312" w:cs="仿宋_GB2312" w:eastAsia="仿宋_GB2312"/>
        </w:rPr>
        <w:t>镇巴县政府采购中心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镇巴县人民医院</w:t>
      </w:r>
      <w:r>
        <w:rPr>
          <w:rFonts w:ascii="仿宋_GB2312" w:hAnsi="仿宋_GB2312" w:cs="仿宋_GB2312" w:eastAsia="仿宋_GB2312"/>
        </w:rPr>
        <w:t>负责解释。除上述磋商文件内容，其他内容由</w:t>
      </w:r>
      <w:r>
        <w:rPr>
          <w:rFonts w:ascii="仿宋_GB2312" w:hAnsi="仿宋_GB2312" w:cs="仿宋_GB2312" w:eastAsia="仿宋_GB2312"/>
        </w:rPr>
        <w:t>镇巴县政府采购中心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镇巴县政府采购中心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详见采购合同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镇巴县政府采购中心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镇巴县政府采购中心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镇巴县政府采购中心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联系人：龙先生</w:t>
      </w:r>
    </w:p>
    <w:p>
      <w:pPr>
        <w:pStyle w:val="null3"/>
      </w:pPr>
      <w:r>
        <w:rPr>
          <w:rFonts w:ascii="仿宋_GB2312" w:hAnsi="仿宋_GB2312" w:cs="仿宋_GB2312" w:eastAsia="仿宋_GB2312"/>
        </w:rPr>
        <w:t>联系电话：13093913393</w:t>
      </w:r>
    </w:p>
    <w:p>
      <w:pPr>
        <w:pStyle w:val="null3"/>
      </w:pPr>
      <w:r>
        <w:rPr>
          <w:rFonts w:ascii="仿宋_GB2312" w:hAnsi="仿宋_GB2312" w:cs="仿宋_GB2312" w:eastAsia="仿宋_GB2312"/>
        </w:rPr>
        <w:t>地址：镇巴县境内</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2号楼和6号楼后勤人员外包服务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837,225.00</w:t>
      </w:r>
    </w:p>
    <w:p>
      <w:pPr>
        <w:pStyle w:val="null3"/>
      </w:pPr>
      <w:r>
        <w:rPr>
          <w:rFonts w:ascii="仿宋_GB2312" w:hAnsi="仿宋_GB2312" w:cs="仿宋_GB2312" w:eastAsia="仿宋_GB2312"/>
        </w:rPr>
        <w:t>采购包最高限价（元）: 837,225.00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镇巴县人民医院2号楼及6号楼后勤物业服务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837,225.00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标的名称：镇巴县人民医院2号楼及6号楼后勤物业服务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2"/>
                <w:b/>
                <w:color w:val="000000"/>
              </w:rPr>
              <w:t>镇巴县人民医院</w:t>
            </w:r>
            <w:r>
              <w:rPr>
                <w:rFonts w:ascii="仿宋_GB2312" w:hAnsi="仿宋_GB2312" w:cs="仿宋_GB2312" w:eastAsia="仿宋_GB2312"/>
                <w:sz w:val="32"/>
                <w:b/>
                <w:color w:val="000000"/>
              </w:rPr>
              <w:t>2号楼保洁人员配置一览表</w:t>
            </w:r>
          </w:p>
          <w:tbl>
            <w:tblPr>
              <w:tblBorders>
                <w:top w:val="none" w:color="000000" w:sz="4"/>
                <w:left w:val="none" w:color="000000" w:sz="4"/>
                <w:bottom w:val="none" w:color="000000" w:sz="4"/>
                <w:right w:val="none" w:color="000000" w:sz="4"/>
                <w:insideH w:val="none"/>
                <w:insideV w:val="none"/>
              </w:tblBorders>
            </w:tblPr>
            <w:tblGrid>
              <w:gridCol w:w="363"/>
              <w:gridCol w:w="1166"/>
              <w:gridCol w:w="367"/>
              <w:gridCol w:w="647"/>
            </w:tblGrid>
            <w:tr>
              <w:tc>
                <w:tcPr>
                  <w:tcW w:type="dxa" w:w="36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32"/>
                      <w:b/>
                    </w:rPr>
                    <w:t>楼层</w:t>
                  </w:r>
                </w:p>
              </w:tc>
              <w:tc>
                <w:tcPr>
                  <w:tcW w:type="dxa" w:w="116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32"/>
                      <w:b/>
                    </w:rPr>
                    <w:t>楼层功能</w:t>
                  </w:r>
                </w:p>
              </w:tc>
              <w:tc>
                <w:tcPr>
                  <w:tcW w:type="dxa" w:w="367"/>
                  <w:tcBorders>
                    <w:top w:val="singl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32"/>
                      <w:b/>
                    </w:rPr>
                    <w:t>配置人数</w:t>
                  </w:r>
                </w:p>
              </w:tc>
              <w:tc>
                <w:tcPr>
                  <w:tcW w:type="dxa" w:w="647"/>
                  <w:tcBorders>
                    <w:top w:val="singl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32"/>
                      <w:b/>
                    </w:rPr>
                    <w:t>备注</w:t>
                  </w:r>
                </w:p>
              </w:tc>
            </w:tr>
            <w:tr>
              <w:tc>
                <w:tcPr>
                  <w:tcW w:type="dxa" w:w="3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8"/>
                      <w:color w:val="000000"/>
                    </w:rPr>
                    <w:t>一楼</w:t>
                  </w:r>
                </w:p>
              </w:tc>
              <w:tc>
                <w:tcPr>
                  <w:tcW w:type="dxa" w:w="11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8"/>
                      <w:color w:val="000000"/>
                    </w:rPr>
                    <w:t>消毒供应中心、住院药房、院领导接待室、投诉管理科等</w:t>
                  </w:r>
                </w:p>
              </w:tc>
              <w:tc>
                <w:tcPr>
                  <w:tcW w:type="dxa" w:w="367"/>
                  <w:vMerge w:val="restart"/>
                  <w:tcBorders>
                    <w:top w:val="singl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8"/>
                      <w:color w:val="000000"/>
                    </w:rPr>
                    <w:t>1.5</w:t>
                  </w:r>
                </w:p>
              </w:tc>
              <w:tc>
                <w:tcPr>
                  <w:tcW w:type="dxa" w:w="647"/>
                  <w:vMerge w:val="restart"/>
                  <w:tcBorders>
                    <w:top w:val="singl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8"/>
                      <w:color w:val="000000"/>
                    </w:rPr>
                    <w:t>含院场卫生</w:t>
                  </w:r>
                </w:p>
              </w:tc>
            </w:tr>
            <w:tr>
              <w:tc>
                <w:tcPr>
                  <w:tcW w:type="dxa" w:w="3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8"/>
                      <w:color w:val="000000"/>
                    </w:rPr>
                    <w:t>二楼</w:t>
                  </w:r>
                </w:p>
              </w:tc>
              <w:tc>
                <w:tcPr>
                  <w:tcW w:type="dxa" w:w="11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8"/>
                      <w:color w:val="000000"/>
                    </w:rPr>
                    <w:t>健康管理中心</w:t>
                  </w:r>
                </w:p>
              </w:tc>
              <w:tc>
                <w:tcPr>
                  <w:tcW w:type="dxa" w:w="367"/>
                  <w:vMerge/>
                  <w:tcBorders>
                    <w:top w:val="single" w:color="000000" w:sz="4"/>
                    <w:left w:val="none" w:color="000000" w:sz="4"/>
                    <w:bottom w:val="none" w:color="000000" w:sz="4"/>
                    <w:right w:val="single" w:color="000000" w:sz="4"/>
                  </w:tcBorders>
                </w:tcPr>
                <w:p/>
              </w:tc>
              <w:tc>
                <w:tcPr>
                  <w:tcW w:type="dxa" w:w="647"/>
                  <w:vMerge/>
                  <w:tcBorders>
                    <w:top w:val="single" w:color="000000" w:sz="4"/>
                    <w:left w:val="none" w:color="000000" w:sz="4"/>
                    <w:bottom w:val="none" w:color="000000" w:sz="4"/>
                    <w:right w:val="single" w:color="000000" w:sz="4"/>
                  </w:tcBorders>
                </w:tcPr>
                <w:p/>
              </w:tc>
            </w:tr>
            <w:tr>
              <w:tc>
                <w:tcPr>
                  <w:tcW w:type="dxa" w:w="3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8"/>
                      <w:color w:val="000000"/>
                    </w:rPr>
                    <w:t>三楼</w:t>
                  </w:r>
                </w:p>
              </w:tc>
              <w:tc>
                <w:tcPr>
                  <w:tcW w:type="dxa" w:w="11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8"/>
                      <w:color w:val="000000"/>
                    </w:rPr>
                    <w:t>中医疼痛康复理疗科</w:t>
                  </w:r>
                </w:p>
              </w:tc>
              <w:tc>
                <w:tcPr>
                  <w:tcW w:type="dxa" w:w="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8"/>
                      <w:color w:val="000000"/>
                    </w:rPr>
                    <w:t>1.5</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3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8"/>
                      <w:color w:val="000000"/>
                    </w:rPr>
                    <w:t>四楼</w:t>
                  </w:r>
                </w:p>
              </w:tc>
              <w:tc>
                <w:tcPr>
                  <w:tcW w:type="dxa" w:w="11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8"/>
                      <w:color w:val="000000"/>
                    </w:rPr>
                    <w:t>血液净化中心、网络信息科</w:t>
                  </w:r>
                </w:p>
              </w:tc>
              <w:tc>
                <w:tcPr>
                  <w:tcW w:type="dxa" w:w="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8"/>
                      <w:color w:val="000000"/>
                    </w:rPr>
                    <w:t>1</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3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8"/>
                      <w:color w:val="000000"/>
                    </w:rPr>
                    <w:t>五楼</w:t>
                  </w:r>
                </w:p>
              </w:tc>
              <w:tc>
                <w:tcPr>
                  <w:tcW w:type="dxa" w:w="11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8"/>
                      <w:color w:val="000000"/>
                    </w:rPr>
                    <w:t>呼吸肾脏血液内科</w:t>
                  </w:r>
                </w:p>
              </w:tc>
              <w:tc>
                <w:tcPr>
                  <w:tcW w:type="dxa" w:w="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8"/>
                      <w:color w:val="000000"/>
                    </w:rPr>
                    <w:t>1.5</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3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8"/>
                      <w:color w:val="000000"/>
                    </w:rPr>
                    <w:t>六楼</w:t>
                  </w:r>
                </w:p>
              </w:tc>
              <w:tc>
                <w:tcPr>
                  <w:tcW w:type="dxa" w:w="11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8"/>
                      <w:color w:val="000000"/>
                    </w:rPr>
                    <w:t>心血管内科</w:t>
                  </w:r>
                </w:p>
              </w:tc>
              <w:tc>
                <w:tcPr>
                  <w:tcW w:type="dxa" w:w="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8"/>
                      <w:color w:val="000000"/>
                    </w:rPr>
                    <w:t>1.5</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3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8"/>
                      <w:color w:val="000000"/>
                    </w:rPr>
                    <w:t>七楼</w:t>
                  </w:r>
                </w:p>
              </w:tc>
              <w:tc>
                <w:tcPr>
                  <w:tcW w:type="dxa" w:w="11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8"/>
                      <w:color w:val="000000"/>
                    </w:rPr>
                    <w:t>肿瘤内分泌风湿免疫科</w:t>
                  </w:r>
                </w:p>
              </w:tc>
              <w:tc>
                <w:tcPr>
                  <w:tcW w:type="dxa" w:w="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8"/>
                      <w:color w:val="000000"/>
                    </w:rPr>
                    <w:t>1.5</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3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8"/>
                      <w:color w:val="000000"/>
                    </w:rPr>
                    <w:t>八楼</w:t>
                  </w:r>
                </w:p>
              </w:tc>
              <w:tc>
                <w:tcPr>
                  <w:tcW w:type="dxa" w:w="11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8"/>
                      <w:color w:val="000000"/>
                    </w:rPr>
                    <w:t>消化内科</w:t>
                  </w:r>
                </w:p>
              </w:tc>
              <w:tc>
                <w:tcPr>
                  <w:tcW w:type="dxa" w:w="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8"/>
                      <w:color w:val="000000"/>
                    </w:rPr>
                    <w:t>1.5</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3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8"/>
                      <w:color w:val="000000"/>
                    </w:rPr>
                    <w:t>九楼</w:t>
                  </w:r>
                </w:p>
              </w:tc>
              <w:tc>
                <w:tcPr>
                  <w:tcW w:type="dxa" w:w="11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8"/>
                      <w:color w:val="000000"/>
                    </w:rPr>
                    <w:t>神经内科</w:t>
                  </w:r>
                </w:p>
              </w:tc>
              <w:tc>
                <w:tcPr>
                  <w:tcW w:type="dxa" w:w="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8"/>
                      <w:color w:val="000000"/>
                    </w:rPr>
                    <w:t>1.5</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3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8"/>
                      <w:color w:val="000000"/>
                    </w:rPr>
                    <w:t>十楼</w:t>
                  </w:r>
                </w:p>
              </w:tc>
              <w:tc>
                <w:tcPr>
                  <w:tcW w:type="dxa" w:w="11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8"/>
                      <w:color w:val="000000"/>
                    </w:rPr>
                    <w:t>老年病科</w:t>
                  </w:r>
                </w:p>
              </w:tc>
              <w:tc>
                <w:tcPr>
                  <w:tcW w:type="dxa" w:w="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8"/>
                      <w:color w:val="000000"/>
                    </w:rPr>
                    <w:t>1.5</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3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8"/>
                      <w:color w:val="000000"/>
                    </w:rPr>
                    <w:t>十一楼</w:t>
                  </w:r>
                </w:p>
              </w:tc>
              <w:tc>
                <w:tcPr>
                  <w:tcW w:type="dxa" w:w="11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8"/>
                      <w:color w:val="000000"/>
                    </w:rPr>
                    <w:t>行政办公区域</w:t>
                  </w:r>
                </w:p>
              </w:tc>
              <w:tc>
                <w:tcPr>
                  <w:tcW w:type="dxa" w:w="367"/>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8"/>
                      <w:color w:val="000000"/>
                    </w:rPr>
                    <w:t>1</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3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8"/>
                      <w:color w:val="000000"/>
                    </w:rPr>
                    <w:t>十二楼</w:t>
                  </w:r>
                </w:p>
              </w:tc>
              <w:tc>
                <w:tcPr>
                  <w:tcW w:type="dxa" w:w="11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8"/>
                      <w:color w:val="000000"/>
                    </w:rPr>
                    <w:t>学术厅</w:t>
                  </w:r>
                </w:p>
              </w:tc>
              <w:tc>
                <w:tcPr>
                  <w:tcW w:type="dxa" w:w="367"/>
                  <w:vMerge/>
                  <w:tcBorders>
                    <w:top w:val="none" w:color="000000" w:sz="4"/>
                    <w:left w:val="none" w:color="000000" w:sz="4"/>
                    <w:bottom w:val="single" w:color="000000" w:sz="4"/>
                    <w:right w:val="single" w:color="000000" w:sz="4"/>
                  </w:tcBorders>
                </w:tcP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3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11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8"/>
                      <w:color w:val="000000"/>
                    </w:rPr>
                    <w:t>机动保洁</w:t>
                  </w:r>
                </w:p>
              </w:tc>
              <w:tc>
                <w:tcPr>
                  <w:tcW w:type="dxa" w:w="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8"/>
                      <w:color w:val="000000"/>
                    </w:rPr>
                    <w:t>2</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3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11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8"/>
                      <w:color w:val="000000"/>
                    </w:rPr>
                    <w:t>保洁经理</w:t>
                  </w:r>
                </w:p>
              </w:tc>
              <w:tc>
                <w:tcPr>
                  <w:tcW w:type="dxa" w:w="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8"/>
                      <w:color w:val="000000"/>
                    </w:rPr>
                    <w:t>1</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8"/>
                      <w:color w:val="000000"/>
                    </w:rPr>
                    <w:t>负责日常管理</w:t>
                  </w:r>
                </w:p>
              </w:tc>
            </w:tr>
            <w:tr>
              <w:tc>
                <w:tcPr>
                  <w:tcW w:type="dxa" w:w="3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8"/>
                      <w:color w:val="000000"/>
                    </w:rPr>
                    <w:t>合计</w:t>
                  </w:r>
                </w:p>
              </w:tc>
              <w:tc>
                <w:tcPr>
                  <w:tcW w:type="dxa" w:w="11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3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8"/>
                      <w:color w:val="000000"/>
                    </w:rPr>
                    <w:t>17人</w:t>
                  </w:r>
                </w:p>
              </w:tc>
              <w:tc>
                <w:tcPr>
                  <w:tcW w:type="dxa" w:w="64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bl>
          <w:p>
            <w:pPr>
              <w:pStyle w:val="null3"/>
              <w:jc w:val="center"/>
            </w:pPr>
            <w:r>
              <w:rPr>
                <w:rFonts w:ascii="仿宋_GB2312" w:hAnsi="仿宋_GB2312" w:cs="仿宋_GB2312" w:eastAsia="仿宋_GB2312"/>
                <w:sz w:val="32"/>
                <w:b/>
                <w:color w:val="000000"/>
              </w:rPr>
              <w:t>镇巴县人民医院</w:t>
            </w:r>
            <w:r>
              <w:rPr>
                <w:rFonts w:ascii="仿宋_GB2312" w:hAnsi="仿宋_GB2312" w:cs="仿宋_GB2312" w:eastAsia="仿宋_GB2312"/>
                <w:sz w:val="32"/>
                <w:b/>
                <w:color w:val="000000"/>
              </w:rPr>
              <w:t>2号楼保洁服务费用明细表（预算）</w:t>
            </w:r>
          </w:p>
          <w:tbl>
            <w:tblPr>
              <w:tblInd w:type="dxa" w:w="135"/>
              <w:tblBorders>
                <w:top w:val="none" w:color="000000" w:sz="4"/>
                <w:left w:val="none" w:color="000000" w:sz="4"/>
                <w:bottom w:val="none" w:color="000000" w:sz="4"/>
                <w:right w:val="none" w:color="000000" w:sz="4"/>
                <w:insideH w:val="none"/>
                <w:insideV w:val="none"/>
              </w:tblBorders>
            </w:tblPr>
            <w:tblGrid>
              <w:gridCol w:w="254"/>
              <w:gridCol w:w="675"/>
              <w:gridCol w:w="222"/>
              <w:gridCol w:w="376"/>
              <w:gridCol w:w="509"/>
              <w:gridCol w:w="505"/>
            </w:tblGrid>
            <w:tr>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rPr>
                    <w:t>序号</w:t>
                  </w:r>
                </w:p>
              </w:tc>
              <w:tc>
                <w:tcPr>
                  <w:tcW w:type="dxa" w:w="6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rPr>
                    <w:t>科目</w:t>
                  </w:r>
                </w:p>
              </w:tc>
              <w:tc>
                <w:tcPr>
                  <w:tcW w:type="dxa" w:w="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rPr>
                    <w:t>人数</w:t>
                  </w:r>
                </w:p>
              </w:tc>
              <w:tc>
                <w:tcPr>
                  <w:tcW w:type="dxa" w:w="3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rPr>
                    <w:t>核算</w:t>
                  </w:r>
                </w:p>
                <w:p>
                  <w:pPr>
                    <w:pStyle w:val="null3"/>
                    <w:jc w:val="center"/>
                  </w:pPr>
                  <w:r>
                    <w:rPr>
                      <w:rFonts w:ascii="仿宋_GB2312" w:hAnsi="仿宋_GB2312" w:cs="仿宋_GB2312" w:eastAsia="仿宋_GB2312"/>
                      <w:sz w:val="32"/>
                      <w:b/>
                    </w:rPr>
                    <w:t>标准</w:t>
                  </w:r>
                </w:p>
              </w:tc>
              <w:tc>
                <w:tcPr>
                  <w:tcW w:type="dxa" w:w="5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rPr>
                    <w:t>合计</w:t>
                  </w:r>
                </w:p>
                <w:p>
                  <w:pPr>
                    <w:pStyle w:val="null3"/>
                    <w:jc w:val="center"/>
                  </w:pPr>
                  <w:r>
                    <w:rPr>
                      <w:rFonts w:ascii="仿宋_GB2312" w:hAnsi="仿宋_GB2312" w:cs="仿宋_GB2312" w:eastAsia="仿宋_GB2312"/>
                      <w:sz w:val="32"/>
                      <w:b/>
                    </w:rPr>
                    <w:t>（年</w:t>
                  </w:r>
                  <w:r>
                    <w:rPr>
                      <w:rFonts w:ascii="仿宋_GB2312" w:hAnsi="仿宋_GB2312" w:cs="仿宋_GB2312" w:eastAsia="仿宋_GB2312"/>
                      <w:sz w:val="32"/>
                      <w:b/>
                    </w:rPr>
                    <w:t>/元）</w:t>
                  </w:r>
                </w:p>
              </w:tc>
              <w:tc>
                <w:tcPr>
                  <w:tcW w:type="dxa" w:w="5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rPr>
                    <w:t>合计</w:t>
                  </w:r>
                </w:p>
                <w:p>
                  <w:pPr>
                    <w:pStyle w:val="null3"/>
                    <w:jc w:val="center"/>
                  </w:pPr>
                  <w:r>
                    <w:rPr>
                      <w:rFonts w:ascii="仿宋_GB2312" w:hAnsi="仿宋_GB2312" w:cs="仿宋_GB2312" w:eastAsia="仿宋_GB2312"/>
                      <w:sz w:val="32"/>
                      <w:b/>
                    </w:rPr>
                    <w:t>（年</w:t>
                  </w:r>
                  <w:r>
                    <w:rPr>
                      <w:rFonts w:ascii="仿宋_GB2312" w:hAnsi="仿宋_GB2312" w:cs="仿宋_GB2312" w:eastAsia="仿宋_GB2312"/>
                      <w:sz w:val="32"/>
                      <w:b/>
                    </w:rPr>
                    <w:t>/元）</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项目经理</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4500</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54000</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保洁员</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16</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2140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34240</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410880</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福利费用</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17</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1400</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23800</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养老、失业、工伤等保险</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17</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13600</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163200</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医疗保险</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17</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6800</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工服（冬夏各一套）</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17</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3400</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保洁设备和工具物料消耗品等</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17</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4250/月</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51000</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套被褥及收铺床</w:t>
                  </w:r>
                </w:p>
              </w:tc>
              <w:tc>
                <w:tcPr>
                  <w:tcW w:type="dxa" w:w="5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7个护理单元</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1400/月</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16800</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营业税额</w:t>
                  </w:r>
                </w:p>
              </w:tc>
              <w:tc>
                <w:tcPr>
                  <w:tcW w:type="dxa" w:w="5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承包费的</w:t>
                  </w:r>
                  <w:r>
                    <w:rPr>
                      <w:rFonts w:ascii="仿宋_GB2312" w:hAnsi="仿宋_GB2312" w:cs="仿宋_GB2312" w:eastAsia="仿宋_GB2312"/>
                      <w:sz w:val="28"/>
                      <w:color w:val="000000"/>
                    </w:rPr>
                    <w:t>3%</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21896</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总承包费用</w:t>
                  </w:r>
                </w:p>
              </w:tc>
              <w:tc>
                <w:tcPr>
                  <w:tcW w:type="dxa" w:w="110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751776</w:t>
                  </w:r>
                </w:p>
              </w:tc>
            </w:tr>
          </w:tbl>
          <w:tbl>
            <w:tblPr>
              <w:tblInd w:type="dxa" w:w="135"/>
              <w:tblBorders>
                <w:top w:val="none" w:color="000000" w:sz="4"/>
                <w:left w:val="none" w:color="000000" w:sz="4"/>
                <w:bottom w:val="none" w:color="000000" w:sz="4"/>
                <w:right w:val="none" w:color="000000" w:sz="4"/>
                <w:insideH w:val="none"/>
                <w:insideV w:val="none"/>
              </w:tblBorders>
            </w:tblPr>
            <w:tblGrid>
              <w:gridCol w:w="115"/>
              <w:gridCol w:w="710"/>
              <w:gridCol w:w="289"/>
              <w:gridCol w:w="436"/>
              <w:gridCol w:w="517"/>
              <w:gridCol w:w="471"/>
            </w:tblGrid>
            <w:tr>
              <w:tc>
                <w:tcPr>
                  <w:tcW w:type="dxa" w:w="2538"/>
                  <w:gridSpan w:val="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镇巴县人民医院发热门诊（</w:t>
                  </w:r>
                  <w:r>
                    <w:rPr>
                      <w:rFonts w:ascii="仿宋_GB2312" w:hAnsi="仿宋_GB2312" w:cs="仿宋_GB2312" w:eastAsia="仿宋_GB2312"/>
                      <w:sz w:val="32"/>
                      <w:b/>
                      <w:color w:val="000000"/>
                    </w:rPr>
                    <w:t>6号）楼保洁服务费用明细表（预算）</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rPr>
                    <w:t>序号</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rPr>
                    <w:t>科</w:t>
                  </w:r>
                  <w:r>
                    <w:rPr>
                      <w:rFonts w:ascii="仿宋_GB2312" w:hAnsi="仿宋_GB2312" w:cs="仿宋_GB2312" w:eastAsia="仿宋_GB2312"/>
                      <w:sz w:val="32"/>
                      <w:b/>
                    </w:rPr>
                    <w:t xml:space="preserve">  </w:t>
                  </w:r>
                  <w:r>
                    <w:rPr>
                      <w:rFonts w:ascii="仿宋_GB2312" w:hAnsi="仿宋_GB2312" w:cs="仿宋_GB2312" w:eastAsia="仿宋_GB2312"/>
                      <w:sz w:val="32"/>
                      <w:b/>
                    </w:rPr>
                    <w:t>目</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rPr>
                    <w:t>人数</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rPr>
                    <w:t>核算</w:t>
                  </w:r>
                </w:p>
                <w:p>
                  <w:pPr>
                    <w:pStyle w:val="null3"/>
                    <w:jc w:val="center"/>
                  </w:pPr>
                  <w:r>
                    <w:rPr>
                      <w:rFonts w:ascii="仿宋_GB2312" w:hAnsi="仿宋_GB2312" w:cs="仿宋_GB2312" w:eastAsia="仿宋_GB2312"/>
                      <w:sz w:val="32"/>
                      <w:b/>
                    </w:rPr>
                    <w:t>标准</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rPr>
                    <w:t>合计</w:t>
                  </w:r>
                </w:p>
                <w:p>
                  <w:pPr>
                    <w:pStyle w:val="null3"/>
                    <w:jc w:val="center"/>
                  </w:pPr>
                  <w:r>
                    <w:rPr>
                      <w:rFonts w:ascii="仿宋_GB2312" w:hAnsi="仿宋_GB2312" w:cs="仿宋_GB2312" w:eastAsia="仿宋_GB2312"/>
                      <w:sz w:val="32"/>
                      <w:b/>
                    </w:rPr>
                    <w:t>（年</w:t>
                  </w:r>
                  <w:r>
                    <w:rPr>
                      <w:rFonts w:ascii="仿宋_GB2312" w:hAnsi="仿宋_GB2312" w:cs="仿宋_GB2312" w:eastAsia="仿宋_GB2312"/>
                      <w:sz w:val="32"/>
                      <w:b/>
                    </w:rPr>
                    <w:t>/元）</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rPr>
                    <w:t>合计</w:t>
                  </w:r>
                </w:p>
                <w:p>
                  <w:pPr>
                    <w:pStyle w:val="null3"/>
                    <w:jc w:val="center"/>
                  </w:pPr>
                  <w:r>
                    <w:rPr>
                      <w:rFonts w:ascii="仿宋_GB2312" w:hAnsi="仿宋_GB2312" w:cs="仿宋_GB2312" w:eastAsia="仿宋_GB2312"/>
                      <w:sz w:val="32"/>
                      <w:b/>
                    </w:rPr>
                    <w:t>（年</w:t>
                  </w:r>
                  <w:r>
                    <w:rPr>
                      <w:rFonts w:ascii="仿宋_GB2312" w:hAnsi="仿宋_GB2312" w:cs="仿宋_GB2312" w:eastAsia="仿宋_GB2312"/>
                      <w:sz w:val="32"/>
                      <w:b/>
                    </w:rPr>
                    <w:t>/元）</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保洁员工资</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2140元/月</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4280</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51360</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社保（养老、失业、工伤等）</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800元/月</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1600</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19200</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医疗保险</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400元/年/人</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800</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员工福利费用</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1400元/年</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2800</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2800</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工服（冬夏各两套）</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200元/年</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400</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保洁设备和工具物料消耗品等</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250</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500/月</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6000</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套被褥及收铺床</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200/月</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2400</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2400</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营业税额</w:t>
                  </w:r>
                </w:p>
              </w:tc>
              <w:tc>
                <w:tcPr>
                  <w:tcW w:type="dxa" w:w="7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总承包费的</w:t>
                  </w:r>
                  <w:r>
                    <w:rPr>
                      <w:rFonts w:ascii="仿宋_GB2312" w:hAnsi="仿宋_GB2312" w:cs="仿宋_GB2312" w:eastAsia="仿宋_GB2312"/>
                      <w:sz w:val="28"/>
                      <w:color w:val="000000"/>
                    </w:rPr>
                    <w:t>3%</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2489</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总计</w:t>
                  </w:r>
                </w:p>
              </w:tc>
              <w:tc>
                <w:tcPr>
                  <w:tcW w:type="dxa" w:w="72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85449</w:t>
                  </w:r>
                </w:p>
              </w:tc>
            </w:tr>
          </w:tbl>
          <w:p>
            <w:pPr>
              <w:pStyle w:val="null3"/>
              <w:jc w:val="both"/>
            </w:pPr>
            <w:r>
              <w:rPr>
                <w:rFonts w:ascii="仿宋_GB2312" w:hAnsi="仿宋_GB2312" w:cs="仿宋_GB2312" w:eastAsia="仿宋_GB2312"/>
                <w:sz w:val="32"/>
                <w:b/>
                <w:color w:val="000000"/>
              </w:rPr>
              <w:t>综上所述：镇巴县人民医院</w:t>
            </w:r>
            <w:r>
              <w:rPr>
                <w:rFonts w:ascii="仿宋_GB2312" w:hAnsi="仿宋_GB2312" w:cs="仿宋_GB2312" w:eastAsia="仿宋_GB2312"/>
                <w:sz w:val="32"/>
                <w:b/>
                <w:color w:val="000000"/>
              </w:rPr>
              <w:t>2号楼及6号楼保洁需配置人员为19人，服务</w:t>
            </w:r>
            <w:r>
              <w:rPr>
                <w:rFonts w:ascii="仿宋_GB2312" w:hAnsi="仿宋_GB2312" w:cs="仿宋_GB2312" w:eastAsia="仿宋_GB2312"/>
                <w:sz w:val="32"/>
                <w:b/>
              </w:rPr>
              <w:t>费用为</w:t>
            </w:r>
            <w:r>
              <w:rPr>
                <w:rFonts w:ascii="仿宋_GB2312" w:hAnsi="仿宋_GB2312" w:cs="仿宋_GB2312" w:eastAsia="仿宋_GB2312"/>
                <w:sz w:val="32"/>
                <w:b/>
              </w:rPr>
              <w:t>837225元。</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640"/>
              <w:jc w:val="both"/>
            </w:pPr>
            <w:r>
              <w:rPr>
                <w:rFonts w:ascii="仿宋_GB2312" w:hAnsi="仿宋_GB2312" w:cs="仿宋_GB2312" w:eastAsia="仿宋_GB2312"/>
                <w:sz w:val="32"/>
              </w:rPr>
              <w:t>采购标准</w:t>
            </w:r>
          </w:p>
          <w:p>
            <w:pPr>
              <w:pStyle w:val="null3"/>
              <w:ind w:firstLine="643"/>
              <w:jc w:val="both"/>
            </w:pPr>
            <w:r>
              <w:rPr>
                <w:rFonts w:ascii="仿宋_GB2312" w:hAnsi="仿宋_GB2312" w:cs="仿宋_GB2312" w:eastAsia="仿宋_GB2312"/>
                <w:sz w:val="32"/>
                <w:b/>
                <w:color w:val="000000"/>
              </w:rPr>
              <w:t>（一）总体工作要求</w:t>
            </w:r>
          </w:p>
          <w:p>
            <w:pPr>
              <w:pStyle w:val="null3"/>
              <w:ind w:firstLine="640"/>
              <w:jc w:val="both"/>
            </w:pPr>
            <w:r>
              <w:rPr>
                <w:rFonts w:ascii="仿宋_GB2312" w:hAnsi="仿宋_GB2312" w:cs="仿宋_GB2312" w:eastAsia="仿宋_GB2312"/>
                <w:sz w:val="32"/>
                <w:color w:val="000000"/>
              </w:rPr>
              <w:t>1.落实消毒隔离制度，杜绝交叉感染</w:t>
            </w:r>
          </w:p>
          <w:p>
            <w:pPr>
              <w:pStyle w:val="null3"/>
              <w:ind w:firstLine="640"/>
              <w:jc w:val="both"/>
            </w:pPr>
            <w:r>
              <w:rPr>
                <w:rFonts w:ascii="仿宋_GB2312" w:hAnsi="仿宋_GB2312" w:cs="仿宋_GB2312" w:eastAsia="仿宋_GB2312"/>
                <w:sz w:val="32"/>
                <w:color w:val="000000"/>
              </w:rPr>
              <w:t>严格执行医院院感相关规定及《医疗机构环境表面清洁与消毒管理标准》（</w:t>
            </w:r>
            <w:r>
              <w:rPr>
                <w:rFonts w:ascii="仿宋_GB2312" w:hAnsi="仿宋_GB2312" w:cs="仿宋_GB2312" w:eastAsia="仿宋_GB2312"/>
                <w:sz w:val="32"/>
                <w:color w:val="000000"/>
              </w:rPr>
              <w:t>WS/T 512—2025），院内各类区域病菌较多，严防院内交叉感染。严格实施分区管理，落实分级清洁消毒措施。传染病区域污染物禁止带出病区。地面被患者呕吐物、排泄物、分泌物污染须先覆盖消毒再清除污物，然后进行清洁消毒。清洁工具严格区分清洁区、污染区专用，推行颜色分区管理。病区、病床清洁用品不得混用，严格落实一床一巾一消毒，从源头规避交叉感染。</w:t>
            </w:r>
          </w:p>
          <w:p>
            <w:pPr>
              <w:pStyle w:val="null3"/>
              <w:ind w:firstLine="640"/>
              <w:jc w:val="both"/>
            </w:pPr>
            <w:r>
              <w:rPr>
                <w:rFonts w:ascii="仿宋_GB2312" w:hAnsi="仿宋_GB2312" w:cs="仿宋_GB2312" w:eastAsia="仿宋_GB2312"/>
                <w:sz w:val="32"/>
                <w:color w:val="000000"/>
              </w:rPr>
              <w:t>2.维护安静诊疗环境</w:t>
            </w:r>
          </w:p>
          <w:p>
            <w:pPr>
              <w:pStyle w:val="null3"/>
              <w:ind w:firstLine="640"/>
              <w:jc w:val="both"/>
            </w:pPr>
            <w:r>
              <w:rPr>
                <w:rFonts w:ascii="仿宋_GB2312" w:hAnsi="仿宋_GB2312" w:cs="仿宋_GB2312" w:eastAsia="仿宋_GB2312"/>
                <w:sz w:val="32"/>
                <w:color w:val="000000"/>
              </w:rPr>
              <w:t>保洁作业轻拿轻放，禁止作业时高声闲聊，沟通压低声音，不干扰医护工作与患者休息。</w:t>
            </w:r>
          </w:p>
          <w:p>
            <w:pPr>
              <w:pStyle w:val="null3"/>
              <w:ind w:firstLine="640"/>
              <w:jc w:val="both"/>
            </w:pPr>
            <w:r>
              <w:rPr>
                <w:rFonts w:ascii="仿宋_GB2312" w:hAnsi="仿宋_GB2312" w:cs="仿宋_GB2312" w:eastAsia="仿宋_GB2312"/>
                <w:sz w:val="32"/>
                <w:color w:val="000000"/>
              </w:rPr>
              <w:t>3.常态化巡回保洁，随脏随清</w:t>
            </w:r>
          </w:p>
          <w:p>
            <w:pPr>
              <w:pStyle w:val="null3"/>
              <w:ind w:firstLine="640"/>
              <w:jc w:val="both"/>
            </w:pPr>
            <w:r>
              <w:rPr>
                <w:rFonts w:ascii="仿宋_GB2312" w:hAnsi="仿宋_GB2312" w:cs="仿宋_GB2312" w:eastAsia="仿宋_GB2312"/>
                <w:sz w:val="32"/>
                <w:color w:val="000000"/>
              </w:rPr>
              <w:t>院区人流量大，公共区域、卫生间易积存垃圾污物，保洁人员定时巡回保洁，做到随脏随清，保持环境整洁。</w:t>
            </w:r>
          </w:p>
          <w:p>
            <w:pPr>
              <w:pStyle w:val="null3"/>
              <w:ind w:firstLine="640"/>
              <w:jc w:val="both"/>
            </w:pPr>
            <w:r>
              <w:rPr>
                <w:rFonts w:ascii="仿宋_GB2312" w:hAnsi="仿宋_GB2312" w:cs="仿宋_GB2312" w:eastAsia="仿宋_GB2312"/>
                <w:sz w:val="32"/>
                <w:color w:val="000000"/>
              </w:rPr>
              <w:t>4.规范服务礼仪，落实首问负责</w:t>
            </w:r>
          </w:p>
          <w:p>
            <w:pPr>
              <w:pStyle w:val="null3"/>
              <w:ind w:firstLine="640"/>
              <w:jc w:val="both"/>
            </w:pPr>
            <w:r>
              <w:rPr>
                <w:rFonts w:ascii="仿宋_GB2312" w:hAnsi="仿宋_GB2312" w:cs="仿宋_GB2312" w:eastAsia="仿宋_GB2312"/>
                <w:sz w:val="32"/>
                <w:color w:val="000000"/>
              </w:rPr>
              <w:t>对待病患耐心热情，虚心接受工作建议并及时整改；落实首问负责制，耐心答复患者问询，不能解答的主动联系相关科室，不得推诿患者。</w:t>
            </w:r>
          </w:p>
          <w:p>
            <w:pPr>
              <w:pStyle w:val="null3"/>
              <w:ind w:firstLine="640"/>
              <w:jc w:val="both"/>
            </w:pPr>
            <w:r>
              <w:rPr>
                <w:rFonts w:ascii="仿宋_GB2312" w:hAnsi="仿宋_GB2312" w:cs="仿宋_GB2312" w:eastAsia="仿宋_GB2312"/>
                <w:sz w:val="32"/>
                <w:color w:val="000000"/>
              </w:rPr>
              <w:t>5.强化安全防范意识</w:t>
            </w:r>
          </w:p>
          <w:p>
            <w:pPr>
              <w:pStyle w:val="null3"/>
              <w:ind w:firstLine="640"/>
              <w:jc w:val="both"/>
            </w:pPr>
            <w:r>
              <w:rPr>
                <w:rFonts w:ascii="仿宋_GB2312" w:hAnsi="仿宋_GB2312" w:cs="仿宋_GB2312" w:eastAsia="仿宋_GB2312"/>
                <w:sz w:val="32"/>
                <w:color w:val="000000"/>
              </w:rPr>
              <w:t>日常留意院区可疑人员，防范医托、偷盗等情况，发现异常第一时间上报总务科。保洁人员须接受消防、用电等安全培训，掌握灭火器使用方法及应急疏散流程。</w:t>
            </w:r>
          </w:p>
          <w:p>
            <w:pPr>
              <w:pStyle w:val="null3"/>
              <w:ind w:firstLine="643"/>
              <w:jc w:val="both"/>
            </w:pPr>
            <w:r>
              <w:rPr>
                <w:rFonts w:ascii="仿宋_GB2312" w:hAnsi="仿宋_GB2312" w:cs="仿宋_GB2312" w:eastAsia="仿宋_GB2312"/>
                <w:sz w:val="32"/>
                <w:b/>
                <w:color w:val="000000"/>
              </w:rPr>
              <w:t>（二）保洁人员作业质量标准</w:t>
            </w:r>
          </w:p>
          <w:p>
            <w:pPr>
              <w:pStyle w:val="null3"/>
              <w:ind w:firstLine="640"/>
              <w:jc w:val="both"/>
            </w:pPr>
            <w:r>
              <w:rPr>
                <w:rFonts w:ascii="仿宋_GB2312" w:hAnsi="仿宋_GB2312" w:cs="仿宋_GB2312" w:eastAsia="仿宋_GB2312"/>
                <w:sz w:val="32"/>
                <w:color w:val="000000"/>
              </w:rPr>
              <w:t>1.在岗管理：保洁人员准时上下班，严禁迟到、早退、脱岗、串岗；规范文明用语，文明服务，禁止与患者争执。</w:t>
            </w:r>
          </w:p>
          <w:p>
            <w:pPr>
              <w:pStyle w:val="null3"/>
              <w:ind w:firstLine="640"/>
              <w:jc w:val="both"/>
            </w:pPr>
            <w:r>
              <w:rPr>
                <w:rFonts w:ascii="仿宋_GB2312" w:hAnsi="仿宋_GB2312" w:cs="仿宋_GB2312" w:eastAsia="仿宋_GB2312"/>
                <w:sz w:val="32"/>
                <w:color w:val="000000"/>
              </w:rPr>
              <w:t>2.病房清洁消杀：病房每日清洁≥4次、消杀≥2次，地面无污渍；患者出院后床单元必须按要求做好终末消毒，床头柜、床旁桌椅定期擦拭消毒。</w:t>
            </w:r>
          </w:p>
          <w:p>
            <w:pPr>
              <w:pStyle w:val="null3"/>
              <w:ind w:firstLine="640"/>
              <w:jc w:val="both"/>
            </w:pPr>
            <w:r>
              <w:rPr>
                <w:rFonts w:ascii="仿宋_GB2312" w:hAnsi="仿宋_GB2312" w:cs="仿宋_GB2312" w:eastAsia="仿宋_GB2312"/>
                <w:sz w:val="32"/>
                <w:color w:val="000000"/>
              </w:rPr>
              <w:t>3.医疗废物处置：医疗废物做到日产日清、即时规范分类清运，垃圾桶定期刷洗，存放点位干净整洁；医废转运后及时、规范、正确填写医疗垃圾交接台账，资料归档留存备查。</w:t>
            </w:r>
          </w:p>
          <w:p>
            <w:pPr>
              <w:pStyle w:val="null3"/>
              <w:ind w:firstLine="640"/>
              <w:jc w:val="both"/>
            </w:pPr>
            <w:r>
              <w:rPr>
                <w:rFonts w:ascii="仿宋_GB2312" w:hAnsi="仿宋_GB2312" w:cs="仿宋_GB2312" w:eastAsia="仿宋_GB2312"/>
                <w:sz w:val="32"/>
                <w:color w:val="000000"/>
              </w:rPr>
              <w:t>4.垃圾分类转运：医疗垃圾、生活垃圾分区存放，按照规定时限分类转运。严禁将医疗废物混入生活垃圾。</w:t>
            </w:r>
          </w:p>
          <w:p>
            <w:pPr>
              <w:pStyle w:val="null3"/>
              <w:ind w:firstLine="640"/>
              <w:jc w:val="both"/>
            </w:pPr>
            <w:r>
              <w:rPr>
                <w:rFonts w:ascii="仿宋_GB2312" w:hAnsi="仿宋_GB2312" w:cs="仿宋_GB2312" w:eastAsia="仿宋_GB2312"/>
                <w:sz w:val="32"/>
                <w:color w:val="000000"/>
              </w:rPr>
              <w:t>5.床品管理：更换下的污被服单独封装，统一交接洗衣房；备用床铺被褥平整无褶皱，床单紧绷压实，床面无杂物；定期整理被褥间并保持整洁。</w:t>
            </w:r>
          </w:p>
          <w:p>
            <w:pPr>
              <w:pStyle w:val="null3"/>
            </w:pPr>
            <w:r>
              <w:rPr>
                <w:rFonts w:ascii="仿宋_GB2312" w:hAnsi="仿宋_GB2312" w:cs="仿宋_GB2312" w:eastAsia="仿宋_GB2312"/>
                <w:sz w:val="32"/>
                <w:color w:val="000000"/>
              </w:rPr>
              <w:t>6.人员培训：保洁人员上岗前须进行岗前培训（含院感基础知识、手卫生规范、个人防护用品穿脱、医疗废物分类、消毒液配制、病区安全应知应会等），考核合格方可上岗；保洁人员上岗后每年至少组织2次培训，培训记录存档备查。</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镇巴县人民医院2号楼及6号楼</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每月开展保洁工作考核</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成本补偿，每月开展保洁工作考核，达到付款条件起30个工作日内，支付合同总金额的100.0%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投标文件有法定代表人或授权委托人的签字或盖章并加盖投标供应商公章</w:t>
            </w:r>
          </w:p>
        </w:tc>
        <w:tc>
          <w:tcPr>
            <w:tcW w:type="dxa" w:w="1661"/>
          </w:tcPr>
          <w:p>
            <w:pPr>
              <w:pStyle w:val="null3"/>
            </w:pPr>
            <w:r>
              <w:rPr>
                <w:rFonts w:ascii="仿宋_GB2312" w:hAnsi="仿宋_GB2312" w:cs="仿宋_GB2312" w:eastAsia="仿宋_GB2312"/>
              </w:rPr>
              <w:t>响应文件封面 供应商应提交的相关资格证明材料.docx 政府采购供应商拒绝政府采购领域商业贿赂承诺书(1).docx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完全响应磋商文件要求的各项技术（服务）条款、商务实质性条款</w:t>
            </w:r>
          </w:p>
        </w:tc>
        <w:tc>
          <w:tcPr>
            <w:tcW w:type="dxa" w:w="1661"/>
          </w:tcPr>
          <w:p>
            <w:pPr>
              <w:pStyle w:val="null3"/>
            </w:pPr>
            <w:r>
              <w:rPr>
                <w:rFonts w:ascii="仿宋_GB2312" w:hAnsi="仿宋_GB2312" w:cs="仿宋_GB2312" w:eastAsia="仿宋_GB2312"/>
              </w:rPr>
              <w:t>响应文件封面 供应商应提交的相关资格证明材料.docx 政府采购供应商拒绝政府采购领域商业贿赂承诺书(1).docx 中小企业声明函 残疾人福利性单位声明函 商务应答表 服务方案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详细评审79.00分</w:t>
            </w:r>
          </w:p>
          <w:p>
            <w:pPr>
              <w:pStyle w:val="null3"/>
            </w:pPr>
            <w:r>
              <w:rPr>
                <w:rFonts w:ascii="仿宋_GB2312" w:hAnsi="仿宋_GB2312" w:cs="仿宋_GB2312" w:eastAsia="仿宋_GB2312"/>
              </w:rPr>
              <w:t>报价得分21.00分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1、岗位职责制度：岗位工作标准、服务质量标准、作业流程、作业记录规范，每提供一项得0.5 分，满分2 分，不提供不得分； 2、内控制度：项目管理组织机构、问责机制、监督机制、自查制度，每提供一项得1 分，满分4 分，不提供不得分； 3、人员管理制度：员工日常管理制度、请销假制度、奖惩激励措施机制、仪容仪表管理制度，每提供一项得0.5分，满分2 分，不提供不得分。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1、突发紧急事件：停水停电、消防、防汛地震、电梯困人，每提供一项得1分，满分4 分，不提供不得分； 2、违法事件：防盗、打架斗殴、寻衅滋事，每提供一项得0.5 分，满分1.5 分，不提供不得分； 3、重要活动：培训考试、典礼、文艺演出、学术论坛、重要会议，每提供一项得0.5 分，满分2.5分，不提供不得分。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培训考核方案</w:t>
            </w:r>
          </w:p>
        </w:tc>
        <w:tc>
          <w:tcPr>
            <w:tcW w:type="dxa" w:w="2492"/>
          </w:tcPr>
          <w:p>
            <w:pPr>
              <w:pStyle w:val="null3"/>
            </w:pPr>
            <w:r>
              <w:rPr>
                <w:rFonts w:ascii="仿宋_GB2312" w:hAnsi="仿宋_GB2312" w:cs="仿宋_GB2312" w:eastAsia="仿宋_GB2312"/>
              </w:rPr>
              <w:t>1、岗前培训及定期岗位培训：岗位职责培训、行为规范培训、服务礼仪培训，每提供一项得1 分，满分3 分，不提供不得分； 2、培训后的成果验收和考核：岗位考核、工作程序考核，每提供一项得1分，满分2分，不提供不得分。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节能降耗方案</w:t>
            </w:r>
          </w:p>
        </w:tc>
        <w:tc>
          <w:tcPr>
            <w:tcW w:type="dxa" w:w="2492"/>
          </w:tcPr>
          <w:p>
            <w:pPr>
              <w:pStyle w:val="null3"/>
            </w:pPr>
            <w:r>
              <w:rPr>
                <w:rFonts w:ascii="仿宋_GB2312" w:hAnsi="仿宋_GB2312" w:cs="仿宋_GB2312" w:eastAsia="仿宋_GB2312"/>
              </w:rPr>
              <w:t>1、能耗基础管控制度：水电能耗管控制度、设施设备节能制度、耗材物资节约制度、能耗统计分析制度，每提供一项得1 分，满分4 分，不提供不得分； 2、节能运行保障制度：节能奖惩考核制度，提供得1 分，满分1 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1、提供2023 年1 月1 日以来类似项目业绩（以合同签订 日期为准），每份合格业绩合同计1 分，满分5 分； 备注：需提供完整合同业绩及对应发票复印件（发票可提 供服务期内任意一张），每提供一份对应合格业绩的服务好评（以被服务单位加盖其单位公章的好评证明材料为计分依据，格式自拟），并加盖供应商公章，以上三种证明材料同时提供方可得1分，否则不得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物料配备</w:t>
            </w:r>
          </w:p>
        </w:tc>
        <w:tc>
          <w:tcPr>
            <w:tcW w:type="dxa" w:w="2492"/>
          </w:tcPr>
          <w:p>
            <w:pPr>
              <w:pStyle w:val="null3"/>
            </w:pPr>
            <w:r>
              <w:rPr>
                <w:rFonts w:ascii="仿宋_GB2312" w:hAnsi="仿宋_GB2312" w:cs="仿宋_GB2312" w:eastAsia="仿宋_GB2312"/>
              </w:rPr>
              <w:t>1、专业设备工具配置：地面清洁设备、高压清洗及辅助设备每提供一项得2分，满分4 分，不提供或缺项不得分； 2、人员服装及日常工具配置：人员统一服装、保洁劳保用品及日常消耗品，每提供一项得1 分，满分2 分，不提供或缺项不得分。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1、承诺：定期调研医院对服务质量的满意度并加以改进，确保服务工作的优质高效，得1分。 2、承诺：上岗人员固定，不随意更换，若出现服务人因事、病等不能工作的，能及时调整其他服务人员补充，可保障临时性工作需要及突发事件处置，确保服务工作的正常进行，得1 分。 3、承诺：接受采购人对服务的考核、监督及管理，得1分。 赋分依据：供应商需提供加盖公章的承诺函，格式自拟， 无承诺不得分。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针对本项目详细列明整体服务方案，内容包含：①服务理 念及特色②服务定位及服务目标③服务计划及安排④重难点分析及解决措施。 二、评审标准 1、完整性：方案须全面，对评审内容中的各项要求有详细描述； 2、可实施性：切合本项目实际情况，实施步骤清晰、合理； 3、针对性：方案能够紧扣项目实际情况，内容科学合理。 三、赋分标准（满分6 分） ①服务理念及特色：每完全满足一个评审标准得0.5 分，满分1.5 分； ②服务定位及服务目标:每完全满足一个评审标准得0.5分，满分1.5 分； ③服务计划及安排:每完全满足一个评审标准得0.5 分，满分1.5 分； ④重难点分析及解决措施:每完全满足一个评审标准得0.5 分，满分1.5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主要区域卫生保洁服务方案</w:t>
            </w:r>
          </w:p>
        </w:tc>
        <w:tc>
          <w:tcPr>
            <w:tcW w:type="dxa" w:w="2492"/>
          </w:tcPr>
          <w:p>
            <w:pPr>
              <w:pStyle w:val="null3"/>
            </w:pPr>
            <w:r>
              <w:rPr>
                <w:rFonts w:ascii="仿宋_GB2312" w:hAnsi="仿宋_GB2312" w:cs="仿宋_GB2312" w:eastAsia="仿宋_GB2312"/>
              </w:rPr>
              <w:t>一、评审内容 针对本项目提出主要区域卫生保洁服务方案，内容包含：①主要区域保洁②室内外公共区域清扫与消毒③垃圾分类收集及清运。 二、评审标准 1、完整性：方案须全面，对评审内容中的各项要求有详细描述； 2、可实施性：切合本项目实际情况，实施步骤清晰、合理； 3、针对性：方案能够紧扣项目实际情况，内容科学合理。 三、赋分标准（满分9分） ①主要区域保洁：每完全满足一项评审标准得1分，满分3分； ②室内外公共区域清扫与消毒：每完全满足一项评审标准得1分，满分3分； ③垃圾分类收集及清运:每完全满足一项评审标准得1分，满分3分。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公共秩序与安全管理方案</w:t>
            </w:r>
          </w:p>
        </w:tc>
        <w:tc>
          <w:tcPr>
            <w:tcW w:type="dxa" w:w="2492"/>
          </w:tcPr>
          <w:p>
            <w:pPr>
              <w:pStyle w:val="null3"/>
            </w:pPr>
            <w:r>
              <w:rPr>
                <w:rFonts w:ascii="仿宋_GB2312" w:hAnsi="仿宋_GB2312" w:cs="仿宋_GB2312" w:eastAsia="仿宋_GB2312"/>
              </w:rPr>
              <w:t>一、评审内容 供应商针对本项目特点提供公共秩序与安全管理方案，方案 内容包含：①防盗管理②防范可疑人员及医托③其他服务。 二、评审标准 1、完整性：方案必须全面，对评审内容中的各项要求有详细描述； 2、可实施性：切合本项目实际情况，实施步骤清晰、合理； 3、针对性：方案能够紧扣项目实际情况，内容科学合理。 三、赋分标准（满分9分） ①防盗管理：每完全满足一个评审标准得1分，满分3分； ②防范可疑人员及医托:每完全满足一个评审标准得1分，满分3 分； ③其他服务：每完全满足一个评审标准得1分，满分3分。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病房服务方案</w:t>
            </w:r>
          </w:p>
        </w:tc>
        <w:tc>
          <w:tcPr>
            <w:tcW w:type="dxa" w:w="2492"/>
          </w:tcPr>
          <w:p>
            <w:pPr>
              <w:pStyle w:val="null3"/>
            </w:pPr>
            <w:r>
              <w:rPr>
                <w:rFonts w:ascii="仿宋_GB2312" w:hAnsi="仿宋_GB2312" w:cs="仿宋_GB2312" w:eastAsia="仿宋_GB2312"/>
              </w:rPr>
              <w:t>一、评审内容 针对本项目提供客房服务方案，方案包含：①病房服务②病房清扫与公共区域保洁。 二、评审标准 1、完整性：方案必须全面，对评审内容中的各项要求有详细描述； 2、可实施性：切合本项目实际情况，实施步骤清晰、合理； 3、针对性：方案能够紧扣项目实际情况，内容科学合理。 三、赋分标准（满分6 分） ①病房服务：每完全满足一个评审标准得1分，满分3 分； ②病房清扫与公共区域保洁:每完全满足一个评审标准得1分，满分3分。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会议及大型活动服务保障方案</w:t>
            </w:r>
          </w:p>
        </w:tc>
        <w:tc>
          <w:tcPr>
            <w:tcW w:type="dxa" w:w="2492"/>
          </w:tcPr>
          <w:p>
            <w:pPr>
              <w:pStyle w:val="null3"/>
            </w:pPr>
            <w:r>
              <w:rPr>
                <w:rFonts w:ascii="仿宋_GB2312" w:hAnsi="仿宋_GB2312" w:cs="仿宋_GB2312" w:eastAsia="仿宋_GB2312"/>
              </w:rPr>
              <w:t>一、评审内容 针对本项目提供会议及大型活动服务保障方案，方案包含：会议及大型活动会前、会中、会后保障服务。 二、评审标准 1、完整性：方案必须全面，对评审内容中的各项要求有详细描述； 2、可实施性：切合本项目实际情况，实施步骤清晰、合理； 3、针对性：方案能够紧扣项目实际情况，内容科学合理。 三、赋分标准（满分6分） 会前、会中、会后保障服务:每完全满足一个评审标准得2分，满分6分。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档案管理方案</w:t>
            </w:r>
          </w:p>
        </w:tc>
        <w:tc>
          <w:tcPr>
            <w:tcW w:type="dxa" w:w="2492"/>
          </w:tcPr>
          <w:p>
            <w:pPr>
              <w:pStyle w:val="null3"/>
            </w:pPr>
            <w:r>
              <w:rPr>
                <w:rFonts w:ascii="仿宋_GB2312" w:hAnsi="仿宋_GB2312" w:cs="仿宋_GB2312" w:eastAsia="仿宋_GB2312"/>
              </w:rPr>
              <w:t>一、评审内容 根据本项目特点制定档案管理方案，内容包括：①档案管理 制度：包括档案收集、整理、保管及借阅②档案工作人员管 理办法。 二、评审标准 1、完整性：方案须全面，对评审内容中的各项要求有详细描述； 2、可实施性：切合本标段实际情况，实施步骤清晰、合理； 3、针对性：方案能够紧扣项目实际情况，内容科学合理。 三、赋分标准（满分3 分） ①档案管理制度：每完全满足一个评审标准得0.5 分，满分 1.5 分； ②档案工作人员管理办法:每完全满足一个评审标准得0.5 分，满分1.5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1、评分规则：满足采购文件全部实质性要求且投标报价最低的投标报价为评标基准价，价格得满分21分。 2、得分计算公式：投标人价格得分=（评标基准价÷投标人投标报价）×21</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详见附件：政府采购供应商拒绝政府采购领域商业贿赂承诺书(1).docx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详见附件：合同主要条款.docx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