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版本号：JXRC-26041620260612001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激光直写光刻机及扩散控制系统采购项目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JXRC-260416</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激光直写光刻机及扩散控制系统采购项目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JXRC-260416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激光直写光刻机及扩散控制系统采购项目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采购包1：西安理工大学采购扩散控制系统1套；该系统能够实现硅材料的硼扩散、磷扩散、氧化等工艺。具有集成度好，自动化水平高，工艺稳定等特点。 采购包2：西安理工大学采购激光直写光刻机1套；可实现半导体材料的无掩膜曝光功能。能够实现MEMS，功率器件等工艺的亚微米曝光工艺。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采购包1（扩散控制系统）：属于专门面向中小企业采购。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4、纳税证明：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p>
      <w:pPr>
        <w:pStyle w:val="null3"/>
      </w:pPr>
      <w:r>
        <w:rPr>
          <w:rFonts w:ascii="仿宋_GB2312" w:hAnsi="仿宋_GB2312" w:cs="仿宋_GB2312" w:eastAsia="仿宋_GB2312"/>
        </w:rPr>
        <w:t>5、社保缴纳证明：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采购包2：1,200,000.00元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开户银行：民生银行西安分行营业部（备注：转账时须附言“260416-X包投标保证金”）</w:t>
            </w:r>
          </w:p>
          <w:p>
            <w:pPr>
              <w:pStyle w:val="null3"/>
            </w:pPr>
            <w:r>
              <w:rPr>
                <w:rFonts w:ascii="仿宋_GB2312" w:hAnsi="仿宋_GB2312" w:cs="仿宋_GB2312" w:eastAsia="仿宋_GB2312"/>
              </w:rPr>
              <w:t>银行账号：632043869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采购包1：西安理工大学采购扩散控制系统1套；该系统能够实现硅材料的硼扩散、磷扩散、氧化等工艺。具有集成度好，自动化水平高，工艺稳定等特点。 采购包2：西安理工大学采购激光直写光刻机1套；可实现半导体材料的无掩膜曝光功能。能够实现MEMS，功率器件等工艺的亚微米曝光工艺。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825,000.00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扩散控制系统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激光直写光刻机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标的名称：扩散控制系统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▲1.设备外形尺寸不超过 L×W×H：2000mm×750mm×2000mm（须提供设备实物照片）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2.水平单管,装片量：≥10片/炉，晶圆尺寸：4/6寸片。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3.工艺类型：固态扩散、液态扩散。</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4.加热系统：2管加热炉；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▲4.1温度控制范围：扩散工艺：400～1200℃；（需提供加热界面截图）</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4.2恒温区长度：300mm；</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▲4.3恒温区精度：≤±1℃, 800℃以上≤±0.5℃；（炉管方向）。</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▲4.4炉体升温速率：最大升温速率≥15℃/分钟。</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5.气源系统： ▲5.1工艺气路为进口流量自动控制器，气动阀、隔膜阀、压力调节阀、 EP 管道等。进气自带HEPA高效过滤器，≥2路进气系统，能够满足扩散及外延工艺要求。 不锈钢内抛光管，Ra≤0.4μm，管道焊接采用进口自动轨道焊接（如SWAGELOK 自动轨道焊机/卡套）等，工艺气体流量控制精度≤±1%（FS）。</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▲5.2工艺气体为O2、N2，氮气和氧气各配置一个流量计。所有阀门均采用EP 级别气动阀，可根据计算机输出指令实现气路的开启和关闭，所有气体流量的设定值和检测值均可在显示器上实时显示。（需提供软件操作界面截图）</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▲6.送片方式：SIC杆套石英管，自动推拉舟（最大载重5Kg)，速度50～300mm/min连续可调。具有手动与自动两种操作模式，自动模式下整个工艺过程可程序自动运行控制。（需提供操作界面截图）</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7.温度控制方式：三段内外热偶双回路温度控制，自动校温区，具有快速回温功能，设备顶部带水冷降温系统。</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8.报警保护功能：具有超温、热偶断偶、流量偏差保护功能； （1）工艺管超温保护 当反应管内温度超出保护值时，系统会发出声、光报警，并自动切断炉丝加热回路。 （2）进舟极限保护及手动急停推舟 扩散炉在导轨的前、后限位开关处加装有极限保护开关。 （3）流量偏差报警 系统支持流量偏差报警。</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9.工控系统 9.1控制系统为工控计算机系统（WINDOWS 界面，彩色液晶触摸屏），自动记录设备运行数据，工艺数据可根据各个参数图形化显示；（需提供操作界面截图）</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9.2计算机综合控制系统：工艺温度控制、工艺气体开关、流量和工艺手动操作及相关报警指示系统。系统采用PLC+上位机的结构，能够对电机、温度、质量流量计和电磁阀/气动阀等进行控制。上位机监控软件具有人机对话界面，能支持手动控制气体流量、电机、温度，或按工艺编辑的数据自动运行。（需提供操作界面截图）</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标的名称：激光直写光刻机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1.光学头至少包含2个。</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▲2.激光波长≤405nm，激光光源功率≥150mW。（提供激光器铭牌和实物图佐证）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3.激光直写速度≥250mm²/min（1μm分辨率），或≥75mm²/min（0.5μm分辨率）。（提供写入速度计算公式佐证）</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▲4.有效曝光面积≥100mm×100mm。（提供软件操作界面截图佐证）</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5.自动聚焦有效行程≥100um。（提供软件截图及说明佐证）</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▲6.正面套刻精度≤500nm。（提供光刻结果及说明佐证）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7.直写分辨率≤1μm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8.边缘粗糙≤20nm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9.数据处理支持 GDSⅡ、BMP、STL 等格式。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10.曝光模式：步进曝光、扫描式曝光。</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▲11.最小线和间距：≤0.5μm。（提供电子显微镜下可拍到的光刻最小结构尺寸照片以及第三方检测报告）</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12.整机采用柜式结构，大理石基座，且自带高精密气浮隔振系统，隔振等级不低于 VC-C。</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13.采用空间光滤波空间光调制器DMD-SLM数据输入系统。</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14.光源寿命≥15000 小时。</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▲15.多轴精密运动系统：运动轴：3 轴（X,Y,Z）；反馈位置分辨率：≤10nm；旋转角度：≥±7.5°；兼容 5mm×5mm-100mm×100mm（4 英寸）基片，分区真空吸附功能；基片厚度最大支持 15mm。（提供3轴平台图片和光刻软件界面截图及说明佐证）</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16.自动聚焦检测、多模式 Z 向导航校正数据功能，聚焦分辨率≤10nm。</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17.具有同轴 CCD 图像监视系统。</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▲18.机器视觉对准系统：具备自动对位和手动两种对位模式；具备成像功能；对位靶标数量≥2 个；对位靶标类型：包含但不限于十字和圆形两种靶标样式，可调整尺寸大小并可根据实际情况自由切换使用。（需提供软件操作界面截图佐证）</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19.可实现≥256阶灰度曝光。</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▲20.提供分布式架构的光刻写入控制软件，数据处理软件支持大尺寸 BMP 图像处理模块、小尺寸 BMP 图像重复、大尺寸 BMP 图像拼接；可视化定点曝光支持二维材料定点可视化曝光，能够通过显微镜下原位画图的方式，实现定点曝光的功能。软件中可以编辑多边形结构，包括大小、形状、角度以及位置移动、复制等功能。 （需提供软件操作界面截图以及软件体现相关内容的使用说明书）</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21.计算机控制系统：配有包括数据处理和设备控制计算机。设备操作界面：包含但不限于产品生产界面、产品参数设定界面、状态监控界面等；具备用户分级管理功能；软件支持优化和升级免费；故障、生产工艺参数等记录等应可长期保存备查。</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22.配备自动标记识别功能，可快速自动识别用户自定义标记对准。</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23.设备外形尺寸＜1.3M（宽）×1M（深）×1.9M（高），设备占地面积＜2M×1.5M。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合同签订并收到预付款后45个日历日完成供货、安装、调试并交付使用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进度款，设备安装调试完成，经甲方验收合格并签署《验收合格报告》后，乙方开具全额合法有效的增值税专用发票，达到付款条件起7个工作日内，支付合同总金额的30.0%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进度款，设备安装调试完成，经甲方验收合格并签署《验收合格报告》后，乙方开具全额合法有效的增值税专用发票，达到付款条件起7个工作日内，支付合同总金额的30.0%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提供并且安排工程技术人员免费进行安装调试。 ③性能测试验收（关键指标实测）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提供并且安排工程技术人员免费进行安装调试。 ③性能测试验收（关键指标实测）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1、质保期自验收合格之日起1年。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1、质保期自验收合格之日起1年。 2、产品质保期内，修理、更换、退货要求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中标供应商未按合同约定的交货日期交货的，每逾期一日，向采购人支付逾期交付货物价款的0.1%的违约金，但不超过合同总金额的10%。中标供应商支付逾期交货违约金并不免除其交货的责任。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中标供应商未按合同约定的交货日期交货的，每逾期一日，向采购人支付逾期交付货物价款的0.1%的违约金，但不超过合同总金额的10%。中标供应商支付逾期交货违约金并不免除其交货的责任。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一、（采购包1、采购包2）付款方式（因系统编制受限，招标文件中关于付款方式的描述有不一致的地方以此处为准） 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二、采购标的的安装调试及配套工程、质量保证、售后服务等要求。 采购包1 （1）安装调试要求 提供并且安排工程技术人员免费进行安装调试。 人员培训：提供相关操作人员培训资料。 （2）配套工程 中标人在发货前1个月提供设备安装条件要求，安装时中标人自备安装工具。实验室条件甲方根据安装条件要求自行完成。 （3）质量保证 合同标的物自项目验收合格之日起质保期一年，在质保期内出现的质量问题，供方负责免费维修、维护或更换。 （4）售后服务 响应时限：提供24小时电话服务，4小时内响应；48小时内到达用户现场。 定期维护：每季度提供预防性维护服务。 (5)专用工具及备件 专用工具：无；备品备件：石英管3套，石英舟3套（其中1套用于165mm太阳能电池篇扩散）。 采购包2 （1）安装调试要求 提供并且安排工程技术人员免费进行安装调试。 人员培训：提供相关操作人员培训资料。 （2）配套工程 中标人在发货前1个月提供设备安装条件要求，安装时中标人自备安装工具。实验室条件甲方根据安装条件要求自行完成。 （3）质量保证 合同标的物自项目验收合格之日起质保期一年，在质保期内出现的质量问题，供方负责免费维修、维护或更换。 （4）售后服务 响应时限：提供24小时电话服务，4小时内响应；48小时内到达用户现场。 定期维护：每季度提供预防性维护服务。 三、（采购包1、采购包2）验收条款：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文件递交截止时间前一年内任意一个月依法缴纳税收的相关凭据（任意税种，时间以税款所属日期为准，凭据应有税务机关或代收机关的公章或业务专用章）；其他组织和自然人提供投标文件递交截止时间前一年内任意一个月缴纳税收的凭据；依法免税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文件递交截止时间前一年内任意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投标保证金缴纳凭证 其他材料 投标函 投标文件封面 投标人基本信息 企业关联关系声明函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投标保证金缴纳凭证 投标函 其他材料 投标文件封面 投标人基本信息 企业关联关系声明函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投标产品的技术指标满足或高于招标文件要求的，得满分31分。 1、带“▲”号技术指标满分24分（共8项），有一项不满足扣3分； 2、无标识技术参数满分7分（共7项），每有一项负偏离扣1分。 注：1.对标“▲”号技术参数供应商必须提供相关技术参数佐证材料（包括国家认可的检测机构出具的检测报告或制造商检验报告或产品彩页或官网功能截图或技术规格书任意一种，技术参数有具体要求的按照相关要求的佐证资料）予以证明其技术参数的响应性。未提供或评审委员会认定所提供材料无法有效证明的将视为不满足本参数要求。 2.对无标识技术参数投标人在投标文件中应尽可能多地提供技术支持资料予以证明其技术指标响应性，并在技术响应偏离表中标注对应页码及位置。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三、赋分依据（满分6分） ①供货运输方案：每完全满足一个评审标准得0.5分，基本满足得0.2分，不满足得0分，满分1.5分； ②具有健全的产品安装、调试、试运行及验收方案：每完全满足一个评审标准得0.5分，基本满足得0.2分，不满足得0分，满分1.5分； ③团队人员配置计划：每完全满足一个评审标准得0.5分，基本满足得0.2分，不满足得0分，满分1.5分； ④应急预案：每完全满足一个评审标准得0.5分，基本满足得0.2分，不满足得0分，满分1.5分；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三、赋分依据（满分6分） ①产品性能、使用寿命及效果：每完全满足一个评审标准得1分，基本满足得0.5分，不满足得0分，满分3分。 ②质量保证措施：每完全满足一个评审标准得1分，基本满足得0.5分，不满足得0分，满分3分。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设备选型方案思路清晰、科学合理、可行性强、完全满足采购人需求得8分； 设备选型方案思路较清晰、较科学合理、可行性较强、基本满足采购人需求得6分； 设备选型方案思路基本清晰、基本科学合理、可行性较强、基本满足采购人需求得4分； 设备选型方案不太合理完善、可行性不强、不能满足采购人需求得2分；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三、赋分依据（满分6分） ①售后服务范围：每完全满足一个评审标准得0.5分，基本满足得0.25分，不满足得0分，满分1.5分； ②响应时间及方式：每完全满足一个评审标准得0.5分，基本满足得0.25分，不满足得0分，满分1.5分； ③故障处理及补救措施：每完全满足一个评审标准得0.5分，基本满足得0.25分，不满足得0分，满分1.5分； ④定期回访及维护：每完全满足一个评审标准得0.5分，基本满足得0.25分，不满足得0分，满分1.5分。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提供投标人或制造商自2023年5月1日至投标文件递交截止时间前所投同类型产品业绩（以合同签订时间为准），需提供清晰有效的完整合同复印件，每提供一份得1分，最多得3分。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投标产品的技术指标满足或高于招标文件要求的，得满分30分。 1、带“▲”号技术指标满分14分（共7项），有一项不满足扣2分； 2、无标识技术参数满分16分（共16项），每有一项负偏离扣1分。 注：1.对标“▲”号技术参数供应商必须提供相关技术参数佐证材料（包括国家认可的检测机构出具的检测报告或制造商检验报告或产品彩页或官网功能截图或技术规格书任意一种，技术参数中有要求的按照相关要求提供佐证资料）予以证明其技术参数的响应性。未提供或评审委员会认定所提供材料无法有效证明的将视为不满足本参数要求。 2.对无标识技术参数投标人在投标文件中应尽可能多地提供技术支持资料予以证明其技术指标响应性，并在技术响应偏离表中标注对应页码及位置。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三、赋分依据（满分6分） ①供货运输方案：每完全满足一个评审标准得0.5分，基本满足得0.3分，不满足得0分，满分1.5分； ②具有健全的产品安装、调试、试运行及验收方案：每完全满足一个评审标准得0.5分，基本满足得0.3分，不满足得0分，满分1.5分； ③团队人员配置计划：每完全满足一个评审标准得0.5分，基本满足得0.3分，不满足得0分，满分1.5分； ④应急预案：每完全满足一个评审标准得0.5分，基本满足得0.3分，不满足得0分，满分1.5分。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三、赋分依据（满分6分） ①产品性能、使用寿命及效果：每完全满足一个评审标准得1分，基本满足得0.5分，不满足得0分，满分3分。 ②质量保证措施：每完全满足一个评审标准得1分，基本满足得0.5分，不满足得0分，满分3分。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设备选型方案思路清晰、科学合理、可行性强、完全满足采购人需求得7分； 设备选型方案思路较清晰、较科学合理、可行性较强、基本满足采购人需求得5分； 设备选型方案思路基本清晰、基本科学合理、可行性较强、基本满足采购人需求得3分； 设备选型方案不太合理完善、可行性不强、不能满足采购人需求得1分；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三、赋分依据（满分6分） ①售后服务范围：每完全满足一个评审标准得0.5分，基本满足得0.25分，不满足得0分，满分1.5分； ②响应时间及方式：每完全满足一个评审标准得0.5分，基本满足得0.25分，不满足得0分，满分1.5分； ③故障处理及补救措施：每完全满足一个评审标准得0.5分，基本满足得0.25分，不满足得0分，满分1.5分； ④定期回访及维护：每完全满足一个评审标准得0.5分，基本满足得0.25分，不满足得0分，满分1.5分。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5月1日至投标文件递交截止时间内完成验收的同类产品项目业绩。所有业绩材料均需提供合同复印件与对应发票复印件；合同文件须完整载明合同金额、供需双方公章、设备名称、规格型号、供货数量等关键内容。每提供一份得1分，最多得5分。 未提供或提供不完全得0分。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