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EBCEF5">
      <w:pPr>
        <w:pStyle w:val="2"/>
        <w:spacing w:before="76" w:line="222" w:lineRule="auto"/>
        <w:jc w:val="center"/>
        <w:outlineLvl w:val="0"/>
        <w:rPr>
          <w:rFonts w:hint="default" w:ascii="仿宋_GB2312" w:hAnsi="仿宋_GB2312" w:eastAsia="仿宋_GB2312" w:cs="仿宋_GB2312"/>
          <w:color w:val="auto"/>
          <w:sz w:val="44"/>
          <w:szCs w:val="44"/>
          <w:highlight w:val="none"/>
          <w:lang w:val="en-US" w:eastAsia="zh-CN"/>
        </w:rPr>
      </w:pPr>
      <w:r>
        <w:rPr>
          <w:rFonts w:hint="eastAsia" w:ascii="仿宋_GB2312" w:hAnsi="仿宋_GB2312" w:eastAsia="仿宋_GB2312" w:cs="仿宋_GB2312"/>
          <w:b/>
          <w:bCs/>
          <w:color w:val="auto"/>
          <w:sz w:val="44"/>
          <w:szCs w:val="44"/>
          <w:highlight w:val="none"/>
          <w:lang w:val="en-US" w:eastAsia="zh-CN"/>
        </w:rPr>
        <w:t>磋商报价表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9"/>
        <w:gridCol w:w="5870"/>
      </w:tblGrid>
      <w:tr w14:paraId="7D635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 w:hRule="atLeast"/>
          <w:jc w:val="center"/>
        </w:trPr>
        <w:tc>
          <w:tcPr>
            <w:tcW w:w="3049" w:type="dxa"/>
            <w:noWrap w:val="0"/>
            <w:vAlign w:val="center"/>
          </w:tcPr>
          <w:p w14:paraId="5E7EF23D">
            <w:pPr>
              <w:jc w:val="center"/>
              <w:rPr>
                <w:rFonts w:hint="eastAsia" w:ascii="仿宋_GB2312" w:eastAsia="仿宋_GB2312"/>
                <w:sz w:val="24"/>
                <w:szCs w:val="24"/>
              </w:rPr>
            </w:pPr>
            <w:r>
              <w:rPr>
                <w:rFonts w:hint="eastAsia" w:ascii="仿宋_GB2312" w:eastAsia="仿宋_GB2312"/>
                <w:sz w:val="24"/>
                <w:szCs w:val="24"/>
              </w:rPr>
              <w:t>项目名称</w:t>
            </w:r>
          </w:p>
        </w:tc>
        <w:tc>
          <w:tcPr>
            <w:tcW w:w="5870" w:type="dxa"/>
            <w:noWrap w:val="0"/>
            <w:vAlign w:val="center"/>
          </w:tcPr>
          <w:p w14:paraId="7ECC4B02">
            <w:pPr>
              <w:jc w:val="center"/>
              <w:rPr>
                <w:rFonts w:hint="eastAsia" w:ascii="仿宋_GB2312" w:eastAsia="仿宋_GB2312"/>
                <w:sz w:val="24"/>
                <w:szCs w:val="24"/>
                <w:lang w:eastAsia="zh-CN"/>
              </w:rPr>
            </w:pPr>
            <w:r>
              <w:rPr>
                <w:rFonts w:hint="eastAsia" w:ascii="仿宋_GB2312" w:eastAsia="仿宋_GB2312"/>
                <w:sz w:val="24"/>
                <w:szCs w:val="24"/>
              </w:rPr>
              <w:t>2026年食品监督抽样检验检测项目</w:t>
            </w:r>
            <w:r>
              <w:rPr>
                <w:rFonts w:hint="eastAsia" w:ascii="仿宋_GB2312" w:eastAsia="仿宋_GB2312"/>
                <w:sz w:val="24"/>
                <w:szCs w:val="24"/>
                <w:lang w:eastAsia="zh-CN"/>
              </w:rPr>
              <w:t>（</w:t>
            </w:r>
            <w:r>
              <w:rPr>
                <w:rFonts w:hint="eastAsia" w:ascii="仿宋_GB2312" w:eastAsia="仿宋_GB2312"/>
                <w:sz w:val="24"/>
                <w:szCs w:val="24"/>
                <w:lang w:val="en-US" w:eastAsia="zh-CN"/>
              </w:rPr>
              <w:t>二次</w:t>
            </w:r>
            <w:bookmarkStart w:id="0" w:name="_GoBack"/>
            <w:bookmarkEnd w:id="0"/>
            <w:r>
              <w:rPr>
                <w:rFonts w:hint="eastAsia" w:ascii="仿宋_GB2312" w:eastAsia="仿宋_GB2312"/>
                <w:sz w:val="24"/>
                <w:szCs w:val="24"/>
                <w:lang w:eastAsia="zh-CN"/>
              </w:rPr>
              <w:t>）</w:t>
            </w:r>
          </w:p>
        </w:tc>
      </w:tr>
      <w:tr w14:paraId="3E912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4" w:hRule="atLeast"/>
          <w:jc w:val="center"/>
        </w:trPr>
        <w:tc>
          <w:tcPr>
            <w:tcW w:w="3049" w:type="dxa"/>
            <w:noWrap w:val="0"/>
            <w:vAlign w:val="center"/>
          </w:tcPr>
          <w:p w14:paraId="5ECB1DE3">
            <w:pPr>
              <w:jc w:val="center"/>
              <w:rPr>
                <w:rFonts w:hint="eastAsia" w:ascii="仿宋_GB2312" w:eastAsia="仿宋_GB2312"/>
                <w:sz w:val="24"/>
                <w:szCs w:val="24"/>
              </w:rPr>
            </w:pPr>
            <w:r>
              <w:rPr>
                <w:rFonts w:hint="eastAsia" w:ascii="仿宋_GB2312" w:eastAsia="仿宋_GB2312"/>
                <w:sz w:val="24"/>
                <w:szCs w:val="24"/>
              </w:rPr>
              <w:t>项目编号</w:t>
            </w:r>
          </w:p>
        </w:tc>
        <w:tc>
          <w:tcPr>
            <w:tcW w:w="5870" w:type="dxa"/>
            <w:noWrap w:val="0"/>
            <w:vAlign w:val="center"/>
          </w:tcPr>
          <w:p w14:paraId="6596BFD8">
            <w:pPr>
              <w:jc w:val="center"/>
              <w:rPr>
                <w:rFonts w:hint="default" w:ascii="仿宋_GB2312" w:eastAsia="仿宋_GB2312"/>
                <w:sz w:val="24"/>
                <w:szCs w:val="24"/>
                <w:lang w:val="en-US" w:eastAsia="zh-CN"/>
              </w:rPr>
            </w:pPr>
            <w:r>
              <w:rPr>
                <w:rFonts w:hint="default" w:ascii="仿宋_GB2312" w:eastAsia="仿宋_GB2312"/>
                <w:sz w:val="24"/>
                <w:szCs w:val="24"/>
                <w:lang w:val="en-US" w:eastAsia="zh-CN"/>
              </w:rPr>
              <w:t>SXHC2026-093.1.2B1</w:t>
            </w:r>
          </w:p>
        </w:tc>
      </w:tr>
      <w:tr w14:paraId="59E1F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8" w:hRule="atLeast"/>
          <w:jc w:val="center"/>
        </w:trPr>
        <w:tc>
          <w:tcPr>
            <w:tcW w:w="3049" w:type="dxa"/>
            <w:noWrap w:val="0"/>
            <w:vAlign w:val="center"/>
          </w:tcPr>
          <w:p w14:paraId="353F1921">
            <w:pPr>
              <w:widowControl/>
              <w:jc w:val="center"/>
              <w:rPr>
                <w:rFonts w:hint="default" w:ascii="仿宋_GB2312" w:eastAsia="仿宋_GB2312"/>
                <w:kern w:val="0"/>
                <w:sz w:val="24"/>
                <w:szCs w:val="24"/>
                <w:lang w:val="en-US" w:eastAsia="zh-CN"/>
              </w:rPr>
            </w:pPr>
            <w:r>
              <w:rPr>
                <w:rFonts w:hint="eastAsia" w:ascii="仿宋_GB2312" w:hAnsi="仿宋_GB2312" w:eastAsia="仿宋_GB2312" w:cs="仿宋_GB2312"/>
                <w:sz w:val="24"/>
                <w:szCs w:val="24"/>
                <w:shd w:val="clear" w:color="auto" w:fill="FFFFFF"/>
                <w:lang w:val="en-US" w:eastAsia="zh-CN"/>
              </w:rPr>
              <w:t>综合单价</w:t>
            </w:r>
          </w:p>
        </w:tc>
        <w:tc>
          <w:tcPr>
            <w:tcW w:w="5870" w:type="dxa"/>
            <w:noWrap w:val="0"/>
            <w:vAlign w:val="center"/>
          </w:tcPr>
          <w:p w14:paraId="6A1B4AF6">
            <w:pPr>
              <w:keepNext w:val="0"/>
              <w:keepLines w:val="0"/>
              <w:pageBreakBefore w:val="0"/>
              <w:widowControl/>
              <w:kinsoku/>
              <w:wordWrap/>
              <w:overflowPunct/>
              <w:topLinePunct w:val="0"/>
              <w:autoSpaceDE/>
              <w:autoSpaceDN/>
              <w:bidi w:val="0"/>
              <w:snapToGrid w:val="0"/>
              <w:spacing w:line="240" w:lineRule="auto"/>
              <w:jc w:val="center"/>
              <w:textAlignment w:val="auto"/>
              <w:rPr>
                <w:rFonts w:hint="default" w:ascii="仿宋_GB2312" w:eastAsia="仿宋_GB2312"/>
                <w:kern w:val="0"/>
                <w:sz w:val="24"/>
                <w:szCs w:val="24"/>
                <w:u w:val="single"/>
                <w:lang w:val="en-US" w:eastAsia="zh-CN" w:bidi="ar-SA"/>
              </w:rPr>
            </w:pPr>
            <w:r>
              <w:rPr>
                <w:rFonts w:hint="eastAsia" w:ascii="仿宋_GB2312" w:hAnsi="仿宋_GB2312" w:eastAsia="仿宋_GB2312" w:cs="仿宋_GB2312"/>
                <w:kern w:val="2"/>
                <w:sz w:val="24"/>
                <w:szCs w:val="24"/>
                <w:u w:val="single"/>
                <w:shd w:val="clear" w:color="auto" w:fill="FFFFFF"/>
                <w:lang w:val="en-US" w:eastAsia="zh-CN" w:bidi="ar-SA"/>
              </w:rPr>
              <w:t xml:space="preserve">           </w:t>
            </w:r>
            <w:r>
              <w:rPr>
                <w:rFonts w:hint="eastAsia" w:ascii="仿宋_GB2312" w:hAnsi="仿宋_GB2312" w:eastAsia="仿宋_GB2312" w:cs="仿宋_GB2312"/>
                <w:kern w:val="2"/>
                <w:sz w:val="24"/>
                <w:szCs w:val="24"/>
                <w:shd w:val="clear" w:color="auto" w:fill="FFFFFF"/>
                <w:lang w:val="en-US" w:eastAsia="zh-CN" w:bidi="ar-SA"/>
              </w:rPr>
              <w:t>元/批次</w:t>
            </w:r>
          </w:p>
        </w:tc>
      </w:tr>
      <w:tr w14:paraId="3E8EF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1" w:hRule="atLeast"/>
          <w:jc w:val="center"/>
        </w:trPr>
        <w:tc>
          <w:tcPr>
            <w:tcW w:w="3049" w:type="dxa"/>
            <w:noWrap w:val="0"/>
            <w:vAlign w:val="center"/>
          </w:tcPr>
          <w:p w14:paraId="0AA40E63">
            <w:pPr>
              <w:widowControl/>
              <w:jc w:val="center"/>
              <w:rPr>
                <w:rFonts w:hint="eastAsia" w:ascii="仿宋_GB2312" w:hAnsi="仿宋_GB2312" w:eastAsia="仿宋_GB2312" w:cs="仿宋_GB2312"/>
                <w:sz w:val="24"/>
                <w:szCs w:val="24"/>
                <w:shd w:val="clear" w:color="auto" w:fill="FFFFFF"/>
                <w:lang w:val="en-US" w:eastAsia="zh-CN"/>
              </w:rPr>
            </w:pPr>
            <w:r>
              <w:rPr>
                <w:rFonts w:hint="eastAsia" w:ascii="仿宋_GB2312" w:hAnsi="仿宋_GB2312" w:eastAsia="仿宋_GB2312" w:cs="仿宋_GB2312"/>
                <w:sz w:val="24"/>
                <w:szCs w:val="24"/>
                <w:shd w:val="clear" w:color="auto" w:fill="FFFFFF"/>
                <w:lang w:val="en-US" w:eastAsia="zh-CN"/>
              </w:rPr>
              <w:t>磋商报价</w:t>
            </w:r>
          </w:p>
          <w:p w14:paraId="408AE91A">
            <w:pPr>
              <w:widowControl/>
              <w:jc w:val="center"/>
              <w:rPr>
                <w:rFonts w:hint="eastAsia" w:ascii="仿宋_GB2312" w:hAnsi="Times New Roman" w:eastAsia="仿宋_GB2312" w:cs="Times New Roman"/>
                <w:kern w:val="0"/>
                <w:sz w:val="24"/>
                <w:szCs w:val="24"/>
                <w:lang w:val="en-US" w:eastAsia="zh-CN"/>
              </w:rPr>
            </w:pPr>
            <w:r>
              <w:rPr>
                <w:rFonts w:hint="eastAsia" w:ascii="仿宋_GB2312" w:hAnsi="仿宋_GB2312" w:eastAsia="仿宋_GB2312" w:cs="仿宋_GB2312"/>
                <w:sz w:val="24"/>
                <w:szCs w:val="24"/>
                <w:shd w:val="clear" w:color="auto" w:fill="FFFFFF"/>
                <w:lang w:val="en-US" w:eastAsia="zh-CN"/>
              </w:rPr>
              <w:t>（元）</w:t>
            </w:r>
          </w:p>
        </w:tc>
        <w:tc>
          <w:tcPr>
            <w:tcW w:w="5870" w:type="dxa"/>
            <w:noWrap w:val="0"/>
            <w:vAlign w:val="center"/>
          </w:tcPr>
          <w:p w14:paraId="7670CCBD">
            <w:pPr>
              <w:keepNext w:val="0"/>
              <w:keepLines w:val="0"/>
              <w:pageBreakBefore w:val="0"/>
              <w:kinsoku/>
              <w:wordWrap/>
              <w:overflowPunct/>
              <w:topLinePunct w:val="0"/>
              <w:autoSpaceDE/>
              <w:autoSpaceDN/>
              <w:bidi w:val="0"/>
              <w:adjustRightInd w:val="0"/>
              <w:snapToGrid w:val="0"/>
              <w:spacing w:line="240" w:lineRule="auto"/>
              <w:jc w:val="left"/>
              <w:textAlignment w:val="auto"/>
              <w:rPr>
                <w:rFonts w:hint="eastAsia"/>
                <w:sz w:val="24"/>
                <w:szCs w:val="24"/>
              </w:rPr>
            </w:pPr>
            <w:r>
              <w:rPr>
                <w:rFonts w:hint="eastAsia" w:ascii="仿宋_GB2312" w:hAnsi="仿宋_GB2312" w:eastAsia="仿宋_GB2312" w:cs="仿宋_GB2312"/>
                <w:sz w:val="24"/>
                <w:szCs w:val="24"/>
                <w:shd w:val="clear" w:color="auto" w:fill="FFFFFF"/>
              </w:rPr>
              <w:t>人民币（小写）：</w:t>
            </w:r>
            <w:r>
              <w:rPr>
                <w:rFonts w:hint="eastAsia" w:ascii="仿宋_GB2312" w:hAnsi="仿宋_GB2312" w:eastAsia="仿宋_GB2312" w:cs="仿宋_GB2312"/>
                <w:sz w:val="24"/>
                <w:szCs w:val="24"/>
                <w:u w:val="single"/>
                <w:shd w:val="clear" w:color="auto" w:fill="FFFFFF"/>
              </w:rPr>
              <w:t xml:space="preserve">     </w:t>
            </w:r>
            <w:r>
              <w:rPr>
                <w:rFonts w:hint="eastAsia" w:ascii="仿宋_GB2312" w:hAnsi="仿宋_GB2312" w:eastAsia="仿宋_GB2312" w:cs="仿宋_GB2312"/>
                <w:sz w:val="24"/>
                <w:szCs w:val="24"/>
                <w:u w:val="single"/>
                <w:shd w:val="clear" w:color="auto" w:fill="FFFFFF"/>
                <w:lang w:val="en-US" w:eastAsia="zh-CN"/>
              </w:rPr>
              <w:t xml:space="preserve">              </w:t>
            </w:r>
            <w:r>
              <w:rPr>
                <w:rFonts w:hint="eastAsia" w:ascii="仿宋_GB2312" w:hAnsi="仿宋_GB2312" w:eastAsia="仿宋_GB2312" w:cs="仿宋_GB2312"/>
                <w:sz w:val="24"/>
                <w:szCs w:val="24"/>
                <w:u w:val="single"/>
                <w:shd w:val="clear" w:color="auto" w:fill="FFFFFF"/>
              </w:rPr>
              <w:t xml:space="preserve">  </w:t>
            </w:r>
          </w:p>
          <w:p w14:paraId="1672C6C6">
            <w:pPr>
              <w:keepNext w:val="0"/>
              <w:keepLines w:val="0"/>
              <w:pageBreakBefore w:val="0"/>
              <w:widowControl/>
              <w:kinsoku/>
              <w:wordWrap/>
              <w:overflowPunct/>
              <w:topLinePunct w:val="0"/>
              <w:autoSpaceDE/>
              <w:autoSpaceDN/>
              <w:bidi w:val="0"/>
              <w:snapToGrid w:val="0"/>
              <w:spacing w:line="240" w:lineRule="auto"/>
              <w:jc w:val="left"/>
              <w:textAlignment w:val="auto"/>
              <w:rPr>
                <w:rFonts w:hint="eastAsia" w:ascii="仿宋_GB2312" w:eastAsia="仿宋_GB2312"/>
                <w:kern w:val="0"/>
                <w:sz w:val="24"/>
                <w:szCs w:val="24"/>
                <w:lang w:val="en-US" w:eastAsia="zh-CN" w:bidi="ar-SA"/>
              </w:rPr>
            </w:pPr>
            <w:r>
              <w:rPr>
                <w:rFonts w:hint="eastAsia" w:ascii="仿宋_GB2312" w:hAnsi="仿宋_GB2312" w:eastAsia="仿宋_GB2312" w:cs="仿宋_GB2312"/>
                <w:sz w:val="24"/>
                <w:szCs w:val="24"/>
                <w:shd w:val="clear" w:color="auto" w:fill="FFFFFF"/>
              </w:rPr>
              <w:t>人民币（大写）：</w:t>
            </w:r>
            <w:r>
              <w:rPr>
                <w:rFonts w:hint="eastAsia" w:ascii="仿宋_GB2312" w:hAnsi="仿宋_GB2312" w:eastAsia="仿宋_GB2312" w:cs="仿宋_GB2312"/>
                <w:sz w:val="24"/>
                <w:szCs w:val="24"/>
                <w:u w:val="single"/>
                <w:shd w:val="clear" w:color="auto" w:fill="FFFFFF"/>
              </w:rPr>
              <w:t xml:space="preserve">     </w:t>
            </w:r>
            <w:r>
              <w:rPr>
                <w:rFonts w:hint="eastAsia" w:ascii="仿宋_GB2312" w:hAnsi="仿宋_GB2312" w:eastAsia="仿宋_GB2312" w:cs="仿宋_GB2312"/>
                <w:sz w:val="24"/>
                <w:szCs w:val="24"/>
                <w:u w:val="single"/>
                <w:shd w:val="clear" w:color="auto" w:fill="FFFFFF"/>
                <w:lang w:val="en-US" w:eastAsia="zh-CN"/>
              </w:rPr>
              <w:t xml:space="preserve">            </w:t>
            </w:r>
            <w:r>
              <w:rPr>
                <w:rFonts w:hint="eastAsia" w:ascii="仿宋_GB2312" w:hAnsi="仿宋_GB2312" w:eastAsia="仿宋_GB2312" w:cs="仿宋_GB2312"/>
                <w:sz w:val="24"/>
                <w:szCs w:val="24"/>
                <w:u w:val="single"/>
                <w:shd w:val="clear" w:color="auto" w:fill="FFFFFF"/>
              </w:rPr>
              <w:t xml:space="preserve">    </w:t>
            </w:r>
          </w:p>
        </w:tc>
      </w:tr>
      <w:tr w14:paraId="31952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9" w:hRule="atLeast"/>
          <w:jc w:val="center"/>
        </w:trPr>
        <w:tc>
          <w:tcPr>
            <w:tcW w:w="8919" w:type="dxa"/>
            <w:gridSpan w:val="2"/>
            <w:noWrap w:val="0"/>
            <w:vAlign w:val="center"/>
          </w:tcPr>
          <w:p w14:paraId="2E8FCBD9">
            <w:pPr>
              <w:widowControl/>
              <w:rPr>
                <w:rFonts w:hint="eastAsia" w:ascii="仿宋_GB2312" w:eastAsia="仿宋_GB2312"/>
                <w:bCs/>
                <w:kern w:val="0"/>
                <w:sz w:val="24"/>
                <w:szCs w:val="24"/>
                <w:highlight w:val="none"/>
              </w:rPr>
            </w:pPr>
            <w:r>
              <w:rPr>
                <w:rFonts w:hint="eastAsia" w:ascii="仿宋_GB2312" w:hAnsi="宋体" w:eastAsia="仿宋_GB2312"/>
                <w:sz w:val="24"/>
                <w:szCs w:val="24"/>
                <w:highlight w:val="none"/>
              </w:rPr>
              <w:t>说明</w:t>
            </w:r>
            <w:r>
              <w:rPr>
                <w:rFonts w:hint="eastAsia" w:ascii="仿宋_GB2312" w:eastAsia="仿宋_GB2312"/>
                <w:bCs/>
                <w:kern w:val="0"/>
                <w:sz w:val="24"/>
                <w:szCs w:val="24"/>
                <w:highlight w:val="none"/>
              </w:rPr>
              <w:t>：</w:t>
            </w:r>
          </w:p>
          <w:p w14:paraId="4C430695">
            <w:pPr>
              <w:keepNext w:val="0"/>
              <w:keepLines w:val="0"/>
              <w:pageBreakBefore w:val="0"/>
              <w:widowControl/>
              <w:kinsoku/>
              <w:wordWrap/>
              <w:overflowPunct/>
              <w:topLinePunct w:val="0"/>
              <w:bidi w:val="0"/>
              <w:adjustRightInd w:val="0"/>
              <w:snapToGrid w:val="0"/>
              <w:spacing w:line="240" w:lineRule="auto"/>
              <w:ind w:firstLine="480" w:firstLineChars="200"/>
              <w:textAlignment w:val="auto"/>
              <w:rPr>
                <w:rFonts w:hint="default" w:ascii="仿宋_GB2312" w:eastAsia="仿宋_GB2312"/>
                <w:bCs/>
                <w:kern w:val="0"/>
                <w:sz w:val="24"/>
                <w:szCs w:val="24"/>
                <w:highlight w:val="none"/>
                <w:lang w:val="en-US" w:eastAsia="zh-CN" w:bidi="ar-SA"/>
              </w:rPr>
            </w:pPr>
            <w:r>
              <w:rPr>
                <w:rFonts w:hint="eastAsia" w:ascii="仿宋_GB2312" w:eastAsia="仿宋_GB2312"/>
                <w:bCs/>
                <w:kern w:val="0"/>
                <w:sz w:val="24"/>
                <w:szCs w:val="24"/>
                <w:highlight w:val="none"/>
              </w:rPr>
              <w:t>1、磋商报价以元为单位，大小写不一致时，以大写为准。</w:t>
            </w:r>
            <w:r>
              <w:rPr>
                <w:rFonts w:hint="eastAsia" w:ascii="仿宋_GB2312" w:hAnsi="宋体" w:eastAsia="仿宋_GB2312"/>
                <w:sz w:val="24"/>
                <w:szCs w:val="24"/>
                <w:highlight w:val="none"/>
              </w:rPr>
              <w:br w:type="textWrapping"/>
            </w:r>
            <w:r>
              <w:rPr>
                <w:rFonts w:hint="eastAsia" w:ascii="仿宋_GB2312" w:hAnsi="宋体" w:eastAsia="仿宋_GB2312"/>
                <w:sz w:val="24"/>
                <w:szCs w:val="24"/>
                <w:highlight w:val="none"/>
                <w:lang w:val="en-US" w:eastAsia="zh-CN"/>
              </w:rPr>
              <w:t xml:space="preserve">    2、</w:t>
            </w:r>
            <w:r>
              <w:rPr>
                <w:rFonts w:hint="eastAsia" w:ascii="仿宋_GB2312" w:hAnsi="宋体" w:eastAsia="仿宋_GB2312"/>
                <w:sz w:val="24"/>
                <w:szCs w:val="24"/>
                <w:highlight w:val="none"/>
              </w:rPr>
              <w:t>除可填报项目外对本磋商报价表的任何修改将被视为非实质性响应投标从而导致该投标被拒绝。</w:t>
            </w:r>
            <w:r>
              <w:rPr>
                <w:rFonts w:hint="eastAsia" w:ascii="仿宋_GB2312" w:hAnsi="宋体" w:eastAsia="仿宋_GB2312"/>
                <w:sz w:val="24"/>
                <w:szCs w:val="24"/>
                <w:highlight w:val="none"/>
              </w:rPr>
              <w:br w:type="textWrapping"/>
            </w:r>
            <w:r>
              <w:rPr>
                <w:rFonts w:hint="eastAsia" w:ascii="仿宋_GB2312" w:hAnsi="宋体" w:eastAsia="仿宋_GB2312"/>
                <w:sz w:val="24"/>
                <w:szCs w:val="24"/>
                <w:highlight w:val="none"/>
                <w:lang w:val="en-US" w:eastAsia="zh-CN"/>
              </w:rPr>
              <w:t xml:space="preserve">    3、最终磋商报价后，各供应商提供的综合单价执行同比例下浮原则。</w:t>
            </w:r>
          </w:p>
        </w:tc>
      </w:tr>
    </w:tbl>
    <w:p w14:paraId="3FAB9C72">
      <w:pPr>
        <w:spacing w:line="56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注：</w:t>
      </w:r>
    </w:p>
    <w:p w14:paraId="751A342E">
      <w:pPr>
        <w:pStyle w:val="9"/>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“大写”栏</w:t>
      </w:r>
      <w:r>
        <w:rPr>
          <w:rFonts w:hint="eastAsia" w:ascii="仿宋_GB2312" w:hAnsi="仿宋_GB2312" w:eastAsia="仿宋_GB2312" w:cs="仿宋_GB2312"/>
          <w:sz w:val="24"/>
          <w:szCs w:val="24"/>
          <w:highlight w:val="none"/>
          <w:lang w:eastAsia="zh-CN"/>
        </w:rPr>
        <w:t>应</w:t>
      </w:r>
      <w:r>
        <w:rPr>
          <w:rFonts w:hint="eastAsia" w:ascii="仿宋_GB2312" w:hAnsi="仿宋_GB2312" w:eastAsia="仿宋_GB2312" w:cs="仿宋_GB2312"/>
          <w:sz w:val="24"/>
          <w:szCs w:val="24"/>
          <w:highlight w:val="none"/>
        </w:rPr>
        <w:t>按银行大写金额样式进行填写。样式参考：壹、贰、叁、肆、伍、陆、柒、捌、玖、拾、佰、仟、万、亿、元（圆）、角、分、零、整（正）。</w:t>
      </w:r>
    </w:p>
    <w:p w14:paraId="44096F0B">
      <w:pPr>
        <w:pStyle w:val="9"/>
        <w:spacing w:line="360" w:lineRule="auto"/>
        <w:ind w:firstLine="480" w:firstLineChars="200"/>
        <w:rPr>
          <w:rFonts w:hint="default" w:ascii="仿宋" w:hAnsi="仿宋" w:eastAsia="仿宋" w:cs="仿宋"/>
          <w:sz w:val="24"/>
          <w:szCs w:val="24"/>
          <w:highlight w:val="none"/>
        </w:rPr>
      </w:pPr>
    </w:p>
    <w:p w14:paraId="564D89D9">
      <w:pPr>
        <w:spacing w:line="360" w:lineRule="auto"/>
        <w:ind w:firstLine="3120" w:firstLineChars="1300"/>
        <w:rPr>
          <w:rFonts w:hint="eastAsia" w:ascii="仿宋_GB2312" w:eastAsia="仿宋_GB2312"/>
          <w:sz w:val="24"/>
          <w:szCs w:val="24"/>
        </w:rPr>
      </w:pPr>
      <w:r>
        <w:rPr>
          <w:rFonts w:hint="eastAsia" w:ascii="仿宋_GB2312" w:eastAsia="仿宋_GB2312"/>
          <w:sz w:val="24"/>
          <w:szCs w:val="24"/>
          <w:lang w:val="en-US" w:eastAsia="zh-CN"/>
        </w:rPr>
        <w:t>供应商</w:t>
      </w:r>
      <w:r>
        <w:rPr>
          <w:rFonts w:hint="eastAsia" w:ascii="仿宋_GB2312" w:eastAsia="仿宋_GB2312"/>
          <w:sz w:val="24"/>
          <w:szCs w:val="24"/>
        </w:rPr>
        <w:t>名称（盖章）：</w:t>
      </w:r>
      <w:r>
        <w:rPr>
          <w:rFonts w:hint="eastAsia" w:ascii="仿宋_GB2312" w:eastAsia="仿宋_GB2312"/>
          <w:sz w:val="24"/>
          <w:szCs w:val="24"/>
          <w:u w:val="single"/>
        </w:rPr>
        <w:t xml:space="preserve">                   </w:t>
      </w:r>
      <w:r>
        <w:rPr>
          <w:rFonts w:hint="eastAsia" w:ascii="仿宋_GB2312" w:eastAsia="仿宋_GB2312"/>
          <w:sz w:val="24"/>
          <w:szCs w:val="24"/>
          <w:u w:val="single"/>
          <w:lang w:val="en-US" w:eastAsia="zh-CN"/>
        </w:rPr>
        <w:t xml:space="preserve">  </w:t>
      </w:r>
      <w:r>
        <w:rPr>
          <w:rFonts w:hint="eastAsia" w:ascii="仿宋_GB2312" w:eastAsia="仿宋_GB2312"/>
          <w:sz w:val="24"/>
          <w:szCs w:val="24"/>
          <w:u w:val="single"/>
        </w:rPr>
        <w:t xml:space="preserve">      </w:t>
      </w:r>
    </w:p>
    <w:p w14:paraId="41E8D22F">
      <w:pPr>
        <w:spacing w:line="360" w:lineRule="auto"/>
        <w:ind w:firstLine="3120" w:firstLineChars="1300"/>
        <w:rPr>
          <w:rFonts w:hint="eastAsia" w:ascii="仿宋_GB2312" w:eastAsia="仿宋_GB2312"/>
          <w:sz w:val="24"/>
          <w:szCs w:val="24"/>
          <w:u w:val="single"/>
        </w:rPr>
      </w:pPr>
      <w:r>
        <w:rPr>
          <w:rFonts w:hint="eastAsia" w:ascii="仿宋_GB2312" w:eastAsia="仿宋_GB2312"/>
          <w:sz w:val="24"/>
          <w:szCs w:val="24"/>
          <w:lang w:eastAsia="zh-CN"/>
        </w:rPr>
        <w:t>法定代表人或授权代表（签字或盖章）</w:t>
      </w:r>
      <w:r>
        <w:rPr>
          <w:rFonts w:hint="eastAsia" w:ascii="仿宋_GB2312" w:eastAsia="仿宋_GB2312"/>
          <w:sz w:val="24"/>
          <w:szCs w:val="24"/>
        </w:rPr>
        <w:t>：</w:t>
      </w:r>
      <w:r>
        <w:rPr>
          <w:rFonts w:hint="eastAsia" w:ascii="仿宋_GB2312" w:eastAsia="仿宋_GB2312"/>
          <w:sz w:val="24"/>
          <w:szCs w:val="24"/>
          <w:u w:val="single"/>
        </w:rPr>
        <w:t xml:space="preserve">           </w:t>
      </w:r>
    </w:p>
    <w:p w14:paraId="13D7AEB4">
      <w:pPr>
        <w:keepNext w:val="0"/>
        <w:keepLines w:val="0"/>
        <w:pageBreakBefore w:val="0"/>
        <w:widowControl w:val="0"/>
        <w:tabs>
          <w:tab w:val="center" w:pos="4535"/>
          <w:tab w:val="left" w:pos="6521"/>
        </w:tabs>
        <w:kinsoku/>
        <w:wordWrap/>
        <w:overflowPunct/>
        <w:topLinePunct w:val="0"/>
        <w:autoSpaceDE w:val="0"/>
        <w:autoSpaceDN w:val="0"/>
        <w:bidi w:val="0"/>
        <w:adjustRightInd w:val="0"/>
        <w:snapToGrid w:val="0"/>
        <w:spacing w:line="360" w:lineRule="auto"/>
        <w:ind w:firstLine="3120" w:firstLineChars="1300"/>
        <w:jc w:val="both"/>
        <w:textAlignment w:val="auto"/>
        <w:rPr>
          <w:rFonts w:hint="eastAsia" w:ascii="仿宋_GB2312" w:hAnsi="仿宋_GB2312" w:eastAsia="仿宋_GB2312" w:cs="仿宋_GB2312"/>
          <w:sz w:val="24"/>
          <w:szCs w:val="24"/>
          <w:lang w:val="en-US"/>
        </w:rPr>
      </w:pPr>
      <w:r>
        <w:rPr>
          <w:rFonts w:hint="eastAsia" w:ascii="仿宋_GB2312" w:eastAsia="仿宋_GB2312"/>
          <w:sz w:val="24"/>
          <w:szCs w:val="24"/>
        </w:rPr>
        <w:t>日    期：</w:t>
      </w:r>
      <w:r>
        <w:rPr>
          <w:rFonts w:hint="eastAsia" w:ascii="仿宋_GB2312" w:eastAsia="仿宋_GB2312"/>
          <w:sz w:val="24"/>
          <w:szCs w:val="24"/>
          <w:u w:val="single"/>
        </w:rPr>
        <w:t xml:space="preserve">                         </w:t>
      </w:r>
      <w:r>
        <w:rPr>
          <w:rFonts w:hint="eastAsia" w:ascii="仿宋_GB2312" w:eastAsia="仿宋_GB2312"/>
          <w:sz w:val="24"/>
          <w:szCs w:val="24"/>
          <w:u w:val="single"/>
          <w:lang w:val="en-US" w:eastAsia="zh-CN"/>
        </w:rPr>
        <w:t xml:space="preserve">     </w:t>
      </w:r>
      <w:r>
        <w:rPr>
          <w:rFonts w:hint="eastAsia" w:ascii="仿宋_GB2312" w:eastAsia="仿宋_GB2312"/>
          <w:sz w:val="24"/>
          <w:szCs w:val="24"/>
          <w:u w:val="single"/>
        </w:rPr>
        <w:t xml:space="preserve">     </w:t>
      </w:r>
    </w:p>
    <w:sectPr>
      <w:headerReference r:id="rId3" w:type="default"/>
      <w:footerReference r:id="rId4"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986401">
    <w:pPr>
      <w:pStyle w:val="4"/>
      <w:tabs>
        <w:tab w:val="right" w:pos="8925"/>
        <w:tab w:val="clear" w:pos="8306"/>
      </w:tabs>
      <w:ind w:right="4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D319E5">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D319E5">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3A56B">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0144292"/>
    <w:rsid w:val="0AB2102F"/>
    <w:rsid w:val="0BB7042D"/>
    <w:rsid w:val="0BEB5B1A"/>
    <w:rsid w:val="0D176ADD"/>
    <w:rsid w:val="0DBC505E"/>
    <w:rsid w:val="19186C21"/>
    <w:rsid w:val="1F666D3B"/>
    <w:rsid w:val="1FB07F9A"/>
    <w:rsid w:val="2127683B"/>
    <w:rsid w:val="23734DE2"/>
    <w:rsid w:val="26A24C26"/>
    <w:rsid w:val="26B71734"/>
    <w:rsid w:val="2ACB46DB"/>
    <w:rsid w:val="2B3E4738"/>
    <w:rsid w:val="2C256611"/>
    <w:rsid w:val="2E037B4A"/>
    <w:rsid w:val="2E7F25A0"/>
    <w:rsid w:val="308B4B6C"/>
    <w:rsid w:val="320106B9"/>
    <w:rsid w:val="3EBE0370"/>
    <w:rsid w:val="3EF94F1B"/>
    <w:rsid w:val="3F3E3276"/>
    <w:rsid w:val="4B2E0642"/>
    <w:rsid w:val="50063693"/>
    <w:rsid w:val="52CD31A1"/>
    <w:rsid w:val="5A414ADA"/>
    <w:rsid w:val="5C0E6052"/>
    <w:rsid w:val="5DD369EC"/>
    <w:rsid w:val="5F657BB2"/>
    <w:rsid w:val="660A0F78"/>
    <w:rsid w:val="6E1C5C80"/>
    <w:rsid w:val="76297219"/>
    <w:rsid w:val="7B952FF5"/>
    <w:rsid w:val="7DBE6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jc w:val="left"/>
    </w:pPr>
    <w:rPr>
      <w:rFonts w:ascii="Copperplate Gothic Bold" w:hAnsi="Copperplate Gothic Bold"/>
      <w:kern w:val="0"/>
      <w:sz w:val="20"/>
      <w:szCs w:val="20"/>
    </w:rPr>
  </w:style>
  <w:style w:type="paragraph" w:styleId="3">
    <w:name w:val="Plain Text"/>
    <w:basedOn w:val="1"/>
    <w:qFormat/>
    <w:uiPriority w:val="99"/>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8">
    <w:name w:val="font01"/>
    <w:basedOn w:val="7"/>
    <w:qFormat/>
    <w:uiPriority w:val="0"/>
    <w:rPr>
      <w:rFonts w:hint="eastAsia" w:ascii="宋体" w:hAnsi="宋体" w:eastAsia="宋体" w:cs="宋体"/>
      <w:color w:val="000000"/>
      <w:sz w:val="22"/>
      <w:szCs w:val="22"/>
      <w:u w:val="none"/>
    </w:r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265</Words>
  <Characters>285</Characters>
  <Lines>0</Lines>
  <Paragraphs>0</Paragraphs>
  <TotalTime>0</TotalTime>
  <ScaleCrop>false</ScaleCrop>
  <LinksUpToDate>false</LinksUpToDate>
  <CharactersWithSpaces>423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2023-10-30T08:16:00Z</dcterms:created>
  <dc:creator>86199</dc:creator>
  <cp:lastModifiedBy>陕西华采招标有限公司</cp:lastModifiedBy>
  <dcterms:modified xsi:type="dcterms:W3CDTF">2026-06-05T01:05:11Z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A353A2F99D3B4DA98A81605ED83EB1DF_13</vt:lpwstr>
  </property>
  <property fmtid="{D5CDD505-2E9C-101B-9397-08002B2CF9AE}" pid="4" name="KSOTemplateDocerSaveRecord">
    <vt:lpwstr>eyJoZGlkIjoiZWMxNWU5MTM1NDJhMzM3NzZlNjAyMmRiMjcyMmY4OWYiLCJ1c2VySWQiOiI5MzY1NjA0ODAifQ==</vt:lpwstr>
  </property>
</Properties>
</file>