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版本号：ZY2026-ZB-DY105020260512001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办公用房租赁</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ZY2026-ZB-DY1050</w:t>
      </w:r>
      <w:r>
        <w:br/>
      </w:r>
      <w:r>
        <w:br/>
      </w:r>
      <w:r>
        <w:br/>
      </w:r>
    </w:p>
    <w:p>
      <w:pPr>
        <w:pStyle w:val="null3"/>
        <w:jc w:val="center"/>
        <w:outlineLvl w:val="5"/>
      </w:pPr>
      <w:r>
        <w:rPr>
          <w:rFonts w:ascii="仿宋_GB2312" w:hAnsi="仿宋_GB2312" w:cs="仿宋_GB2312" w:eastAsia="仿宋_GB2312"/>
          <w:sz w:val="15"/>
          <w:b/>
        </w:rPr>
        <w:t>西安市国土整治和生态修复中心</w:t>
      </w:r>
    </w:p>
    <w:p>
      <w:pPr>
        <w:pStyle w:val="null3"/>
        <w:jc w:val="center"/>
        <w:outlineLvl w:val="5"/>
      </w:pPr>
      <w:r>
        <w:rPr>
          <w:rFonts w:ascii="仿宋_GB2312" w:hAnsi="仿宋_GB2312" w:cs="仿宋_GB2312" w:eastAsia="仿宋_GB2312"/>
          <w:sz w:val="15"/>
          <w:b/>
        </w:rPr>
        <w:t>陕西正翼项目管理咨询有限公司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西安市国土整治和生态修复中心</w:t>
      </w:r>
      <w:r>
        <w:rPr>
          <w:rFonts w:ascii="仿宋_GB2312" w:hAnsi="仿宋_GB2312" w:cs="仿宋_GB2312" w:eastAsia="仿宋_GB2312"/>
        </w:rPr>
        <w:t>委托，拟对</w:t>
      </w:r>
      <w:r>
        <w:rPr>
          <w:rFonts w:ascii="仿宋_GB2312" w:hAnsi="仿宋_GB2312" w:cs="仿宋_GB2312" w:eastAsia="仿宋_GB2312"/>
        </w:rPr>
        <w:t>办公用房租赁</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ZY2026-ZB-DY1050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办公用房租赁</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办公用房租赁</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3、税收缴纳证明：提供2025年8月至今已缴纳的至少一个月的纳税证明或完税证明（纳税证明或完税证明上应有代收机构或税务机关的公章或业务专用章），依法免税的单位应提供相关证明材料；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会保障资金缴纳证明：提供2025年8月至今已缴纳的至少一个月的社会保障资金缴存单据或社保机构开具的社会保险参保缴费情况证明，（单据或证明上应有社保机构或代收机构的公章或业务专用章），依法不需要缴纳社会保障资金的供应商应提供相关证明材料；</w:t>
      </w:r>
    </w:p>
    <w:p>
      <w:pPr>
        <w:pStyle w:val="null3"/>
      </w:pPr>
      <w:r>
        <w:rPr>
          <w:rFonts w:ascii="仿宋_GB2312" w:hAnsi="仿宋_GB2312" w:cs="仿宋_GB2312" w:eastAsia="仿宋_GB2312"/>
        </w:rPr>
        <w:t>5、具备履行合同所必须的设备和专业技术能力：提供具备履行合同所必须的设备和专业技术能力书面声明；</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信用查询：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8、授权委托书：法定代表人（负责人）委托代理人参加投标时须提供法定代表人授权委托书、被授权人身份证；法定代表人（负责人）参加投标时，应提供法定代表人身份证明书；非法人单位参照执行。</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西安市国土整治和生态修复中心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西安市未央区凤城八路168号西北国金中心F座7层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周院伟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029-86528650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宋勇进、卫现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029-86210100转611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采购包1：257,750.00元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采购包1：257,750.00元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收费依据：依据《招标代理服务收费管理暂行办法》（计价格〔2002〕1980号）和《关于招标代理服务收费有关问题的通知》（发改办价格〔2003〕857号）文件规定执行，不足5000.00按照5000.00计取。 2.代理服务费金额：人民币伍仟元整（¥5000.00）。 3.招标代理服务费由中标单位支付，在领取《成交通知书》前，成交单位一次性支付给陕西正翼项目管理咨询有限公司。 招标代理服务费缴纳账户： 开户名称：陕西正翼项目管理咨询有限公司西安分公司 开户银行：中国光大银行股份有限公司西安经济技术开发区支行 账 号：78680188000360910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西安市国土整治和生态修复中心</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西安市国土整治和生态修复中心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符合采购人及单一来源文件要求，符合国家相应的标准规范 。</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办公用房租赁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257,750.00</w:t>
      </w:r>
    </w:p>
    <w:p>
      <w:pPr>
        <w:pStyle w:val="null3"/>
      </w:pPr>
      <w:r>
        <w:rPr>
          <w:rFonts w:ascii="仿宋_GB2312" w:hAnsi="仿宋_GB2312" w:cs="仿宋_GB2312" w:eastAsia="仿宋_GB2312"/>
        </w:rPr>
        <w:t>采购包最高限价（元）: 257,750.00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租赁服务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257,750.00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ind w:firstLine="480"/>
              <w:jc w:val="both"/>
            </w:pPr>
            <w:r>
              <w:rPr>
                <w:rFonts w:ascii="仿宋_GB2312" w:hAnsi="仿宋_GB2312" w:cs="仿宋_GB2312" w:eastAsia="仿宋_GB2312"/>
              </w:rPr>
              <w:t>本次实际租用面积499.6平方米，地址位于西安市文景路西侧与凤城八路北侧西北国金中心8幢 2 单元 7 层03B、04号房，用于西安市国土整治和生态修复中心办公使用。</w:t>
            </w:r>
          </w:p>
          <w:p>
            <w:pPr>
              <w:pStyle w:val="null3"/>
              <w:jc w:val="both"/>
            </w:pPr>
            <w:r>
              <w:rPr>
                <w:rFonts w:ascii="仿宋_GB2312" w:hAnsi="仿宋_GB2312" w:cs="仿宋_GB2312" w:eastAsia="仿宋_GB2312"/>
              </w:rPr>
              <w:t>二、服务内容（包括工作区域、工作内容等）</w:t>
            </w:r>
          </w:p>
          <w:p>
            <w:pPr>
              <w:pStyle w:val="null3"/>
              <w:ind w:left="240" w:firstLine="240"/>
              <w:jc w:val="both"/>
            </w:pPr>
            <w:r>
              <w:rPr>
                <w:rFonts w:ascii="仿宋_GB2312" w:hAnsi="仿宋_GB2312" w:cs="仿宋_GB2312" w:eastAsia="仿宋_GB2312"/>
              </w:rPr>
              <w:t>1.整体房屋按照国土修复中心装修要求装修完毕，面积499.6平方米。</w:t>
            </w:r>
          </w:p>
          <w:p>
            <w:pPr>
              <w:pStyle w:val="null3"/>
              <w:ind w:left="240" w:firstLine="240"/>
              <w:jc w:val="both"/>
            </w:pPr>
            <w:r>
              <w:rPr>
                <w:rFonts w:ascii="仿宋_GB2312" w:hAnsi="仿宋_GB2312" w:cs="仿宋_GB2312" w:eastAsia="仿宋_GB2312"/>
              </w:rPr>
              <w:t>2.有独立的出入大门，三部电梯系统为南通大通电梯，空调系统为美的多联机，地下车库三层满足日常停车需求。安全消防设施，水电设施齐备。</w:t>
            </w:r>
          </w:p>
          <w:p>
            <w:pPr>
              <w:pStyle w:val="null3"/>
              <w:ind w:left="240" w:firstLine="240"/>
              <w:jc w:val="both"/>
            </w:pPr>
            <w:r>
              <w:rPr>
                <w:rFonts w:ascii="仿宋_GB2312" w:hAnsi="仿宋_GB2312" w:cs="仿宋_GB2312" w:eastAsia="仿宋_GB2312"/>
              </w:rPr>
              <w:t>3.应具有有独立产权，提供相关证明材料。</w:t>
            </w:r>
          </w:p>
          <w:p>
            <w:pPr>
              <w:pStyle w:val="null3"/>
              <w:jc w:val="both"/>
            </w:pPr>
            <w:r>
              <w:rPr>
                <w:rFonts w:ascii="仿宋_GB2312" w:hAnsi="仿宋_GB2312" w:cs="仿宋_GB2312" w:eastAsia="仿宋_GB2312"/>
              </w:rPr>
              <w:t>三、服务要求（人员配置、专业设备、服务标准等）</w:t>
            </w:r>
          </w:p>
          <w:p>
            <w:pPr>
              <w:pStyle w:val="null3"/>
              <w:jc w:val="both"/>
            </w:pPr>
            <w:r>
              <w:rPr>
                <w:rFonts w:ascii="仿宋_GB2312" w:hAnsi="仿宋_GB2312" w:cs="仿宋_GB2312" w:eastAsia="仿宋_GB2312"/>
              </w:rPr>
              <w:t xml:space="preserve">    1、租赁房屋为现房，租赁办公场所符合相关要求，达到办公场所的基础功能，满足工作人员日常办公需求。</w:t>
            </w:r>
          </w:p>
          <w:p>
            <w:pPr>
              <w:pStyle w:val="null3"/>
              <w:jc w:val="both"/>
            </w:pPr>
            <w:r>
              <w:rPr>
                <w:rFonts w:ascii="仿宋_GB2312" w:hAnsi="仿宋_GB2312" w:cs="仿宋_GB2312" w:eastAsia="仿宋_GB2312"/>
              </w:rPr>
              <w:t xml:space="preserve">    2、供应商须保证该房屋权属真实无争议，若发生与乙方有关的权属纠纷或债务纠纷，由供应商负责解决并承担一切后果及违约责任。</w:t>
            </w:r>
          </w:p>
          <w:p>
            <w:pPr>
              <w:pStyle w:val="null3"/>
              <w:jc w:val="both"/>
            </w:pPr>
            <w:r>
              <w:rPr>
                <w:rFonts w:ascii="仿宋_GB2312" w:hAnsi="仿宋_GB2312" w:cs="仿宋_GB2312" w:eastAsia="仿宋_GB2312"/>
              </w:rPr>
              <w:t xml:space="preserve">    3、供应商应保证房屋的建筑结构和设备设施符合建筑、消防、治安、卫生等方面的安全条件，不得危及人身安全。</w:t>
            </w:r>
          </w:p>
          <w:p>
            <w:pPr>
              <w:pStyle w:val="null3"/>
              <w:jc w:val="both"/>
            </w:pPr>
            <w:r>
              <w:rPr>
                <w:rFonts w:ascii="仿宋_GB2312" w:hAnsi="仿宋_GB2312" w:cs="仿宋_GB2312" w:eastAsia="仿宋_GB2312"/>
              </w:rPr>
              <w:t xml:space="preserve">    4、供应商有专门针对本项目实施的人员团队。</w:t>
            </w:r>
          </w:p>
          <w:p>
            <w:pPr>
              <w:pStyle w:val="null3"/>
              <w:jc w:val="both"/>
            </w:pPr>
            <w:r>
              <w:rPr>
                <w:rFonts w:ascii="仿宋_GB2312" w:hAnsi="仿宋_GB2312" w:cs="仿宋_GB2312" w:eastAsia="仿宋_GB2312"/>
              </w:rPr>
              <w:t>四、商务要求（服务期限、款项结算）</w:t>
            </w:r>
          </w:p>
          <w:p>
            <w:pPr>
              <w:pStyle w:val="null3"/>
              <w:jc w:val="both"/>
            </w:pPr>
            <w:r>
              <w:rPr>
                <w:rFonts w:ascii="仿宋_GB2312" w:hAnsi="仿宋_GB2312" w:cs="仿宋_GB2312" w:eastAsia="仿宋_GB2312"/>
              </w:rPr>
              <w:t>（一）服务期限</w:t>
            </w:r>
          </w:p>
          <w:p>
            <w:pPr>
              <w:pStyle w:val="null3"/>
              <w:jc w:val="both"/>
            </w:pPr>
            <w:r>
              <w:rPr>
                <w:rFonts w:ascii="仿宋_GB2312" w:hAnsi="仿宋_GB2312" w:cs="仿宋_GB2312" w:eastAsia="仿宋_GB2312"/>
              </w:rPr>
              <w:t xml:space="preserve">     租赁期限：2026年6月1日-2026年11月30日。</w:t>
            </w:r>
          </w:p>
          <w:p>
            <w:pPr>
              <w:pStyle w:val="null3"/>
              <w:jc w:val="both"/>
            </w:pPr>
            <w:r>
              <w:rPr>
                <w:rFonts w:ascii="仿宋_GB2312" w:hAnsi="仿宋_GB2312" w:cs="仿宋_GB2312" w:eastAsia="仿宋_GB2312"/>
              </w:rPr>
              <w:t>（二）款项结算</w:t>
            </w:r>
          </w:p>
          <w:p>
            <w:pPr>
              <w:pStyle w:val="null3"/>
            </w:pPr>
            <w:r>
              <w:rPr>
                <w:rFonts w:ascii="仿宋_GB2312" w:hAnsi="仿宋_GB2312" w:cs="仿宋_GB2312" w:eastAsia="仿宋_GB2312"/>
              </w:rPr>
              <w:t xml:space="preserve">     合同签订后30个日历日内，乙方向甲方开具租金等额的增值税发票，甲方收到乙方开具的增值税发票后，向乙方缴纳对应租金。</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满足项目实施及采购人要求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2026年6月1日-2026年11月30日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合同签订后，乙方向甲方开具租金等额的增值税发票，甲方收到乙方开具的增值税发票后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1、合同签订10个工作日内，由甲方组织成交乙方进行房屋验收。验收合格后，填写政府采购项目验收单（一式五份）作为对服务的最终认可。 2、服务商向采购人提供服务过程中的所有资料,以便采购人日后管理和维护。 3、验收依据 3.1采购文件、响应文件、澄清表（函）； 3.2本合同及附件文本； 3.3国家相应的标准、规范。 4.验收内容： 4.1房屋产权是否清晰； 4.2建筑物是不是危房、是否存在安全隐患； 4.3房屋面积是否符合要求； 4.4配套设施设备是否齐全完整。</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依据《中华人民共和国民法典》、《中华人民共和国政府采购法》的相关条款和本合同约定，中标人未全面履行合同义务或者发生违约，采购人会同协商组织机构有权终止合同，依法向中标人进行经济索赔，并报请政府采购监督管理机关进行相应的行政处罚。采购人违约的，应当赔偿给中标人造成的经济损失。 争议的解决：向房屋所在地人民法院提起诉讼。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3.4.1根据采购文件要求及合同约定执行；自然人（仅限中国公民）参与协商时，只须提供身份证复印件；3.4.2（响应文件格式-标的清单）本项目服务范围：办公用房租赁；服务要求：符合采购文件有关技术、商务要求；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至少包括审计报告、资产负债表和利润表、成立时间至提交响应文件递交截止时间不足一年的可提供成立后任意时段的资产负债表）或响应文件递交截止时间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提供2025年8月至今已缴纳的至少一个月的纳税证明或完税证明（纳税证明或完税证明上应有代收机构或税务机关的公章或业务专用章），依法免税的单位应提供相关证明材料；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至今已缴纳的至少一个月的社会保障资金缴存单据或社保机构开具的社会保险参保缴费情况证明，（单据或证明上应有社保机构或代收机构的公章或业务专用章），依法不需要缴纳社会保障资金的供应商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提供具备履行合同所必须的设备和专业技术能力书面声明；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法定代表人（负责人）委托代理人参加投标时须提供法定代表人授权委托书、被授权人身份证；法定代表人（负责人）参加投标时，应提供法定代表人身份证明书；非法人单位参照执行。</w:t>
            </w:r>
          </w:p>
        </w:tc>
        <w:tc>
          <w:tcPr>
            <w:tcW w:type="dxa" w:w="1661"/>
          </w:tcPr>
          <w:p>
            <w:pPr>
              <w:pStyle w:val="null3"/>
            </w:pPr>
            <w:r>
              <w:rPr>
                <w:rFonts w:ascii="仿宋_GB2312" w:hAnsi="仿宋_GB2312" w:cs="仿宋_GB2312" w:eastAsia="仿宋_GB2312"/>
              </w:rPr>
              <w:t>其他附件.docx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在评标过程中，有下列情形之一的，评审小组将启动异常低价投标（响应）审查程序：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4.评审小组基于专业判断，认为供应商报价过低，有可能影响产品质量或者不能诚信履约的其他情形。 有以上情形的，供应商在接到通知时间起30分钟内提交书面说明（未在规定时间内提交书面说明的按低于成本价，无效投标处理），书面说明应当按照国家财务会计制度的规定要求，逐项就供应商提供的货物、工程和服务的主营业务成本（应根据投标人企业类型予以区别）、税金及附加、销售费用、管理费用、财务费用等成本构成事项详细陈述。投标人提交的相关说明和证明材料，应当加盖供应商（法定名称）电子印章，在评审小组要求的时间内通过项目电子化交易系统进行提交，否则提交的相关证明材料无效。供应商不能证明其响应报价合理性的，评审小组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报价唯一，且没有高于采购预算及最高限价</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单一来源采购响应文件的签署、盖章符合单一来源采购文件要求，供应商递交的响应文件与本项目名称一致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协商有效期、授权有效期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服务期限响应单一来源采购文件要求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