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版本号：ZCSP-渭南市-2026-0029620260812001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渭南市机动车尾气遥感监测系统运行维护项目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ZCSP-渭南市-2026-00296</w:t>
      </w:r>
      <w:r>
        <w:br/>
      </w:r>
      <w:r>
        <w:br/>
      </w:r>
      <w:r>
        <w:br/>
      </w:r>
    </w:p>
    <w:p>
      <w:pPr>
        <w:pStyle w:val="null3"/>
        <w:jc w:val="center"/>
        <w:outlineLvl w:val="2"/>
      </w:pPr>
      <w:r>
        <w:rPr>
          <w:rFonts w:ascii="仿宋_GB2312" w:hAnsi="仿宋_GB2312" w:cs="仿宋_GB2312" w:eastAsia="仿宋_GB2312"/>
          <w:sz w:val="28"/>
          <w:b/>
        </w:rPr>
        <w:t>渭南市环境保护监测站</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渭南市环境保护监测站</w:t>
      </w:r>
      <w:r>
        <w:rPr>
          <w:rFonts w:ascii="仿宋_GB2312" w:hAnsi="仿宋_GB2312" w:cs="仿宋_GB2312" w:eastAsia="仿宋_GB2312"/>
        </w:rPr>
        <w:t>委托，拟对</w:t>
      </w:r>
      <w:r>
        <w:rPr>
          <w:rFonts w:ascii="仿宋_GB2312" w:hAnsi="仿宋_GB2312" w:cs="仿宋_GB2312" w:eastAsia="仿宋_GB2312"/>
        </w:rPr>
        <w:t>渭南市机动车尾气遥感监测系统运行维护项目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ZCSP-渭南市-2026-00296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渭南市机动车尾气遥感监测系统运行维护项目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为了进一步提高机动车尾气排放的监管效率，确保3个机动车尾气遥感监测站点的数据准确可靠，渭南市对现有的3套机动车尾气遥感监测系统、1套软件平台和1辆移动式机动车尾气遥感监测车进行运维。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采购包1（渭南市机动车尾气遥感监测系统运行维护项目）：属于专门面向中小企业采购。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委托书/法人身份证明书：法定代表人参与磋商时需提供法定代表人身份证明书（附法定代表人身份证复印件）；被授权人参与磋商时需提供法定代表人授权委托书及法定代表人身份证明书（附法定代表人及被授权人身份证复印件）</w:t>
      </w:r>
    </w:p>
    <w:p>
      <w:pPr>
        <w:pStyle w:val="null3"/>
      </w:pPr>
      <w:r>
        <w:rPr>
          <w:rFonts w:ascii="仿宋_GB2312" w:hAnsi="仿宋_GB2312" w:cs="仿宋_GB2312" w:eastAsia="仿宋_GB2312"/>
        </w:rPr>
        <w:t>2、磋商保证金：磋商保证金交纳凭证</w:t>
      </w:r>
    </w:p>
    <w:p>
      <w:pPr>
        <w:pStyle w:val="null3"/>
      </w:pPr>
      <w:r>
        <w:rPr>
          <w:rFonts w:ascii="仿宋_GB2312" w:hAnsi="仿宋_GB2312" w:cs="仿宋_GB2312" w:eastAsia="仿宋_GB2312"/>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渭南市环境保护监测站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渭南市站北街9号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0913-2368068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任佩华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成交）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渭南市环境保护监测站</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渭南市环境保护监测站</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渭南市环境保护监测站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另行约定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1、档案资料验收：服务商须提交完整全年运维档案，包含日、周 、月季度全套巡检记录表、季度校准原始检测数据、故障处置登记表、零部件及耗材更换凭证、站点电费与网络缴费凭证、车辆保险及维保票据、运维人员在岗及资质材料、移动监测车年度整机维保报告、全年系统运行分析汇总报告，资料缺失不予通过验收。 2、固定监测站点：全年站点综合在线率≥98%，故障响应、到场处置时效全部达标，无因运维失职造成长时间停机；全年四次季度校准全部合格，尾气、车速、车牌识别、气象监测精度满足国标要求；全年未发生漏电、支架松动、雷击损毁等安全事故。 3、监管软件平台：全年无系统性崩溃、长期功能失效问题，历史监测数据完整无丢失；多条件查询、批量导出、超标告警、日志追溯、跨系统数据推送功能稳定正常。 4、移动式遥感监测车：按要求完成年度整车保养检修，保险全年有效，无安全事故；车载遥测设备完成年度深度维保，配齐标气及易损备件，监测精度稳定；出车作业台账完整，专职驾驶员在岗保障日常监测调度。 5、人员服务：服务期内足额配备 4 名专职运维人员，无长期脱岗、人员空缺情况，采购人全年无有效服务投诉。、 （二）验收依据 1、满足《中华人民共和国大气污染防治法》、国家及陕西省政府采购相关政策、机动车尾气监管相关管理规定。 2、项目文件：本采购需求、中标供应商响应文件、澄清承诺、项目服务合同、双方往来书面确认资料。</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联系人：任佩华</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为了进一步提高机动车尾气排放的监管效率，确保3个机动车尾气遥感监测站点的数据准确可靠，渭南市对现有的3套机动车尾气遥感监测系统、1套软件平台和1辆移动式机动车尾气遥感监测车进行运维。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796,000.00</w:t>
      </w:r>
    </w:p>
    <w:p>
      <w:pPr>
        <w:pStyle w:val="null3"/>
      </w:pPr>
      <w:r>
        <w:rPr>
          <w:rFonts w:ascii="仿宋_GB2312" w:hAnsi="仿宋_GB2312" w:cs="仿宋_GB2312" w:eastAsia="仿宋_GB2312"/>
        </w:rPr>
        <w:t>采购包最高限价（元）: 796,000.00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渭南市机动车尾气遥感监测系统运行维护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标的名称：渭南市机动车尾气遥感监测系统运行维护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both"/>
            </w:pPr>
            <w:r>
              <w:rPr>
                <w:rFonts w:ascii="仿宋_GB2312" w:hAnsi="仿宋_GB2312" w:cs="仿宋_GB2312" w:eastAsia="仿宋_GB2312"/>
                <w:sz w:val="30"/>
                <w:b/>
              </w:rPr>
              <w:t>1、项目概况</w:t>
            </w:r>
          </w:p>
          <w:p>
            <w:pPr>
              <w:pStyle w:val="null3"/>
              <w:ind w:firstLine="600"/>
              <w:jc w:val="both"/>
            </w:pPr>
            <w:r>
              <w:rPr>
                <w:rFonts w:ascii="仿宋_GB2312" w:hAnsi="仿宋_GB2312" w:cs="仿宋_GB2312" w:eastAsia="仿宋_GB2312"/>
                <w:sz w:val="30"/>
              </w:rPr>
              <w:t>为了进一步提高机动车尾气排放的监管效率，确保</w:t>
            </w:r>
            <w:r>
              <w:rPr>
                <w:rFonts w:ascii="仿宋_GB2312" w:hAnsi="仿宋_GB2312" w:cs="仿宋_GB2312" w:eastAsia="仿宋_GB2312"/>
                <w:sz w:val="30"/>
              </w:rPr>
              <w:t>3个机动车尾气遥感监测站点的数据准确可靠，渭南市对现有的3套机动车尾气遥感监测系统、1套软件平台和1辆移动式机动车尾气遥感监测车进行运维。</w:t>
            </w:r>
          </w:p>
          <w:p>
            <w:pPr>
              <w:pStyle w:val="null3"/>
              <w:numPr>
                <w:ilvl w:val="0"/>
                <w:numId w:val="1"/>
              </w:numPr>
              <w:jc w:val="both"/>
            </w:pPr>
            <w:r>
              <w:rPr>
                <w:rFonts w:ascii="仿宋_GB2312" w:hAnsi="仿宋_GB2312" w:cs="仿宋_GB2312" w:eastAsia="仿宋_GB2312"/>
                <w:sz w:val="30"/>
                <w:b/>
              </w:rPr>
              <w:t>服务内容</w:t>
            </w:r>
          </w:p>
          <w:p>
            <w:pPr>
              <w:pStyle w:val="null3"/>
              <w:ind w:firstLine="600"/>
              <w:jc w:val="both"/>
            </w:pPr>
            <w:r>
              <w:rPr>
                <w:rFonts w:ascii="仿宋_GB2312" w:hAnsi="仿宋_GB2312" w:cs="仿宋_GB2312" w:eastAsia="仿宋_GB2312"/>
                <w:sz w:val="30"/>
              </w:rPr>
              <w:t>对潼关高速北停车区点位、临渭区张岭村点位、临渭区渭清路点位的</w:t>
            </w:r>
            <w:r>
              <w:rPr>
                <w:rFonts w:ascii="仿宋_GB2312" w:hAnsi="仿宋_GB2312" w:cs="仿宋_GB2312" w:eastAsia="仿宋_GB2312"/>
                <w:sz w:val="30"/>
              </w:rPr>
              <w:t>3套机动车尾气遥感监测系统、1套软件平台和1辆移动式机动车尾气遥感监测车的运行维护工作。运维内容涵盖三个点位的监测仪器设备维修、零部件更换、仪器设备校准、日常维护保养、安全隐患排查处理等工作；设备电力供应，数据传输保障、网络供应，尾气遥感监测系统开展基础可用性巡检；监测车辆的设备以及本体维护等内容。</w:t>
            </w:r>
          </w:p>
          <w:p>
            <w:pPr>
              <w:pStyle w:val="null3"/>
              <w:numPr>
                <w:ilvl w:val="0"/>
                <w:numId w:val="1"/>
              </w:numPr>
              <w:jc w:val="both"/>
            </w:pPr>
            <w:r>
              <w:rPr>
                <w:rFonts w:ascii="仿宋_GB2312" w:hAnsi="仿宋_GB2312" w:cs="仿宋_GB2312" w:eastAsia="仿宋_GB2312"/>
                <w:sz w:val="30"/>
                <w:b/>
              </w:rPr>
              <w:t>服务技术要求</w:t>
            </w:r>
          </w:p>
          <w:p>
            <w:pPr>
              <w:pStyle w:val="null3"/>
              <w:jc w:val="both"/>
            </w:pPr>
            <w:r>
              <w:rPr>
                <w:rFonts w:ascii="仿宋_GB2312" w:hAnsi="仿宋_GB2312" w:cs="仿宋_GB2312" w:eastAsia="仿宋_GB2312"/>
                <w:sz w:val="28"/>
                <w:b/>
              </w:rPr>
              <w:t>3.1 运行维护要求</w:t>
            </w:r>
          </w:p>
          <w:tbl>
            <w:tblPr>
              <w:tblBorders>
                <w:top w:val="none" w:color="000000" w:sz="4"/>
                <w:left w:val="none" w:color="000000" w:sz="4"/>
                <w:bottom w:val="none" w:color="000000" w:sz="4"/>
                <w:right w:val="none" w:color="000000" w:sz="4"/>
                <w:insideH w:val="none"/>
                <w:insideV w:val="none"/>
              </w:tblBorders>
            </w:tblPr>
            <w:tblGrid>
              <w:gridCol w:w="335"/>
              <w:gridCol w:w="335"/>
              <w:gridCol w:w="732"/>
              <w:gridCol w:w="1149"/>
            </w:tblGrid>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项目</w:t>
                  </w:r>
                </w:p>
              </w:tc>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运维内容</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服务要求</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3套机动车尾气遥感监测系统及1套软件平台运维</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遥感监测点位日常运维</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负责监测点位仪器设备维修、零部件更换、仪器设备校准及日常维护保养，道路边仪器设备电费，监测点位数据传输网络费用，监测点位高空设备防雷、防锈、安装稳定性等安全隐患排查处理等及其他相关日常运行维护</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335"/>
                  <w:vMerge/>
                  <w:tcBorders>
                    <w:top w:val="none" w:color="000000" w:sz="4"/>
                    <w:left w:val="single" w:color="000000" w:sz="4"/>
                    <w:bottom w:val="single" w:color="000000" w:sz="4"/>
                    <w:right w:val="single" w:color="000000" w:sz="4"/>
                  </w:tcBorders>
                </w:tcP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监测平台软件系统和监测点位工控机数采系统的基础可用性巡检</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平台软件系统和监测点位工控机系统确认点位在线、数据正常上传、平台各功能菜单可正常打开</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一辆移动式机动车尾气遥感监测车</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机动车尾气遥感监测车保养及检修</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每年一次</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335"/>
                  <w:vMerge/>
                  <w:tcBorders>
                    <w:top w:val="none" w:color="000000" w:sz="4"/>
                    <w:left w:val="single" w:color="000000" w:sz="4"/>
                    <w:bottom w:val="single" w:color="000000" w:sz="4"/>
                    <w:right w:val="single" w:color="000000" w:sz="4"/>
                  </w:tcBorders>
                </w:tcP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机动车尾气遥感监测车保险</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每年一次</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335"/>
                  <w:vMerge/>
                  <w:tcBorders>
                    <w:top w:val="none" w:color="000000" w:sz="4"/>
                    <w:left w:val="single" w:color="000000" w:sz="4"/>
                    <w:bottom w:val="single" w:color="000000" w:sz="4"/>
                    <w:right w:val="single" w:color="000000" w:sz="4"/>
                  </w:tcBorders>
                </w:tcP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车载遥测设备设施保养及检修</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每年一次</w:t>
                  </w:r>
                  <w:r>
                    <w:br/>
                  </w:r>
                  <w:r>
                    <w:rPr>
                      <w:rFonts w:ascii="仿宋_GB2312" w:hAnsi="仿宋_GB2312" w:cs="仿宋_GB2312" w:eastAsia="仿宋_GB2312"/>
                      <w:sz w:val="28"/>
                    </w:rPr>
                    <w:t>（包括更换或维修必需的常用耗材、易损零部件、标气等）</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335"/>
                  <w:vMerge/>
                  <w:tcBorders>
                    <w:top w:val="none" w:color="000000" w:sz="4"/>
                    <w:left w:val="single" w:color="000000" w:sz="4"/>
                    <w:bottom w:val="single" w:color="000000" w:sz="4"/>
                    <w:right w:val="single" w:color="000000" w:sz="4"/>
                  </w:tcBorders>
                </w:tcPr>
                <w:p/>
              </w:tc>
              <w:tc>
                <w:tcPr>
                  <w:tcW w:type="dxa" w:w="7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车载遥测设备</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环境监测仪器维护</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335"/>
                  <w:vMerge/>
                  <w:tcBorders>
                    <w:top w:val="none" w:color="000000" w:sz="4"/>
                    <w:left w:val="single" w:color="000000" w:sz="4"/>
                    <w:bottom w:val="single" w:color="000000" w:sz="4"/>
                    <w:right w:val="single" w:color="000000" w:sz="4"/>
                  </w:tcBorders>
                </w:tcPr>
                <w:p/>
              </w:tc>
              <w:tc>
                <w:tcPr>
                  <w:tcW w:type="dxa" w:w="732"/>
                  <w:vMerge/>
                  <w:tcBorders>
                    <w:top w:val="none" w:color="000000" w:sz="4"/>
                    <w:left w:val="single" w:color="000000" w:sz="4"/>
                    <w:bottom w:val="single" w:color="000000" w:sz="4"/>
                    <w:right w:val="single" w:color="000000" w:sz="4"/>
                  </w:tcBorders>
                </w:tcP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高清球机维护</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335"/>
                  <w:vMerge/>
                  <w:tcBorders>
                    <w:top w:val="none" w:color="000000" w:sz="4"/>
                    <w:left w:val="single" w:color="000000" w:sz="4"/>
                    <w:bottom w:val="single" w:color="000000" w:sz="4"/>
                    <w:right w:val="single" w:color="000000" w:sz="4"/>
                  </w:tcBorders>
                </w:tcPr>
                <w:p/>
              </w:tc>
              <w:tc>
                <w:tcPr>
                  <w:tcW w:type="dxa" w:w="7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机动车尾气遥感监测车其他</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配备车辆驾驶员</w:t>
                  </w: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p>
              </w:tc>
              <w:tc>
                <w:tcPr>
                  <w:tcW w:type="dxa" w:w="335"/>
                  <w:vMerge/>
                  <w:tcBorders>
                    <w:top w:val="none" w:color="000000" w:sz="4"/>
                    <w:left w:val="single" w:color="000000" w:sz="4"/>
                    <w:bottom w:val="single" w:color="000000" w:sz="4"/>
                    <w:right w:val="single" w:color="000000" w:sz="4"/>
                  </w:tcBorders>
                </w:tcPr>
                <w:p/>
              </w:tc>
              <w:tc>
                <w:tcPr>
                  <w:tcW w:type="dxa" w:w="732"/>
                  <w:vMerge/>
                  <w:tcBorders>
                    <w:top w:val="none" w:color="000000" w:sz="4"/>
                    <w:left w:val="single" w:color="000000" w:sz="4"/>
                    <w:bottom w:val="single" w:color="000000" w:sz="4"/>
                    <w:right w:val="single" w:color="000000" w:sz="4"/>
                  </w:tcBorders>
                </w:tcP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车辆本体维护</w:t>
                  </w:r>
                </w:p>
              </w:tc>
            </w:tr>
          </w:tbl>
          <w:p>
            <w:pPr>
              <w:pStyle w:val="null3"/>
              <w:ind w:firstLine="602"/>
              <w:jc w:val="both"/>
            </w:pPr>
            <w:r>
              <w:rPr>
                <w:rFonts w:ascii="仿宋_GB2312" w:hAnsi="仿宋_GB2312" w:cs="仿宋_GB2312" w:eastAsia="仿宋_GB2312"/>
                <w:sz w:val="30"/>
                <w:b/>
              </w:rPr>
              <w:t>3.2  固定点位运行维护</w:t>
            </w:r>
            <w:r>
              <w:rPr>
                <w:rFonts w:ascii="仿宋_GB2312" w:hAnsi="仿宋_GB2312" w:cs="仿宋_GB2312" w:eastAsia="仿宋_GB2312"/>
                <w:sz w:val="30"/>
                <w:b/>
              </w:rPr>
              <w:t>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1）设备校准</w:t>
            </w:r>
          </w:p>
          <w:p>
            <w:pPr>
              <w:pStyle w:val="null3"/>
              <w:ind w:firstLine="600"/>
              <w:jc w:val="both"/>
            </w:pPr>
            <w:r>
              <w:rPr>
                <w:rFonts w:ascii="仿宋_GB2312" w:hAnsi="仿宋_GB2312" w:cs="仿宋_GB2312" w:eastAsia="仿宋_GB2312"/>
                <w:sz w:val="30"/>
              </w:rPr>
              <w:t>按照《在用柴油车排气污染物测量方法及技术要求（遥感检测法）》（</w:t>
            </w:r>
            <w:r>
              <w:rPr>
                <w:rFonts w:ascii="仿宋_GB2312" w:hAnsi="仿宋_GB2312" w:cs="仿宋_GB2312" w:eastAsia="仿宋_GB2312"/>
                <w:sz w:val="30"/>
              </w:rPr>
              <w:t>HJ845-2017），对设备进行准确度检查，每季度进行1次准确度检查，并做好记录。</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2）安全及外观维护保障</w:t>
            </w:r>
          </w:p>
          <w:p>
            <w:pPr>
              <w:pStyle w:val="null3"/>
              <w:ind w:firstLine="600"/>
              <w:jc w:val="both"/>
            </w:pPr>
            <w:r>
              <w:rPr>
                <w:rFonts w:ascii="仿宋_GB2312" w:hAnsi="仿宋_GB2312" w:cs="仿宋_GB2312" w:eastAsia="仿宋_GB2312"/>
                <w:sz w:val="30"/>
              </w:rPr>
              <w:t>定期进行全面的设备安全稳固性检查，检查设备基础是否稳固，紧固件是否松动，是否有腐蚀生锈现象，光纤、电缆是否有破损、老化现象，定期进行全面的设备内部、外部清洁除尘工作，保障设备安全。</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3）电力保障</w:t>
            </w:r>
          </w:p>
          <w:p>
            <w:pPr>
              <w:pStyle w:val="null3"/>
              <w:ind w:firstLine="600"/>
              <w:jc w:val="both"/>
            </w:pPr>
            <w:r>
              <w:rPr>
                <w:rFonts w:ascii="仿宋_GB2312" w:hAnsi="仿宋_GB2312" w:cs="仿宋_GB2312" w:eastAsia="仿宋_GB2312"/>
                <w:sz w:val="30"/>
              </w:rPr>
              <w:t>01.负责3个监测点位的电力并支付费用。</w:t>
            </w:r>
          </w:p>
          <w:p>
            <w:pPr>
              <w:pStyle w:val="null3"/>
              <w:ind w:firstLine="600"/>
              <w:jc w:val="both"/>
            </w:pPr>
            <w:r>
              <w:rPr>
                <w:rFonts w:ascii="仿宋_GB2312" w:hAnsi="仿宋_GB2312" w:cs="仿宋_GB2312" w:eastAsia="仿宋_GB2312"/>
                <w:sz w:val="30"/>
              </w:rPr>
              <w:t>02.按要求开展现场巡查，强化仪器设备维护保养，保障遥感监测仪器设备及监测系统正常运行；定期排查用电安全隐患，雷雨季节加大排查频次，台风、雷暴雨天气后需对点位执行断电处理，保障点位用电安全。</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 网络保障</w:t>
            </w:r>
          </w:p>
          <w:p>
            <w:pPr>
              <w:pStyle w:val="null3"/>
              <w:ind w:firstLine="600"/>
              <w:jc w:val="both"/>
            </w:pPr>
            <w:r>
              <w:rPr>
                <w:rFonts w:ascii="仿宋_GB2312" w:hAnsi="仿宋_GB2312" w:cs="仿宋_GB2312" w:eastAsia="仿宋_GB2312"/>
                <w:sz w:val="30"/>
              </w:rPr>
              <w:t>负责</w:t>
            </w:r>
            <w:r>
              <w:rPr>
                <w:rFonts w:ascii="仿宋_GB2312" w:hAnsi="仿宋_GB2312" w:cs="仿宋_GB2312" w:eastAsia="仿宋_GB2312"/>
                <w:sz w:val="30"/>
              </w:rPr>
              <w:t>3个站点数据传输网络并支付费用。</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 运维响应保障</w:t>
            </w:r>
          </w:p>
          <w:p>
            <w:pPr>
              <w:pStyle w:val="null3"/>
              <w:ind w:firstLine="600"/>
              <w:jc w:val="both"/>
            </w:pPr>
            <w:r>
              <w:rPr>
                <w:rFonts w:ascii="仿宋_GB2312" w:hAnsi="仿宋_GB2312" w:cs="仿宋_GB2312" w:eastAsia="仿宋_GB2312"/>
                <w:sz w:val="30"/>
              </w:rPr>
              <w:t>当遥感监测仪器设备、监测系统及配套供电及数据传输网络等软硬件出现故障时，在接到工作人员报告后</w:t>
            </w:r>
            <w:r>
              <w:rPr>
                <w:rFonts w:ascii="仿宋_GB2312" w:hAnsi="仿宋_GB2312" w:cs="仿宋_GB2312" w:eastAsia="仿宋_GB2312"/>
                <w:sz w:val="30"/>
              </w:rPr>
              <w:t>≦</w:t>
            </w:r>
            <w:r>
              <w:rPr>
                <w:rFonts w:ascii="仿宋_GB2312" w:hAnsi="仿宋_GB2312" w:cs="仿宋_GB2312" w:eastAsia="仿宋_GB2312"/>
                <w:sz w:val="30"/>
              </w:rPr>
              <w:t>2小时内响应，及时排查消除故障，保证遥感监测工作正常进行。为保证数据有效率，技术人员安排专人进行运行监控，发现问题或者在接到值班人员通知后</w:t>
            </w:r>
            <w:r>
              <w:rPr>
                <w:rFonts w:ascii="仿宋_GB2312" w:hAnsi="仿宋_GB2312" w:cs="仿宋_GB2312" w:eastAsia="仿宋_GB2312"/>
                <w:sz w:val="30"/>
              </w:rPr>
              <w:t>≦</w:t>
            </w:r>
            <w:r>
              <w:rPr>
                <w:rFonts w:ascii="仿宋_GB2312" w:hAnsi="仿宋_GB2312" w:cs="仿宋_GB2312" w:eastAsia="仿宋_GB2312"/>
                <w:sz w:val="30"/>
              </w:rPr>
              <w:t>4小时内到达现场进行处理。</w:t>
            </w:r>
          </w:p>
          <w:p>
            <w:pPr>
              <w:pStyle w:val="null3"/>
              <w:ind w:firstLine="602"/>
              <w:jc w:val="both"/>
            </w:pPr>
            <w:r>
              <w:rPr>
                <w:rFonts w:ascii="仿宋_GB2312" w:hAnsi="仿宋_GB2312" w:cs="仿宋_GB2312" w:eastAsia="仿宋_GB2312"/>
                <w:sz w:val="30"/>
                <w:b/>
              </w:rPr>
              <w:t>3.3软件平台运维服务</w:t>
            </w:r>
            <w:r>
              <w:rPr>
                <w:rFonts w:ascii="仿宋_GB2312" w:hAnsi="仿宋_GB2312" w:cs="仿宋_GB2312" w:eastAsia="仿宋_GB2312"/>
                <w:sz w:val="30"/>
                <w:b/>
              </w:rPr>
              <w:t>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1）登录可用性：平台账号可正常登录，无页面报错、闪退、权限锁定；</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2）点位总览模块：在线/离线状态可查询；</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3）实时监测模块：可查看车辆抓拍情况、尾气NO/CO/ 不透光烟度实时数值；</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4）数据查询模块：可按日期、点位、号牌调取历史监测记录，查询功能无卡死；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5）告警模块：可正常显示不合格的监测车辆；</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6）数据联网上传模块：核查固定点位向渭南市机动车排气污染遥感监测系统数据推送是否正常，无持续断流；</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7）系统基础附属功能：台账导出、日志查看、用户管理菜单可正常打开使用。</w:t>
            </w:r>
          </w:p>
          <w:p>
            <w:pPr>
              <w:pStyle w:val="null3"/>
              <w:ind w:firstLine="602"/>
              <w:jc w:val="both"/>
            </w:pPr>
            <w:r>
              <w:rPr>
                <w:rFonts w:ascii="仿宋_GB2312" w:hAnsi="仿宋_GB2312" w:cs="仿宋_GB2312" w:eastAsia="仿宋_GB2312"/>
                <w:sz w:val="30"/>
                <w:b/>
              </w:rPr>
              <w:t>3.4 尾气遥感检测车运行维护</w:t>
            </w:r>
            <w:r>
              <w:rPr>
                <w:rFonts w:ascii="仿宋_GB2312" w:hAnsi="仿宋_GB2312" w:cs="仿宋_GB2312" w:eastAsia="仿宋_GB2312"/>
                <w:sz w:val="30"/>
                <w:b/>
              </w:rPr>
              <w:t>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1）车辆维保</w:t>
            </w:r>
          </w:p>
          <w:p>
            <w:pPr>
              <w:pStyle w:val="null3"/>
              <w:ind w:firstLine="600"/>
              <w:jc w:val="both"/>
            </w:pPr>
            <w:r>
              <w:rPr>
                <w:rFonts w:ascii="仿宋_GB2312" w:hAnsi="仿宋_GB2312" w:cs="仿宋_GB2312" w:eastAsia="仿宋_GB2312"/>
                <w:sz w:val="30"/>
              </w:rPr>
              <w:t>运维期间做好机动车尾气遥感监测车整车保养及检修，确保车辆性能达标、运行安全；办理车辆保险，保障车辆合规上路、风险可控。</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2）车载遥测设备维保</w:t>
            </w:r>
          </w:p>
          <w:p>
            <w:pPr>
              <w:pStyle w:val="null3"/>
              <w:ind w:firstLine="600"/>
              <w:jc w:val="both"/>
            </w:pPr>
            <w:r>
              <w:rPr>
                <w:rFonts w:ascii="仿宋_GB2312" w:hAnsi="仿宋_GB2312" w:cs="仿宋_GB2312" w:eastAsia="仿宋_GB2312"/>
                <w:sz w:val="30"/>
              </w:rPr>
              <w:t>01.每年至少完成1 次车载遥测设备设施整体保养及检修，确保设备稳定、数据准确。</w:t>
            </w:r>
          </w:p>
          <w:p>
            <w:pPr>
              <w:pStyle w:val="null3"/>
              <w:ind w:firstLine="600"/>
              <w:jc w:val="both"/>
            </w:pPr>
            <w:r>
              <w:rPr>
                <w:rFonts w:ascii="仿宋_GB2312" w:hAnsi="仿宋_GB2312" w:cs="仿宋_GB2312" w:eastAsia="仿宋_GB2312"/>
                <w:sz w:val="30"/>
              </w:rPr>
              <w:t>02.维保范围包含：环境条件监测仪器、高清球机等核心设备。</w:t>
            </w:r>
          </w:p>
          <w:p>
            <w:pPr>
              <w:pStyle w:val="null3"/>
              <w:ind w:firstLine="600"/>
              <w:jc w:val="both"/>
            </w:pPr>
            <w:r>
              <w:rPr>
                <w:rFonts w:ascii="仿宋_GB2312" w:hAnsi="仿宋_GB2312" w:cs="仿宋_GB2312" w:eastAsia="仿宋_GB2312"/>
                <w:sz w:val="30"/>
              </w:rPr>
              <w:t>03.负责常用耗材、易损零部件的更换与维修，并配备标气备件，满足设备正常运行需求。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3）运营保障服务</w:t>
            </w:r>
          </w:p>
          <w:p>
            <w:pPr>
              <w:pStyle w:val="null3"/>
              <w:ind w:firstLine="600"/>
              <w:jc w:val="both"/>
            </w:pPr>
            <w:r>
              <w:rPr>
                <w:rFonts w:ascii="仿宋_GB2312" w:hAnsi="仿宋_GB2312" w:cs="仿宋_GB2312" w:eastAsia="仿宋_GB2312"/>
                <w:sz w:val="30"/>
              </w:rPr>
              <w:t>监测车配备专职驾驶员，负责车辆日常驾驶、作业值守及安全管理；承担车辆日常维护，保障车辆日常使用与巡检作业正常开展。</w:t>
            </w:r>
          </w:p>
          <w:p>
            <w:pPr>
              <w:pStyle w:val="null3"/>
              <w:ind w:firstLine="602"/>
              <w:jc w:val="both"/>
            </w:pPr>
            <w:r>
              <w:rPr>
                <w:rFonts w:ascii="仿宋_GB2312" w:hAnsi="仿宋_GB2312" w:cs="仿宋_GB2312" w:eastAsia="仿宋_GB2312"/>
                <w:sz w:val="30"/>
                <w:b/>
              </w:rPr>
              <w:t>3.5 运维服务质量考核标准</w:t>
            </w:r>
            <w:r>
              <w:rPr>
                <w:rFonts w:ascii="仿宋_GB2312" w:hAnsi="仿宋_GB2312" w:cs="仿宋_GB2312" w:eastAsia="仿宋_GB2312"/>
                <w:sz w:val="30"/>
                <w:b/>
              </w:rPr>
              <w:t>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1）3个机动车尾气遥感监测站点每周开展不少于1次的现场巡检；监测车每次使用前，需检查设备各部件的连接状态，确保设备可正常运行。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2）按周、月、季、年周期，定期对设备开展巡检，实地核查设备运转情况，及时做好保养维护；发现问题须第一时间处置并记录入设备运行档案，同时将相关信息反馈至生态环境主管部门。2.3.1 日巡检记录</w:t>
            </w:r>
          </w:p>
          <w:p>
            <w:pPr>
              <w:pStyle w:val="null3"/>
              <w:ind w:firstLine="600"/>
              <w:jc w:val="both"/>
            </w:pPr>
            <w:r>
              <w:rPr>
                <w:rFonts w:ascii="仿宋_GB2312" w:hAnsi="仿宋_GB2312" w:cs="仿宋_GB2312" w:eastAsia="仿宋_GB2312"/>
                <w:sz w:val="30"/>
              </w:rPr>
              <w:t>工作日期间，对渭南市机动车排气污染遥感监测系统开展可用性巡查，检查内容按照《机动车尾气遥感日巡检记录表》执行。详见附表</w:t>
            </w:r>
            <w:r>
              <w:rPr>
                <w:rFonts w:ascii="仿宋_GB2312" w:hAnsi="仿宋_GB2312" w:cs="仿宋_GB2312" w:eastAsia="仿宋_GB2312"/>
                <w:sz w:val="30"/>
              </w:rPr>
              <w:t>1。</w:t>
            </w:r>
          </w:p>
          <w:p>
            <w:pPr>
              <w:pStyle w:val="null3"/>
              <w:ind w:firstLine="600"/>
              <w:jc w:val="both"/>
            </w:pPr>
            <w:r>
              <w:rPr>
                <w:rFonts w:ascii="仿宋_GB2312" w:hAnsi="仿宋_GB2312" w:cs="仿宋_GB2312" w:eastAsia="仿宋_GB2312"/>
                <w:sz w:val="30"/>
              </w:rPr>
              <w:t>周巡检记录</w:t>
            </w:r>
          </w:p>
          <w:p>
            <w:pPr>
              <w:pStyle w:val="null3"/>
              <w:ind w:firstLine="600"/>
              <w:jc w:val="both"/>
            </w:pPr>
            <w:r>
              <w:rPr>
                <w:rFonts w:ascii="仿宋_GB2312" w:hAnsi="仿宋_GB2312" w:cs="仿宋_GB2312" w:eastAsia="仿宋_GB2312"/>
                <w:sz w:val="30"/>
              </w:rPr>
              <w:t>每周例行巡检及预防性维护填写《机动车尾气遥感周巡检记录表》。</w:t>
            </w:r>
          </w:p>
          <w:p>
            <w:pPr>
              <w:pStyle w:val="null3"/>
              <w:ind w:firstLine="600"/>
              <w:jc w:val="both"/>
            </w:pPr>
            <w:r>
              <w:rPr>
                <w:rFonts w:ascii="仿宋_GB2312" w:hAnsi="仿宋_GB2312" w:cs="仿宋_GB2312" w:eastAsia="仿宋_GB2312"/>
                <w:sz w:val="30"/>
              </w:rPr>
              <w:t>月巡检记录</w:t>
            </w:r>
          </w:p>
          <w:p>
            <w:pPr>
              <w:pStyle w:val="null3"/>
              <w:ind w:firstLine="600"/>
              <w:jc w:val="both"/>
            </w:pPr>
            <w:r>
              <w:rPr>
                <w:rFonts w:ascii="仿宋_GB2312" w:hAnsi="仿宋_GB2312" w:cs="仿宋_GB2312" w:eastAsia="仿宋_GB2312"/>
                <w:sz w:val="30"/>
              </w:rPr>
              <w:t>每月进行一次性能诊断，并出填写《机动车尾气遥感月巡检记录表》。</w:t>
            </w:r>
          </w:p>
          <w:p>
            <w:pPr>
              <w:pStyle w:val="null3"/>
              <w:ind w:firstLine="600"/>
              <w:jc w:val="both"/>
            </w:pPr>
            <w:r>
              <w:rPr>
                <w:rFonts w:ascii="仿宋_GB2312" w:hAnsi="仿宋_GB2312" w:cs="仿宋_GB2312" w:eastAsia="仿宋_GB2312"/>
                <w:sz w:val="30"/>
              </w:rPr>
              <w:t>季度巡检记录</w:t>
            </w:r>
          </w:p>
          <w:p>
            <w:pPr>
              <w:pStyle w:val="null3"/>
              <w:ind w:firstLine="600"/>
              <w:jc w:val="both"/>
            </w:pPr>
            <w:r>
              <w:rPr>
                <w:rFonts w:ascii="仿宋_GB2312" w:hAnsi="仿宋_GB2312" w:cs="仿宋_GB2312" w:eastAsia="仿宋_GB2312"/>
                <w:sz w:val="30"/>
              </w:rPr>
              <w:t>每季度进行一次全面检查，检查硬件系统的工作状态、对硬件系统的运行环境进行评估，检查项目为《机动车尾气遥感季度检查记录表》、《机动车尾气遥感标准气体测量示值误差》、《机动车尾气遥感标准气体测量重复性》、《机动车尾气遥感监测设备不透光度校准记录》、《机动车尾气遥感设备不透光测量重复性》。</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3）故障处理单</w:t>
            </w:r>
          </w:p>
          <w:p>
            <w:pPr>
              <w:pStyle w:val="null3"/>
              <w:ind w:firstLine="600"/>
              <w:jc w:val="both"/>
            </w:pPr>
            <w:r>
              <w:rPr>
                <w:rFonts w:ascii="仿宋_GB2312" w:hAnsi="仿宋_GB2312" w:cs="仿宋_GB2312" w:eastAsia="仿宋_GB2312"/>
                <w:sz w:val="30"/>
              </w:rPr>
              <w:t>故障处理后，根据故障情况完整机动车尾气遥感设备故障处理登记表的填写，并汇报给上级部门。</w:t>
            </w:r>
          </w:p>
          <w:p>
            <w:pPr>
              <w:pStyle w:val="null3"/>
              <w:ind w:firstLine="602"/>
              <w:jc w:val="both"/>
            </w:pPr>
            <w:r>
              <w:rPr>
                <w:rFonts w:ascii="仿宋_GB2312" w:hAnsi="仿宋_GB2312" w:cs="仿宋_GB2312" w:eastAsia="仿宋_GB2312"/>
                <w:sz w:val="30"/>
                <w:b/>
              </w:rPr>
              <w:t>3.6 驻场服务要求</w:t>
            </w:r>
          </w:p>
          <w:p>
            <w:pPr>
              <w:pStyle w:val="null3"/>
              <w:ind w:firstLine="600"/>
              <w:jc w:val="both"/>
            </w:pPr>
            <w:r>
              <w:rPr>
                <w:rFonts w:ascii="仿宋_GB2312" w:hAnsi="仿宋_GB2312" w:cs="仿宋_GB2312" w:eastAsia="仿宋_GB2312"/>
                <w:sz w:val="30"/>
              </w:rPr>
              <w:t>供应商委派驻场工程师对机动车尾气遥感监测系统开展基础可用性检查、移动式机动车尾气遥感监测车完成定期巡检，并对站点设备完成日常巡检、运行维护和修复工作，以保障整体的稳定运行与数据准确性。</w:t>
            </w:r>
          </w:p>
          <w:p>
            <w:pPr>
              <w:pStyle w:val="null3"/>
              <w:ind w:firstLine="602"/>
              <w:jc w:val="both"/>
            </w:pPr>
            <w:r>
              <w:rPr>
                <w:rFonts w:ascii="仿宋_GB2312" w:hAnsi="仿宋_GB2312" w:cs="仿宋_GB2312" w:eastAsia="仿宋_GB2312"/>
                <w:sz w:val="30"/>
                <w:b/>
              </w:rPr>
              <w:t>4、运维服务期限</w:t>
            </w:r>
          </w:p>
          <w:p>
            <w:pPr>
              <w:pStyle w:val="null3"/>
              <w:ind w:firstLine="600"/>
              <w:jc w:val="both"/>
            </w:pPr>
            <w:r>
              <w:rPr>
                <w:rFonts w:ascii="仿宋_GB2312" w:hAnsi="仿宋_GB2312" w:cs="仿宋_GB2312" w:eastAsia="仿宋_GB2312"/>
                <w:sz w:val="30"/>
              </w:rPr>
              <w:t>自合同签订之日起一年。</w:t>
            </w:r>
          </w:p>
          <w:p>
            <w:pPr>
              <w:pStyle w:val="null3"/>
              <w:ind w:firstLine="600"/>
              <w:jc w:val="both"/>
            </w:pPr>
            <w:r>
              <w:rPr>
                <w:rFonts w:ascii="仿宋_GB2312" w:hAnsi="仿宋_GB2312" w:cs="仿宋_GB2312" w:eastAsia="仿宋_GB2312"/>
                <w:sz w:val="30"/>
                <w:b/>
              </w:rPr>
              <w:t>5、质量标准</w:t>
            </w:r>
          </w:p>
          <w:p>
            <w:pPr>
              <w:pStyle w:val="null3"/>
              <w:ind w:firstLine="600"/>
              <w:jc w:val="both"/>
            </w:pPr>
            <w:r>
              <w:rPr>
                <w:rFonts w:ascii="仿宋_GB2312" w:hAnsi="仿宋_GB2312" w:cs="仿宋_GB2312" w:eastAsia="仿宋_GB2312"/>
                <w:sz w:val="30"/>
              </w:rPr>
              <w:t>达到国家及行业验收合格标准。</w:t>
            </w:r>
          </w:p>
          <w:p>
            <w:pPr>
              <w:pStyle w:val="null3"/>
              <w:ind w:firstLine="600"/>
              <w:jc w:val="both"/>
            </w:pPr>
            <w:r>
              <w:rPr>
                <w:rFonts w:ascii="仿宋_GB2312" w:hAnsi="仿宋_GB2312" w:cs="仿宋_GB2312" w:eastAsia="仿宋_GB2312"/>
                <w:sz w:val="30"/>
                <w:b/>
              </w:rPr>
              <w:t>6、运维人员保障及</w:t>
            </w:r>
            <w:r>
              <w:rPr>
                <w:rFonts w:ascii="仿宋_GB2312" w:hAnsi="仿宋_GB2312" w:cs="仿宋_GB2312" w:eastAsia="仿宋_GB2312"/>
                <w:sz w:val="30"/>
                <w:b/>
              </w:rPr>
              <w:t>人员配置</w:t>
            </w:r>
            <w:r>
              <w:rPr>
                <w:rFonts w:ascii="仿宋_GB2312" w:hAnsi="仿宋_GB2312" w:cs="仿宋_GB2312" w:eastAsia="仿宋_GB2312"/>
                <w:sz w:val="30"/>
                <w:b/>
              </w:rPr>
              <w:t>要求</w:t>
            </w:r>
          </w:p>
          <w:p>
            <w:pPr>
              <w:pStyle w:val="null3"/>
              <w:ind w:firstLine="600"/>
              <w:jc w:val="both"/>
            </w:pPr>
            <w:r>
              <w:rPr>
                <w:rFonts w:ascii="仿宋_GB2312" w:hAnsi="仿宋_GB2312" w:cs="仿宋_GB2312" w:eastAsia="仿宋_GB2312"/>
                <w:sz w:val="30"/>
                <w:b/>
              </w:rPr>
              <w:t xml:space="preserve">6.1 </w:t>
            </w:r>
            <w:r>
              <w:rPr>
                <w:rFonts w:ascii="仿宋_GB2312" w:hAnsi="仿宋_GB2312" w:cs="仿宋_GB2312" w:eastAsia="仿宋_GB2312"/>
                <w:sz w:val="30"/>
              </w:rPr>
              <w:t>运维人员配置应能确保平台、站点得到及时有效运行维护，保障监测数据正常上传。</w:t>
            </w:r>
          </w:p>
          <w:p>
            <w:pPr>
              <w:pStyle w:val="null3"/>
              <w:ind w:firstLine="600"/>
              <w:jc w:val="both"/>
            </w:pPr>
            <w:r>
              <w:rPr>
                <w:rFonts w:ascii="仿宋_GB2312" w:hAnsi="仿宋_GB2312" w:cs="仿宋_GB2312" w:eastAsia="仿宋_GB2312"/>
                <w:sz w:val="30"/>
              </w:rPr>
              <w:t>6.</w:t>
            </w:r>
            <w:r>
              <w:rPr>
                <w:rFonts w:ascii="仿宋_GB2312" w:hAnsi="仿宋_GB2312" w:cs="仿宋_GB2312" w:eastAsia="仿宋_GB2312"/>
                <w:sz w:val="30"/>
              </w:rPr>
              <w:t>2 人员配置</w:t>
            </w:r>
          </w:p>
          <w:p>
            <w:pPr>
              <w:pStyle w:val="null3"/>
              <w:ind w:firstLine="600"/>
              <w:jc w:val="both"/>
            </w:pPr>
            <w:r>
              <w:rPr>
                <w:rFonts w:ascii="仿宋_GB2312" w:hAnsi="仿宋_GB2312" w:cs="仿宋_GB2312" w:eastAsia="仿宋_GB2312"/>
                <w:sz w:val="30"/>
              </w:rPr>
              <w:t>至少配备</w:t>
            </w:r>
            <w:r>
              <w:rPr>
                <w:rFonts w:ascii="仿宋_GB2312" w:hAnsi="仿宋_GB2312" w:cs="仿宋_GB2312" w:eastAsia="仿宋_GB2312"/>
                <w:sz w:val="30"/>
              </w:rPr>
              <w:t>4名人员担任</w:t>
            </w:r>
            <w:r>
              <w:rPr>
                <w:rFonts w:ascii="仿宋_GB2312" w:hAnsi="仿宋_GB2312" w:cs="仿宋_GB2312" w:eastAsia="仿宋_GB2312"/>
                <w:sz w:val="30"/>
              </w:rPr>
              <w:t>委派现场服务负责人（兼任驻场工程师）、软件平台维护工程师、硬件设备维护工程师、移动式机动车尾气遥感监测车驾驶员负责机动车尾气遥感监测系统、软件平台、移动式机动车尾气遥感监测车的日常运行维护；负责站点设备的配件采购与修复工作，以保障整体系统的稳定运行与数据准确性。</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至少配备4名人员担任委派现场服务负责人（兼任驻场工程师）、软件平台维护工程师、硬件设备维护工程师、移动式机动车尾气遥感监测车驾驶员，负责机动车尾气遥感监测系统、软件平台、移动式机动车尾气遥感监测车的日常运行维护；负责站点设备的配件采购与修复工作，以保障整体系统的稳定运行与数据准确性。</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配备合理，满足项目实施要求。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1.在服务范围内按工作内容和要求制定详细的方案，方案科学、合理、可靠。 2.人员配备合理。有针对本项目的专项服务小组，项目负责人、工作人员分工明确。 3.所供服务能力、所需硬件设备数量、规格符合采购文件要求及采购合同约定的要求。 4.投标承诺及采购合同约定的附件、技术资料等齐全；提供安全工具的使用说明书、合格证等。</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1、档案资料验收：服务商须提交完整全年运维档案，包含日、周 、月季度全套巡检记录表、季度校准原始检测数据、故障处置登记表、零部件及耗材更换凭证、站点电费与网络缴费凭证、车辆保险及维保票据、运维人员在岗及资质材料、移动监测车年度整机维保报告、全年系统运行分析汇总报告，资料缺失不予通过验收。 2、固定监测站点：全年站点综合在线率≥98%，故障响应、到场处置时效全部达标，无因运维失职造成长时间停机；全年四次季度校准全部合格，尾气、车速、车牌识别、气象监测精度满足国标要求；全年未发生漏电、支架松动、雷击损毁等安全事故。 3、监管软件平台：全年无系统性崩溃、长期功能失效问题，历史监测数据完整无丢失；多条件查询、批量导出、超标告警、日志追溯、跨系统数据推送功能稳定正常。 4、移动式遥感监测车：按要求完成年度整车保养检修，保险全年有效，无安全事故；车载遥测设备完成年度深度维保，配齐标气及易损备件，监测精度稳定；出车作业台账完整，专职驾驶员在岗保障日常监测调度。 5、人员服务：服务期内足额配备 4 名专职运维人员，无长期脱岗、人员空缺情况，采购人全年无有效服务投诉。、 （二）验收依据 1、满足《中华人民共和国大气污染防治法》、国家及陕西省政府采购相关政策、机动车尾气监管相关管理规定。 2、项目文件：本采购需求、中标供应商响应文件、澄清承诺、项目服务合同、双方往来书面确认资料。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进度款，合同签订后采购人支付合同总价款，达到付款条件起30个工作日内，支付合同总金额的40.0%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进度款，项目完成并验收合格后支付合同总价款，达到付款条件起30个工作日内，支付合同总金额的60.0%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的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货商的违法行为进行相应的处罚。 （二）其他未尽事宜，按《中华人民共和国民法典》中的相关条款执行。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成交）供应商在中标（成交）结果公告发布后3个工作日内提供叁套纸质投标文件（经编标工具生成的文件直接打印并加盖公章），递交的纸质版文件内容确保与线上电子文件保持一致，不允许修改和补充。 2.根据《政府采购法实施条例》释义，银行、保险、石油石化、电力、电信等有行业特殊情况的，允许法人的分支机构参加政府采购活动。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供应商应具有独立承担民事责任能力的企业法人</w:t>
            </w:r>
          </w:p>
        </w:tc>
        <w:tc>
          <w:tcPr>
            <w:tcW w:type="dxa" w:w="3322"/>
          </w:tcPr>
          <w:p>
            <w:pPr>
              <w:pStyle w:val="null3"/>
            </w:pPr>
            <w:r>
              <w:rPr>
                <w:rFonts w:ascii="仿宋_GB2312" w:hAnsi="仿宋_GB2312" w:cs="仿宋_GB2312" w:eastAsia="仿宋_GB2312"/>
              </w:rPr>
              <w:t>企业法人应提供统一社会信用代码的营业执照等证明材料。</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具有良好的商业信誉和健全的财务会计制度以及有依法缴纳税收和社会保障资金的良好记录（提供相关证明材料或承诺）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②税收缴纳证明：提供响应文件递交截止时间前一年内任意一个月的缴费凭据（依法免税的供应商应提供相关文件证明）；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可根据本磋商文件格式要求出具承诺函，成交供应商的承诺函同成交结果一并公示（承诺函格式详见附件）。</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法人授权委托书/法人身份证明书</w:t>
            </w:r>
          </w:p>
        </w:tc>
        <w:tc>
          <w:tcPr>
            <w:tcW w:type="dxa" w:w="3322"/>
          </w:tcPr>
          <w:p>
            <w:pPr>
              <w:pStyle w:val="null3"/>
            </w:pPr>
            <w:r>
              <w:rPr>
                <w:rFonts w:ascii="仿宋_GB2312" w:hAnsi="仿宋_GB2312" w:cs="仿宋_GB2312" w:eastAsia="仿宋_GB2312"/>
              </w:rPr>
              <w:t>法定代表人参与磋商时需提供法定代表人身份证明书（附法定代表人身份证复印件）；被授权人参与磋商时需提供法定代表人授权委托书及法定代表人身份证明书（附法定代表人及被授权人身份证复印件）</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磋商报价只有一个有效报价，未超出最高限价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对服务内容响应程度</w:t>
            </w:r>
          </w:p>
        </w:tc>
        <w:tc>
          <w:tcPr>
            <w:tcW w:type="dxa" w:w="3322"/>
          </w:tcPr>
          <w:p>
            <w:pPr>
              <w:pStyle w:val="null3"/>
            </w:pPr>
            <w:r>
              <w:rPr>
                <w:rFonts w:ascii="仿宋_GB2312" w:hAnsi="仿宋_GB2312" w:cs="仿宋_GB2312" w:eastAsia="仿宋_GB2312"/>
              </w:rPr>
              <w:t>满足磋商文件实质性服务技术及商务要求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磋商文件要求的其他内容</w:t>
            </w:r>
          </w:p>
        </w:tc>
        <w:tc>
          <w:tcPr>
            <w:tcW w:type="dxa" w:w="3322"/>
          </w:tcPr>
          <w:p>
            <w:pPr>
              <w:pStyle w:val="null3"/>
            </w:pPr>
            <w:r>
              <w:rPr>
                <w:rFonts w:ascii="仿宋_GB2312" w:hAnsi="仿宋_GB2312" w:cs="仿宋_GB2312" w:eastAsia="仿宋_GB2312"/>
              </w:rPr>
              <w:t>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按照磋商文件要求进行签章</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供应商资格证明文件1.docx 响应文件封面 分项报价表.docx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运行维护方案</w:t>
            </w:r>
          </w:p>
        </w:tc>
        <w:tc>
          <w:tcPr>
            <w:tcW w:type="dxa" w:w="2492"/>
          </w:tcPr>
          <w:p>
            <w:pPr>
              <w:pStyle w:val="null3"/>
            </w:pPr>
            <w:r>
              <w:rPr>
                <w:rFonts w:ascii="仿宋_GB2312" w:hAnsi="仿宋_GB2312" w:cs="仿宋_GB2312" w:eastAsia="仿宋_GB2312"/>
              </w:rPr>
              <w:t>（一）评审内容：包含① 设备定期保养、运行维护方案；②系统定期运行维护方案；③运行维护服务流程；④运维服务过程中定期巡检方案。 （二）评审标准：每一条评审内容无缺陷得5分，满分20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科学原理或常识错误、前后逻辑错误的；⑤无具体详细的阐述、实施性不强的）。</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（一）评审内容：包含①质量保障体系；②质控管控措施；③耗材备品备件的质量保障方案 （二）评审标准：每一条评审内容无缺陷得3分，满分9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服务履约能力</w:t>
            </w:r>
          </w:p>
        </w:tc>
        <w:tc>
          <w:tcPr>
            <w:tcW w:type="dxa" w:w="2492"/>
          </w:tcPr>
          <w:p>
            <w:pPr>
              <w:pStyle w:val="null3"/>
            </w:pPr>
            <w:r>
              <w:rPr>
                <w:rFonts w:ascii="仿宋_GB2312" w:hAnsi="仿宋_GB2312" w:cs="仿宋_GB2312" w:eastAsia="仿宋_GB2312"/>
              </w:rPr>
              <w:t>（一）评审内容：包含①运行维护过程资料及档案记录的完整性措施；②驻场人员服务方案；③售后服务响应时间与处理时间。 （二）评审标准：每一条评审内容无缺陷得3分，满分9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1.每配备一个驻场工程师得1.5分，最高得6分。 2.每配备一个系统平台运行维护工程师得1.5分，最高得6分。 3.每配备一个遥感监测车运行维护工程师得1.5分，最高得6分。 3.每配备一个其他岗位人员得2分，最高得6分。 说明：提供人员的身份证及职称证（人员不重复得分，未提供证明材料不得分。）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设备校准频次承诺</w:t>
            </w:r>
          </w:p>
        </w:tc>
        <w:tc>
          <w:tcPr>
            <w:tcW w:type="dxa" w:w="2492"/>
          </w:tcPr>
          <w:p>
            <w:pPr>
              <w:pStyle w:val="null3"/>
            </w:pPr>
            <w:r>
              <w:rPr>
                <w:rFonts w:ascii="仿宋_GB2312" w:hAnsi="仿宋_GB2312" w:cs="仿宋_GB2312" w:eastAsia="仿宋_GB2312"/>
              </w:rPr>
              <w:t>按月及季度对设备进行校准： ①每月校准2（含）次，得1分；每月校准≧3次得3分。 ②每季度校准3（含）次，得2分；每季度校准≧4次得4分。 注：提供承诺书加盖单位公章，否则不得分。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供应商具有近年（2023年8月至今）的类似项目业绩，每提供1个业绩得2分，本项目最高得6分。（提供合同复印件加盖单位公章，以合同签订时间为准。）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应急响应时间</w:t>
            </w:r>
          </w:p>
        </w:tc>
        <w:tc>
          <w:tcPr>
            <w:tcW w:type="dxa" w:w="2492"/>
          </w:tcPr>
          <w:p>
            <w:pPr>
              <w:pStyle w:val="null3"/>
            </w:pPr>
            <w:r>
              <w:rPr>
                <w:rFonts w:ascii="仿宋_GB2312" w:hAnsi="仿宋_GB2312" w:cs="仿宋_GB2312" w:eastAsia="仿宋_GB2312"/>
              </w:rPr>
              <w:t>当遥感监测仪器设备、监测系统及配套供电及数据传输网络等软硬件出现故障时： ①渭南城区外供应商1.5小时内响应，能够排查消除故障，保证遥感监测工作正常进行，提供承诺书得2分； ②渭南城区内30分钟内响应，能够排查消除故障，保证遥感监测工作正常进行，提供承诺书得3分。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满足磋商文件要求且最后报价最低的供应商的价格为基准价得20分，其他各供应商的最后报价得分按下列公式计算： 磋商报价得分=（磋商基准价/最后磋商报价）×20%×100。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