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版本号：CW2026-ZCCS-0620260528001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诉讼服务中心外包采购项目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CW2026-ZCCS-06</w:t>
      </w:r>
      <w:r>
        <w:br/>
      </w:r>
      <w:r>
        <w:br/>
      </w:r>
      <w:r>
        <w:br/>
      </w:r>
    </w:p>
    <w:p>
      <w:pPr>
        <w:pStyle w:val="null3"/>
        <w:jc w:val="center"/>
        <w:outlineLvl w:val="2"/>
      </w:pPr>
      <w:r>
        <w:rPr>
          <w:rFonts w:ascii="仿宋_GB2312" w:hAnsi="仿宋_GB2312" w:cs="仿宋_GB2312" w:eastAsia="仿宋_GB2312"/>
          <w:sz w:val="28"/>
          <w:b/>
        </w:rPr>
        <w:t>西安市新城区人民法院[153]</w:t>
      </w:r>
    </w:p>
    <w:p>
      <w:pPr>
        <w:pStyle w:val="null3"/>
        <w:jc w:val="center"/>
        <w:outlineLvl w:val="2"/>
      </w:pPr>
      <w:r>
        <w:rPr>
          <w:rFonts w:ascii="仿宋_GB2312" w:hAnsi="仿宋_GB2312" w:cs="仿宋_GB2312" w:eastAsia="仿宋_GB2312"/>
          <w:sz w:val="28"/>
          <w:b/>
        </w:rPr>
        <w:t>陕西池文项目管理有限公司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陕西池文项目管理有限公司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西安市新城区人民法院[153]</w:t>
      </w:r>
      <w:r>
        <w:rPr>
          <w:rFonts w:ascii="仿宋_GB2312" w:hAnsi="仿宋_GB2312" w:cs="仿宋_GB2312" w:eastAsia="仿宋_GB2312"/>
        </w:rPr>
        <w:t>委托，拟对</w:t>
      </w:r>
      <w:r>
        <w:rPr>
          <w:rFonts w:ascii="仿宋_GB2312" w:hAnsi="仿宋_GB2312" w:cs="仿宋_GB2312" w:eastAsia="仿宋_GB2312"/>
        </w:rPr>
        <w:t>诉讼服务中心外包采购项目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CW2026-ZCCS-06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诉讼服务中心外包采购项目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提升我院诉讼服务质效，优化司法资源配置，规范案件流转、司法辅助等配套工作，通过磋商采购方式选取专业供应商，提供符合岗位资质的人员提供专业化、规范化、标准化的诉讼服务外包，保障我院诉讼业务高效、有序开展，助力司法辅助事务集约化、社会化落地实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采购包1（诉讼服务中心外包采购项目）：属于专门面向中小企业采购。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7、法定代表人授权书：法定代表人直接参加磋商的，须出具法定代表人身份证明书及身份证；授权代表参加磋商的，须出具法定代表人授权书；</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11、非联合体声明：本项目不接受联合体磋商，提供非联合体磋商声明；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西安市新城区人民法院[153]</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西安市含元路105号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029-82556755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陕西池文项目管理有限公司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西安市经济技术开发区凤城3路3号巍然大厦1号楼B座6楼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邱程、醋转转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13709225739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采购包1：813,400.00元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代理服务费收费标准：本项目招标代理服务费实行市场调节价，采用差额定率累进法计费，以成交金额为计费基数，由成交人在领取成交通知书前一次性支付。 具体费率如下： 100万元以下，按照1.5%计取； 开户名称：陕西池文项目管理有限公司 开户银行：宁夏银行西安经济技术开发区支行 银行账号：1200001113163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西安市新城区人民法院[153]</w:t>
      </w:r>
      <w:r>
        <w:rPr>
          <w:rFonts w:ascii="仿宋_GB2312" w:hAnsi="仿宋_GB2312" w:cs="仿宋_GB2312" w:eastAsia="仿宋_GB2312"/>
        </w:rPr>
        <w:t>和</w:t>
      </w:r>
      <w:r>
        <w:rPr>
          <w:rFonts w:ascii="仿宋_GB2312" w:hAnsi="仿宋_GB2312" w:cs="仿宋_GB2312" w:eastAsia="仿宋_GB2312"/>
        </w:rPr>
        <w:t>陕西池文项目管理有限公司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西安市新城区人民法院[153]</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陕西池文项目管理有限公司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西安市新城区人民法院[153]</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陕西池文项目管理有限公司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采购人负责项目验收，具体以双方签订合同为准。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陕西池文项目管理有限公司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陕西池文项目管理有限公司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陕西池文项目管理有限公司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联系人：邱程、醋转转</w:t>
      </w:r>
    </w:p>
    <w:p>
      <w:pPr>
        <w:pStyle w:val="null3"/>
      </w:pPr>
      <w:r>
        <w:rPr>
          <w:rFonts w:ascii="仿宋_GB2312" w:hAnsi="仿宋_GB2312" w:cs="仿宋_GB2312" w:eastAsia="仿宋_GB2312"/>
        </w:rPr>
        <w:t>联系电话：13709225739</w:t>
      </w:r>
    </w:p>
    <w:p>
      <w:pPr>
        <w:pStyle w:val="null3"/>
      </w:pPr>
      <w:r>
        <w:rPr>
          <w:rFonts w:ascii="仿宋_GB2312" w:hAnsi="仿宋_GB2312" w:cs="仿宋_GB2312" w:eastAsia="仿宋_GB2312"/>
        </w:rPr>
        <w:t>地址：陕西省西安市经济技术开发区凤城3路3号巍然大厦B座6楼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升我院诉讼服务质效，优化司法资源配置，规范案件流转、司法辅助等配套工作，通过磋商采购方式选取专业供应商，提供符合岗位资质的人员提供专业化、规范化、标准化的诉讼服务外包，保障我院诉讼业务高效、有序开展，助力司法辅助事务集约化、社会化落地实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813,400.00</w:t>
      </w:r>
    </w:p>
    <w:p>
      <w:pPr>
        <w:pStyle w:val="null3"/>
      </w:pPr>
      <w:r>
        <w:rPr>
          <w:rFonts w:ascii="仿宋_GB2312" w:hAnsi="仿宋_GB2312" w:cs="仿宋_GB2312" w:eastAsia="仿宋_GB2312"/>
        </w:rPr>
        <w:t>采购包最高限价（元）: 813,400.00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诉讼服务中心外包采购项目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813,400.00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标的名称：诉讼服务中心外包采购项目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为提供优质诉讼服务，实现诉讼服务专业化运行，结合我院诉讼服务实际工作，本次对诉讼服务拟配备</w:t>
            </w:r>
            <w:r>
              <w:rPr>
                <w:rFonts w:ascii="仿宋_GB2312" w:hAnsi="仿宋_GB2312" w:cs="仿宋_GB2312" w:eastAsia="仿宋_GB2312"/>
                <w:sz w:val="24"/>
              </w:rPr>
              <w:t>12</w:t>
            </w:r>
            <w:r>
              <w:rPr>
                <w:rFonts w:ascii="仿宋_GB2312" w:hAnsi="仿宋_GB2312" w:cs="仿宋_GB2312" w:eastAsia="仿宋_GB2312"/>
                <w:sz w:val="24"/>
              </w:rPr>
              <w:t>人的专业技术团队</w:t>
            </w:r>
            <w:r>
              <w:rPr>
                <w:rFonts w:ascii="仿宋_GB2312" w:hAnsi="仿宋_GB2312" w:cs="仿宋_GB2312" w:eastAsia="仿宋_GB2312"/>
                <w:sz w:val="24"/>
              </w:rPr>
              <w:t>驻场服务。</w:t>
            </w:r>
          </w:p>
          <w:p>
            <w:pPr>
              <w:pStyle w:val="null3"/>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服务内容要求</w:t>
            </w:r>
          </w:p>
          <w:p>
            <w:pPr>
              <w:pStyle w:val="null3"/>
              <w:ind w:firstLine="480"/>
            </w:pPr>
            <w:r>
              <w:rPr>
                <w:rFonts w:ascii="仿宋_GB2312" w:hAnsi="仿宋_GB2312" w:cs="仿宋_GB2312" w:eastAsia="仿宋_GB2312"/>
                <w:sz w:val="24"/>
                <w:color w:val="000000"/>
              </w:rPr>
              <w:t>驻场人员需在采购人统一管理、调度下，从事诉讼服务、司法辅助及采购人指定的全部辅助性工作，核心工作包含但不限于以下内容，采购人可根据实际业务需求调整、补充工作范围：</w:t>
            </w:r>
          </w:p>
          <w:p>
            <w:pPr>
              <w:pStyle w:val="null3"/>
            </w:pPr>
            <w:r>
              <w:rPr>
                <w:rFonts w:ascii="仿宋_GB2312" w:hAnsi="仿宋_GB2312" w:cs="仿宋_GB2312" w:eastAsia="仿宋_GB2312"/>
                <w:sz w:val="24"/>
                <w:color w:val="000000"/>
              </w:rPr>
              <w:t>（一）现场服务内容</w:t>
            </w:r>
          </w:p>
          <w:p>
            <w:pPr>
              <w:pStyle w:val="null3"/>
              <w:ind w:firstLine="240"/>
            </w:pPr>
            <w:r>
              <w:rPr>
                <w:rFonts w:ascii="仿宋_GB2312" w:hAnsi="仿宋_GB2312" w:cs="仿宋_GB2312" w:eastAsia="仿宋_GB2312"/>
                <w:sz w:val="24"/>
              </w:rPr>
              <w:t>1、案件流转辅助工作</w:t>
            </w:r>
          </w:p>
          <w:p>
            <w:pPr>
              <w:pStyle w:val="null3"/>
              <w:ind w:firstLine="240"/>
            </w:pPr>
            <w:r>
              <w:rPr>
                <w:rFonts w:ascii="仿宋_GB2312" w:hAnsi="仿宋_GB2312" w:cs="仿宋_GB2312" w:eastAsia="仿宋_GB2312"/>
                <w:sz w:val="24"/>
              </w:rPr>
              <w:t>（</w:t>
            </w:r>
            <w:r>
              <w:rPr>
                <w:rFonts w:ascii="仿宋_GB2312" w:hAnsi="仿宋_GB2312" w:cs="仿宋_GB2312" w:eastAsia="仿宋_GB2312"/>
                <w:sz w:val="24"/>
              </w:rPr>
              <w:t>1）负责案件材料接收、登记、整理、核对、扫描、录入、归档、流转；</w:t>
            </w:r>
          </w:p>
          <w:p>
            <w:pPr>
              <w:pStyle w:val="null3"/>
              <w:ind w:firstLine="240"/>
            </w:pPr>
            <w:r>
              <w:rPr>
                <w:rFonts w:ascii="仿宋_GB2312" w:hAnsi="仿宋_GB2312" w:cs="仿宋_GB2312" w:eastAsia="仿宋_GB2312"/>
                <w:sz w:val="24"/>
              </w:rPr>
              <w:t>（</w:t>
            </w:r>
            <w:r>
              <w:rPr>
                <w:rFonts w:ascii="仿宋_GB2312" w:hAnsi="仿宋_GB2312" w:cs="仿宋_GB2312" w:eastAsia="仿宋_GB2312"/>
                <w:sz w:val="24"/>
              </w:rPr>
              <w:t>2）办理案件立案、分案、移送、退卷、送达等全流程辅助操作；</w:t>
            </w:r>
          </w:p>
          <w:p>
            <w:pPr>
              <w:pStyle w:val="null3"/>
              <w:ind w:firstLine="240"/>
            </w:pPr>
            <w:r>
              <w:rPr>
                <w:rFonts w:ascii="仿宋_GB2312" w:hAnsi="仿宋_GB2312" w:cs="仿宋_GB2312" w:eastAsia="仿宋_GB2312"/>
                <w:sz w:val="24"/>
              </w:rPr>
              <w:t>（</w:t>
            </w:r>
            <w:r>
              <w:rPr>
                <w:rFonts w:ascii="仿宋_GB2312" w:hAnsi="仿宋_GB2312" w:cs="仿宋_GB2312" w:eastAsia="仿宋_GB2312"/>
                <w:sz w:val="24"/>
              </w:rPr>
              <w:t>3）跟进案件流程节点，做好台账登记、信息核对、数据统计；</w:t>
            </w:r>
          </w:p>
          <w:p>
            <w:pPr>
              <w:pStyle w:val="null3"/>
              <w:ind w:firstLine="240"/>
            </w:pPr>
            <w:r>
              <w:rPr>
                <w:rFonts w:ascii="仿宋_GB2312" w:hAnsi="仿宋_GB2312" w:cs="仿宋_GB2312" w:eastAsia="仿宋_GB2312"/>
                <w:sz w:val="24"/>
              </w:rPr>
              <w:t>（</w:t>
            </w:r>
            <w:r>
              <w:rPr>
                <w:rFonts w:ascii="仿宋_GB2312" w:hAnsi="仿宋_GB2312" w:cs="仿宋_GB2312" w:eastAsia="仿宋_GB2312"/>
                <w:sz w:val="24"/>
              </w:rPr>
              <w:t>4）协助完成诉讼材料收发、整理、保管、移送，确保材料完整、流转及时 。</w:t>
            </w:r>
          </w:p>
          <w:p>
            <w:pPr>
              <w:pStyle w:val="null3"/>
              <w:ind w:firstLine="240"/>
            </w:pPr>
            <w:r>
              <w:rPr>
                <w:rFonts w:ascii="仿宋_GB2312" w:hAnsi="仿宋_GB2312" w:cs="仿宋_GB2312" w:eastAsia="仿宋_GB2312"/>
                <w:sz w:val="24"/>
              </w:rPr>
              <w:t>2、现场司法辅助工作</w:t>
            </w:r>
          </w:p>
          <w:p>
            <w:pPr>
              <w:pStyle w:val="null3"/>
              <w:ind w:firstLine="240"/>
            </w:pPr>
            <w:r>
              <w:rPr>
                <w:rFonts w:ascii="仿宋_GB2312" w:hAnsi="仿宋_GB2312" w:cs="仿宋_GB2312" w:eastAsia="仿宋_GB2312"/>
                <w:sz w:val="24"/>
              </w:rPr>
              <w:t>（</w:t>
            </w:r>
            <w:r>
              <w:rPr>
                <w:rFonts w:ascii="仿宋_GB2312" w:hAnsi="仿宋_GB2312" w:cs="仿宋_GB2312" w:eastAsia="仿宋_GB2312"/>
                <w:sz w:val="24"/>
              </w:rPr>
              <w:t>1）协助开展诉讼咨询、导诉接待、当事人引导、材料收取、窗口辅助等诉讼服务；</w:t>
            </w:r>
          </w:p>
          <w:p>
            <w:pPr>
              <w:pStyle w:val="null3"/>
              <w:ind w:firstLine="240"/>
            </w:pPr>
            <w:r>
              <w:rPr>
                <w:rFonts w:ascii="仿宋_GB2312" w:hAnsi="仿宋_GB2312" w:cs="仿宋_GB2312" w:eastAsia="仿宋_GB2312"/>
                <w:sz w:val="24"/>
              </w:rPr>
              <w:t>（</w:t>
            </w:r>
            <w:r>
              <w:rPr>
                <w:rFonts w:ascii="仿宋_GB2312" w:hAnsi="仿宋_GB2312" w:cs="仿宋_GB2312" w:eastAsia="仿宋_GB2312"/>
                <w:sz w:val="24"/>
              </w:rPr>
              <w:t>2）协助制作、校对、打印、送达各类法律文书、通知、告知书；</w:t>
            </w:r>
          </w:p>
          <w:p>
            <w:pPr>
              <w:pStyle w:val="null3"/>
              <w:ind w:firstLine="240"/>
            </w:pPr>
            <w:r>
              <w:rPr>
                <w:rFonts w:ascii="仿宋_GB2312" w:hAnsi="仿宋_GB2312" w:cs="仿宋_GB2312" w:eastAsia="仿宋_GB2312"/>
                <w:sz w:val="24"/>
              </w:rPr>
              <w:t>（</w:t>
            </w:r>
            <w:r>
              <w:rPr>
                <w:rFonts w:ascii="仿宋_GB2312" w:hAnsi="仿宋_GB2312" w:cs="仿宋_GB2312" w:eastAsia="仿宋_GB2312"/>
                <w:sz w:val="24"/>
              </w:rPr>
              <w:t>3）负责司法系统信息录入、数据维护、卷宗整理、电子卷宗扫描归档；</w:t>
            </w:r>
          </w:p>
          <w:p>
            <w:pPr>
              <w:pStyle w:val="null3"/>
            </w:pPr>
            <w:r>
              <w:rPr>
                <w:rFonts w:ascii="仿宋_GB2312" w:hAnsi="仿宋_GB2312" w:cs="仿宋_GB2312" w:eastAsia="仿宋_GB2312"/>
                <w:sz w:val="24"/>
                <w:color w:val="000000"/>
              </w:rPr>
              <w:t>（二）服务标准</w:t>
            </w:r>
          </w:p>
          <w:p>
            <w:pPr>
              <w:pStyle w:val="null3"/>
              <w:ind w:firstLine="240"/>
            </w:pPr>
            <w:r>
              <w:rPr>
                <w:rFonts w:ascii="仿宋_GB2312" w:hAnsi="仿宋_GB2312" w:cs="仿宋_GB2312" w:eastAsia="仿宋_GB2312"/>
                <w:sz w:val="24"/>
              </w:rPr>
              <w:t>1.案件进度精准查询。接待办理案件进度查询，其中包括现场查询和电话咨询两种形式，依托内部系统快速精准反馈案件审理阶段、承办法官等关键信息。</w:t>
            </w:r>
          </w:p>
          <w:p>
            <w:pPr>
              <w:pStyle w:val="null3"/>
              <w:ind w:firstLine="240"/>
            </w:pPr>
            <w:r>
              <w:rPr>
                <w:rFonts w:ascii="仿宋_GB2312" w:hAnsi="仿宋_GB2312" w:cs="仿宋_GB2312" w:eastAsia="仿宋_GB2312"/>
                <w:sz w:val="24"/>
              </w:rPr>
              <w:t>2.窗口接待暖心引导。接待各类咨询及事务问询，耐心细致解答立案流程、案件进展情况、承办法官信息等高频问题，全程做到有问必答、指引到位，维护窗口服务秩序规范有序。</w:t>
            </w:r>
          </w:p>
          <w:p>
            <w:pPr>
              <w:pStyle w:val="null3"/>
              <w:ind w:firstLine="240"/>
            </w:pPr>
            <w:r>
              <w:rPr>
                <w:rFonts w:ascii="仿宋_GB2312" w:hAnsi="仿宋_GB2312" w:cs="仿宋_GB2312" w:eastAsia="仿宋_GB2312"/>
                <w:sz w:val="24"/>
              </w:rPr>
              <w:t>3.案卷登记规范高效。严格按照规范要求收录案件信息，确保信息准确无误，并对案卷进行正确分类，按时交接给相应负责人，确保材料流转顺畅，杜绝漏转、延误问题。</w:t>
            </w:r>
          </w:p>
          <w:p>
            <w:pPr>
              <w:pStyle w:val="null3"/>
              <w:ind w:firstLine="240"/>
            </w:pPr>
            <w:r>
              <w:rPr>
                <w:rFonts w:ascii="仿宋_GB2312" w:hAnsi="仿宋_GB2312" w:cs="仿宋_GB2312" w:eastAsia="仿宋_GB2312"/>
                <w:sz w:val="24"/>
              </w:rPr>
              <w:t>4.协同配合完成内勤工作，包含日常行政保障、党建会务、物资管理、纪律考勤、活动配合等工作，严谨细致、高效落实各项事务，全力保障法庭日常运转有序、政令传达畅通。</w:t>
            </w:r>
          </w:p>
          <w:p>
            <w:pPr>
              <w:pStyle w:val="null3"/>
              <w:ind w:firstLine="240"/>
            </w:pPr>
            <w:r>
              <w:rPr>
                <w:rFonts w:ascii="仿宋_GB2312" w:hAnsi="仿宋_GB2312" w:cs="仿宋_GB2312" w:eastAsia="仿宋_GB2312"/>
                <w:sz w:val="24"/>
              </w:rPr>
              <w:t>5.庭审记录与事务工作。协助各类庭审(听证、调解、提讯等)工作，包括核对当事人身份信息、检查设备运行、熟悉案情要点、准备相关笔录模板等，确保庭审顺畅进行。准确、完整、清晰地记录庭审全过程等重点。及时整理、校对笔录，协助完成相关法律文书的初步草拟或核对工作。同时，细致做好庭审排期、传票送达、旁听人员引导等事务性工作，保障庭审活动规范有序。</w:t>
            </w:r>
          </w:p>
          <w:p>
            <w:pPr>
              <w:pStyle w:val="null3"/>
              <w:ind w:firstLine="240"/>
            </w:pPr>
            <w:r>
              <w:rPr>
                <w:rFonts w:ascii="仿宋_GB2312" w:hAnsi="仿宋_GB2312" w:cs="仿宋_GB2312" w:eastAsia="仿宋_GB2312"/>
                <w:sz w:val="24"/>
              </w:rPr>
              <w:t>6.案件文书处理与卷宗管理。严格遵守文书制作规范和流程，高质量完成各类法律文书的打印、校对、排版、用印、送达及上网公开等工作。</w:t>
            </w:r>
          </w:p>
          <w:p>
            <w:pPr>
              <w:pStyle w:val="null3"/>
              <w:ind w:firstLine="240"/>
            </w:pPr>
            <w:r>
              <w:rPr>
                <w:rFonts w:ascii="仿宋_GB2312" w:hAnsi="仿宋_GB2312" w:cs="仿宋_GB2312" w:eastAsia="仿宋_GB2312"/>
                <w:sz w:val="24"/>
              </w:rPr>
              <w:t>7.信息录入与数据维护。准确、及时地将案件信息、流程节点、文书内容等录入审判业务管理系统，确保系统数据与实际办案进度同步，为司法统计提供可靠依据。</w:t>
            </w:r>
          </w:p>
          <w:p>
            <w:pPr>
              <w:pStyle w:val="null3"/>
              <w:ind w:firstLine="240"/>
            </w:pPr>
            <w:r>
              <w:rPr>
                <w:rFonts w:ascii="仿宋_GB2312" w:hAnsi="仿宋_GB2312" w:cs="仿宋_GB2312" w:eastAsia="仿宋_GB2312"/>
                <w:sz w:val="24"/>
              </w:rPr>
              <w:t>8.内外沟通与协调配合。包含与承办法官、当事人、律师的沟通协调工作。耐心接听当事人来电咨询，依法告知相关权利义务和程序事项;协助做好当事人的接待与材料收转工作。</w:t>
            </w:r>
          </w:p>
          <w:p>
            <w:pPr>
              <w:pStyle w:val="null3"/>
              <w:ind w:firstLine="240"/>
            </w:pPr>
            <w:r>
              <w:rPr>
                <w:rFonts w:ascii="仿宋_GB2312" w:hAnsi="仿宋_GB2312" w:cs="仿宋_GB2312" w:eastAsia="仿宋_GB2312"/>
                <w:sz w:val="24"/>
              </w:rPr>
              <w:t>9.网上立案材料审核。针对审核未通过，向当事人说明情况并告知其需要补充提交的材料；审核通过，打印诉状，核算诉讼费，标明案由，管辖依据。对每日立案情况进行汇总，并针对网上提交立案待审核与在现场窗口立案的案件进行汇总整理，避免重复立案。</w:t>
            </w:r>
          </w:p>
          <w:p>
            <w:pPr>
              <w:pStyle w:val="null3"/>
              <w:ind w:firstLine="240"/>
            </w:pPr>
            <w:r>
              <w:rPr>
                <w:rFonts w:ascii="仿宋_GB2312" w:hAnsi="仿宋_GB2312" w:cs="仿宋_GB2312" w:eastAsia="仿宋_GB2312"/>
                <w:sz w:val="24"/>
              </w:rPr>
              <w:t>10.整理上网文书、上诉材料以及打印，记录庭审笔录，整理卷宗、结算核对以及打印诉讼费票据，书写卷皮、编辑页码。核对、文书归档、辅助工作等，接听诉讼服务服务电话，外出看现场，整理开庭材料等其他工作。</w:t>
            </w:r>
          </w:p>
          <w:p>
            <w:pPr>
              <w:pStyle w:val="null3"/>
              <w:ind w:firstLine="240"/>
            </w:pPr>
            <w:r>
              <w:rPr>
                <w:rFonts w:ascii="仿宋_GB2312" w:hAnsi="仿宋_GB2312" w:cs="仿宋_GB2312" w:eastAsia="仿宋_GB2312"/>
                <w:sz w:val="24"/>
              </w:rPr>
              <w:t>11.接听电话。接听当事人的咨询电话，解答当事人疑问。包括当事人提出保全、上诉、确认开庭时间、缴费等问题。</w:t>
            </w:r>
          </w:p>
          <w:p>
            <w:pPr>
              <w:pStyle w:val="null3"/>
              <w:ind w:firstLine="240"/>
            </w:pPr>
            <w:r>
              <w:rPr>
                <w:rFonts w:ascii="仿宋_GB2312" w:hAnsi="仿宋_GB2312" w:cs="仿宋_GB2312" w:eastAsia="仿宋_GB2312"/>
                <w:sz w:val="24"/>
              </w:rPr>
              <w:t>12.给当事人送达传票、排庭、办理公告。对新接收的案件进行案件排期并给当事人送达传票，确保案件如期进行。如当事人未送达，则需办理公告送达。</w:t>
            </w:r>
          </w:p>
          <w:p>
            <w:pPr>
              <w:pStyle w:val="null3"/>
              <w:ind w:firstLine="240"/>
            </w:pPr>
            <w:r>
              <w:rPr>
                <w:rFonts w:ascii="仿宋_GB2312" w:hAnsi="仿宋_GB2312" w:cs="仿宋_GB2312" w:eastAsia="仿宋_GB2312"/>
                <w:sz w:val="24"/>
              </w:rPr>
              <w:t>13.案件报结。结案文书送达至当事人。</w:t>
            </w:r>
          </w:p>
          <w:p>
            <w:pPr>
              <w:pStyle w:val="null3"/>
              <w:ind w:firstLine="240"/>
            </w:pPr>
            <w:r>
              <w:rPr>
                <w:rFonts w:ascii="仿宋_GB2312" w:hAnsi="仿宋_GB2312" w:cs="仿宋_GB2312" w:eastAsia="仿宋_GB2312"/>
                <w:sz w:val="24"/>
              </w:rPr>
              <w:t>14.文书制作。对庭审结束已经出结案文书的案件进行及时报结并将协助法官草拟一些简单的判决书，经法官指导修改后及时报结。</w:t>
            </w:r>
          </w:p>
          <w:p>
            <w:pPr>
              <w:pStyle w:val="null3"/>
              <w:ind w:firstLine="240"/>
              <w:jc w:val="both"/>
            </w:pPr>
            <w:r>
              <w:rPr>
                <w:rFonts w:ascii="仿宋_GB2312" w:hAnsi="仿宋_GB2312" w:cs="仿宋_GB2312" w:eastAsia="仿宋_GB2312"/>
                <w:sz w:val="24"/>
              </w:rPr>
              <w:t>15.配合审判及庭审工作。涉及机动车交通事故、买卖合同及民间借贷等多类型案件，确保笔录客观准确、程序规范。完成法律文书校对、打印、送达文书，同时积极协助开展庭前准备、联系当事人、流程管理等事务性工作，保障审判流程顺畅运行。</w:t>
            </w:r>
          </w:p>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服务驻场人员要求</w:t>
            </w:r>
          </w:p>
          <w:p>
            <w:pPr>
              <w:pStyle w:val="null3"/>
              <w:ind w:firstLine="240"/>
              <w:jc w:val="both"/>
            </w:pPr>
            <w:r>
              <w:rPr>
                <w:rFonts w:ascii="仿宋_GB2312" w:hAnsi="仿宋_GB2312" w:cs="仿宋_GB2312" w:eastAsia="仿宋_GB2312"/>
                <w:sz w:val="24"/>
              </w:rPr>
              <w:t>1、驻场人员数量</w:t>
            </w:r>
          </w:p>
          <w:p>
            <w:pPr>
              <w:pStyle w:val="null3"/>
              <w:ind w:firstLine="240"/>
              <w:jc w:val="both"/>
            </w:pPr>
            <w:r>
              <w:rPr>
                <w:rFonts w:ascii="仿宋_GB2312" w:hAnsi="仿宋_GB2312" w:cs="仿宋_GB2312" w:eastAsia="仿宋_GB2312"/>
                <w:sz w:val="24"/>
              </w:rPr>
              <w:t>供应商需提供</w:t>
            </w:r>
            <w:r>
              <w:rPr>
                <w:rFonts w:ascii="仿宋_GB2312" w:hAnsi="仿宋_GB2312" w:cs="仿宋_GB2312" w:eastAsia="仿宋_GB2312"/>
                <w:sz w:val="24"/>
              </w:rPr>
              <w:t>12名服务团队人员全程驻场提供服务，需满足采购人日常工作需求。</w:t>
            </w:r>
          </w:p>
          <w:p>
            <w:pPr>
              <w:pStyle w:val="null3"/>
              <w:ind w:firstLine="240"/>
              <w:jc w:val="both"/>
            </w:pPr>
            <w:r>
              <w:rPr>
                <w:rFonts w:ascii="仿宋_GB2312" w:hAnsi="仿宋_GB2312" w:cs="仿宋_GB2312" w:eastAsia="仿宋_GB2312"/>
                <w:sz w:val="24"/>
              </w:rPr>
              <w:t>2、人员要求</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1）驻场人员数量要求（共12人）：项目经理1人，项目团队其他成员11人；</w:t>
            </w:r>
          </w:p>
          <w:p>
            <w:pPr>
              <w:pStyle w:val="null3"/>
              <w:ind w:firstLine="240"/>
            </w:pPr>
            <w:r>
              <w:rPr>
                <w:rFonts w:ascii="仿宋_GB2312" w:hAnsi="仿宋_GB2312" w:cs="仿宋_GB2312" w:eastAsia="仿宋_GB2312"/>
                <w:sz w:val="24"/>
              </w:rPr>
              <w:t>（</w:t>
            </w:r>
            <w:r>
              <w:rPr>
                <w:rFonts w:ascii="仿宋_GB2312" w:hAnsi="仿宋_GB2312" w:cs="仿宋_GB2312" w:eastAsia="仿宋_GB2312"/>
                <w:sz w:val="24"/>
              </w:rPr>
              <w:t>2）人员能力要求：所配备人员需为法律、法学</w:t>
            </w:r>
            <w:r>
              <w:rPr>
                <w:rFonts w:ascii="仿宋_GB2312" w:hAnsi="仿宋_GB2312" w:cs="仿宋_GB2312" w:eastAsia="仿宋_GB2312"/>
                <w:sz w:val="24"/>
                <w:color w:val="000000"/>
              </w:rPr>
              <w:t>、信息化、档案等</w:t>
            </w:r>
            <w:r>
              <w:rPr>
                <w:rFonts w:ascii="仿宋_GB2312" w:hAnsi="仿宋_GB2312" w:cs="仿宋_GB2312" w:eastAsia="仿宋_GB2312"/>
                <w:sz w:val="24"/>
              </w:rPr>
              <w:t>相关专业或具备一定的工作经验，信息化岗位需要一定的信息化工作经验和文字表达能力，项目所有人员大专及以上学历。</w:t>
            </w:r>
          </w:p>
          <w:p>
            <w:pPr>
              <w:pStyle w:val="null3"/>
              <w:ind w:firstLine="240"/>
            </w:pPr>
            <w:r>
              <w:rPr>
                <w:rFonts w:ascii="仿宋_GB2312" w:hAnsi="仿宋_GB2312" w:cs="仿宋_GB2312" w:eastAsia="仿宋_GB2312"/>
                <w:sz w:val="24"/>
              </w:rPr>
              <w:t>（</w:t>
            </w:r>
            <w:r>
              <w:rPr>
                <w:rFonts w:ascii="仿宋_GB2312" w:hAnsi="仿宋_GB2312" w:cs="仿宋_GB2312" w:eastAsia="仿宋_GB2312"/>
                <w:sz w:val="24"/>
              </w:rPr>
              <w:t>3）年龄要求：20-40周岁，身体健康，无传染性疾病、精神类疾病，无纹身，无违法犯罪记录；</w:t>
            </w:r>
          </w:p>
          <w:p>
            <w:pPr>
              <w:pStyle w:val="null3"/>
              <w:ind w:firstLine="240"/>
            </w:pPr>
            <w:r>
              <w:rPr>
                <w:rFonts w:ascii="仿宋_GB2312" w:hAnsi="仿宋_GB2312" w:cs="仿宋_GB2312" w:eastAsia="仿宋_GB2312"/>
                <w:sz w:val="24"/>
              </w:rPr>
              <w:t>（</w:t>
            </w:r>
            <w:r>
              <w:rPr>
                <w:rFonts w:ascii="仿宋_GB2312" w:hAnsi="仿宋_GB2312" w:cs="仿宋_GB2312" w:eastAsia="仿宋_GB2312"/>
                <w:sz w:val="24"/>
              </w:rPr>
              <w:t>4）文字能力要求：熟悉基础诉讼业务流程、法律常识；熟练操作计算机及办公软件（Word、Excel、法院业务系统），文字录入速度不低于60字/分钟；具备良好的沟通协调、耐心服务、应急处置能力；</w:t>
            </w:r>
          </w:p>
          <w:p>
            <w:pPr>
              <w:pStyle w:val="null3"/>
              <w:ind w:firstLine="240"/>
            </w:pPr>
            <w:r>
              <w:rPr>
                <w:rFonts w:ascii="仿宋_GB2312" w:hAnsi="仿宋_GB2312" w:cs="仿宋_GB2312" w:eastAsia="仿宋_GB2312"/>
                <w:sz w:val="24"/>
              </w:rPr>
              <w:t>（</w:t>
            </w:r>
            <w:r>
              <w:rPr>
                <w:rFonts w:ascii="仿宋_GB2312" w:hAnsi="仿宋_GB2312" w:cs="仿宋_GB2312" w:eastAsia="仿宋_GB2312"/>
                <w:sz w:val="24"/>
              </w:rPr>
              <w:t>5）品行要求：政治立场坚定，品行端正，责任心强，服从采购人日常管理、岗位调度及工作安排，严格遵守院内规章制度、保密纪律；</w:t>
            </w:r>
          </w:p>
          <w:p>
            <w:pPr>
              <w:pStyle w:val="null3"/>
              <w:ind w:firstLine="240"/>
            </w:pPr>
            <w:r>
              <w:rPr>
                <w:rFonts w:ascii="仿宋_GB2312" w:hAnsi="仿宋_GB2312" w:cs="仿宋_GB2312" w:eastAsia="仿宋_GB2312"/>
                <w:sz w:val="24"/>
              </w:rPr>
              <w:t>（</w:t>
            </w:r>
            <w:r>
              <w:rPr>
                <w:rFonts w:ascii="仿宋_GB2312" w:hAnsi="仿宋_GB2312" w:cs="仿宋_GB2312" w:eastAsia="仿宋_GB2312"/>
                <w:sz w:val="24"/>
              </w:rPr>
              <w:t>6）其他要求：入职前需通过采购人面试、背景审查、岗前培训；入职后签订保密承诺书；人员试用期1个月，试用期不合格采购人有权要求供应商无条件免费更换人员；服务期内人员离职、离岗的，供应商需在3个工作日内补齐符合要求的人员，不得影响工作开展。</w:t>
            </w:r>
          </w:p>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供应商人员管理责任</w:t>
            </w:r>
          </w:p>
          <w:p>
            <w:pPr>
              <w:pStyle w:val="null3"/>
              <w:ind w:firstLine="480"/>
              <w:jc w:val="left"/>
            </w:pPr>
            <w:r>
              <w:rPr>
                <w:rFonts w:ascii="仿宋_GB2312" w:hAnsi="仿宋_GB2312" w:cs="仿宋_GB2312" w:eastAsia="仿宋_GB2312"/>
                <w:sz w:val="24"/>
                <w:color w:val="000000"/>
              </w:rPr>
              <w:t>1、负责驻场人员的招聘、录用、劳动合同签订、工资发放、社保缴纳、工伤处理、绩效考核、纪律约束、岗位培训、人事档案管理等全部人事事宜；</w:t>
            </w:r>
          </w:p>
          <w:p>
            <w:pPr>
              <w:pStyle w:val="null3"/>
              <w:ind w:firstLine="480"/>
            </w:pPr>
            <w:r>
              <w:rPr>
                <w:rFonts w:ascii="仿宋_GB2312" w:hAnsi="仿宋_GB2312" w:cs="仿宋_GB2312" w:eastAsia="仿宋_GB2312"/>
                <w:sz w:val="24"/>
                <w:color w:val="000000"/>
              </w:rPr>
              <w:t>2、承担驻场人员全部用工风险、劳动纠纷、工伤赔偿、社保补缴等全部法律及经济责任；</w:t>
            </w:r>
          </w:p>
          <w:p>
            <w:pPr>
              <w:pStyle w:val="null3"/>
              <w:ind w:firstLine="480"/>
            </w:pPr>
            <w:r>
              <w:rPr>
                <w:rFonts w:ascii="仿宋_GB2312" w:hAnsi="仿宋_GB2312" w:cs="仿宋_GB2312" w:eastAsia="仿宋_GB2312"/>
                <w:sz w:val="24"/>
                <w:color w:val="000000"/>
              </w:rPr>
              <w:t>3、供应商</w:t>
            </w:r>
            <w:r>
              <w:rPr>
                <w:rFonts w:ascii="仿宋_GB2312" w:hAnsi="仿宋_GB2312" w:cs="仿宋_GB2312" w:eastAsia="仿宋_GB2312"/>
                <w:sz w:val="24"/>
              </w:rPr>
              <w:t>应按照《劳动法》、《劳动合同法》等法律法规规定，及时与</w:t>
            </w:r>
            <w:r>
              <w:rPr>
                <w:rFonts w:ascii="仿宋_GB2312" w:hAnsi="仿宋_GB2312" w:cs="仿宋_GB2312" w:eastAsia="仿宋_GB2312"/>
                <w:sz w:val="24"/>
              </w:rPr>
              <w:t>驻场</w:t>
            </w:r>
            <w:r>
              <w:rPr>
                <w:rFonts w:ascii="仿宋_GB2312" w:hAnsi="仿宋_GB2312" w:cs="仿宋_GB2312" w:eastAsia="仿宋_GB2312"/>
                <w:sz w:val="24"/>
              </w:rPr>
              <w:t>人员签订劳动合同，按时足额发放工资，办理缴纳社会保险等。</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人员服装</w:t>
            </w:r>
            <w:r>
              <w:rPr>
                <w:rFonts w:ascii="仿宋_GB2312" w:hAnsi="仿宋_GB2312" w:cs="仿宋_GB2312" w:eastAsia="仿宋_GB2312"/>
                <w:sz w:val="24"/>
              </w:rPr>
              <w:t>：</w:t>
            </w:r>
            <w:r>
              <w:rPr>
                <w:rFonts w:ascii="仿宋_GB2312" w:hAnsi="仿宋_GB2312" w:cs="仿宋_GB2312" w:eastAsia="仿宋_GB2312"/>
                <w:sz w:val="24"/>
              </w:rPr>
              <w:t>夏装一套、春秋装一套，服装总费用人均不低于</w:t>
            </w:r>
            <w:r>
              <w:rPr>
                <w:rFonts w:ascii="仿宋_GB2312" w:hAnsi="仿宋_GB2312" w:cs="仿宋_GB2312" w:eastAsia="仿宋_GB2312"/>
                <w:sz w:val="24"/>
              </w:rPr>
              <w:t>1200</w:t>
            </w:r>
            <w:r>
              <w:rPr>
                <w:rFonts w:ascii="仿宋_GB2312" w:hAnsi="仿宋_GB2312" w:cs="仿宋_GB2312" w:eastAsia="仿宋_GB2312"/>
                <w:sz w:val="24"/>
                <w:color w:val="000000"/>
              </w:rPr>
              <w:t>元（费用由供应商自行承担）。</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备品耗材</w:t>
            </w:r>
            <w:r>
              <w:rPr>
                <w:rFonts w:ascii="仿宋_GB2312" w:hAnsi="仿宋_GB2312" w:cs="仿宋_GB2312" w:eastAsia="仿宋_GB2312"/>
                <w:sz w:val="24"/>
              </w:rPr>
              <w:t>：</w:t>
            </w:r>
            <w:r>
              <w:rPr>
                <w:rFonts w:ascii="仿宋_GB2312" w:hAnsi="仿宋_GB2312" w:cs="仿宋_GB2312" w:eastAsia="仿宋_GB2312"/>
                <w:sz w:val="24"/>
              </w:rPr>
              <w:t>服务工作中产生的办公消耗品，除打印机和出具给当事人的材料外，其余办公用品和耗材由中标服务供应商自行提供。</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管理要求</w:t>
            </w:r>
          </w:p>
          <w:p>
            <w:pPr>
              <w:pStyle w:val="null3"/>
              <w:ind w:firstLine="480"/>
              <w:jc w:val="both"/>
            </w:pPr>
            <w:r>
              <w:rPr>
                <w:rFonts w:ascii="仿宋_GB2312" w:hAnsi="仿宋_GB2312" w:cs="仿宋_GB2312" w:eastAsia="仿宋_GB2312"/>
                <w:sz w:val="24"/>
              </w:rPr>
              <w:t>供应商应负责管理所有服务人员，按时足额向服务人员发放薪资报酬等，处理服务期内劳动过程中产生的劳动争议、人身安全等所有纠纷，因服务人员的劳动争议等纠纷产生的赔偿费用及后果，由供应商自行承担，与采购人无关。</w:t>
            </w:r>
          </w:p>
          <w:p>
            <w:pPr>
              <w:pStyle w:val="null3"/>
              <w:ind w:firstLine="480"/>
              <w:jc w:val="both"/>
            </w:pPr>
            <w:r>
              <w:rPr>
                <w:rFonts w:ascii="仿宋_GB2312" w:hAnsi="仿宋_GB2312" w:cs="仿宋_GB2312" w:eastAsia="仿宋_GB2312"/>
                <w:sz w:val="24"/>
              </w:rPr>
              <w:t>为确保服务人员能够完成采购人约定的各项工作任务，服务供应商应加强对服务人员的业务管理，听取采购人对人员绩效等意见。</w:t>
            </w:r>
          </w:p>
          <w:p>
            <w:pPr>
              <w:pStyle w:val="null3"/>
              <w:ind w:firstLine="480"/>
              <w:jc w:val="both"/>
            </w:pPr>
            <w:r>
              <w:rPr>
                <w:rFonts w:ascii="仿宋_GB2312" w:hAnsi="仿宋_GB2312" w:cs="仿宋_GB2312" w:eastAsia="仿宋_GB2312"/>
                <w:sz w:val="24"/>
              </w:rPr>
              <w:t>服务人员应按照规定规范着装、规范用语，遵守采购人的工作秩序，工作时间按照采购单位规定的工时制，工作日正常上下班，法定节假日及重要节假日期间需要安排值班的，由供应商按照值班人员名单及值班天数</w:t>
            </w:r>
            <w:r>
              <w:rPr>
                <w:rFonts w:ascii="仿宋_GB2312" w:hAnsi="仿宋_GB2312" w:cs="仿宋_GB2312" w:eastAsia="仿宋_GB2312"/>
                <w:sz w:val="24"/>
              </w:rPr>
              <w:t>,给值班人员发放加班费和误餐补贴。</w:t>
            </w:r>
          </w:p>
          <w:p>
            <w:pPr>
              <w:pStyle w:val="null3"/>
              <w:ind w:firstLine="480"/>
              <w:jc w:val="both"/>
            </w:pPr>
            <w:r>
              <w:rPr>
                <w:rFonts w:ascii="仿宋_GB2312" w:hAnsi="仿宋_GB2312" w:cs="仿宋_GB2312" w:eastAsia="仿宋_GB2312"/>
                <w:sz w:val="24"/>
              </w:rPr>
              <w:t>供应商服务过程中须接受采购单位监督及考核，若服务过程中因人员自身问题考核不合格，采购人有权要求更换服务人员，若因供应商管理问题，采购单位有权进行处罚并要求供应商进行整改，若整改后无法满足采购单位服务要求，采购单位有权更换服务单位。</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保密要求</w:t>
            </w:r>
          </w:p>
          <w:p>
            <w:pPr>
              <w:pStyle w:val="null3"/>
              <w:ind w:firstLine="480"/>
              <w:jc w:val="both"/>
            </w:pPr>
            <w:r>
              <w:rPr>
                <w:rFonts w:ascii="仿宋_GB2312" w:hAnsi="仿宋_GB2312" w:cs="仿宋_GB2312" w:eastAsia="仿宋_GB2312"/>
                <w:sz w:val="24"/>
              </w:rPr>
              <w:t>供应商服务前应组织服务人员进行保密教育，服务人员应遵守采购单位的保密规定，对于工作中知悉、接触到的案件信息和相关材料，不得私自复制、留存、转发，不得擅自拍摄、记录、摘抄相关资料，不得私自接触、获取工作范围外的信息，不透露、不议论评价当事人或公众来电</w:t>
            </w:r>
            <w:r>
              <w:rPr>
                <w:rFonts w:ascii="仿宋_GB2312" w:hAnsi="仿宋_GB2312" w:cs="仿宋_GB2312" w:eastAsia="仿宋_GB2312"/>
                <w:sz w:val="24"/>
              </w:rPr>
              <w:t>信息</w:t>
            </w:r>
            <w:r>
              <w:rPr>
                <w:rFonts w:ascii="仿宋_GB2312" w:hAnsi="仿宋_GB2312" w:cs="仿宋_GB2312" w:eastAsia="仿宋_GB2312"/>
                <w:sz w:val="24"/>
              </w:rPr>
              <w:t>，不得随意泄露办案人员的个人基本信息，不得从事与工作无关的其他活动。</w:t>
            </w:r>
          </w:p>
          <w:p>
            <w:pPr>
              <w:pStyle w:val="null3"/>
              <w:jc w:val="left"/>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付款方式</w:t>
            </w:r>
            <w:r>
              <w:rPr>
                <w:rFonts w:ascii="仿宋_GB2312" w:hAnsi="仿宋_GB2312" w:cs="仿宋_GB2312" w:eastAsia="仿宋_GB2312"/>
                <w:sz w:val="24"/>
                <w:b/>
                <w:color w:val="000000"/>
              </w:rPr>
              <w:t>及考核要求</w:t>
            </w:r>
          </w:p>
          <w:p>
            <w:pPr>
              <w:pStyle w:val="null3"/>
              <w:ind w:firstLine="480"/>
              <w:jc w:val="both"/>
            </w:pPr>
            <w:r>
              <w:rPr>
                <w:rFonts w:ascii="仿宋_GB2312" w:hAnsi="仿宋_GB2312" w:cs="仿宋_GB2312" w:eastAsia="仿宋_GB2312"/>
                <w:sz w:val="24"/>
              </w:rPr>
              <w:t>按照考核标准评估得分</w:t>
            </w:r>
            <w:r>
              <w:rPr>
                <w:rFonts w:ascii="仿宋_GB2312" w:hAnsi="仿宋_GB2312" w:cs="仿宋_GB2312" w:eastAsia="仿宋_GB2312"/>
                <w:sz w:val="24"/>
              </w:rPr>
              <w:t>（</w:t>
            </w:r>
            <w:r>
              <w:rPr>
                <w:rFonts w:ascii="仿宋_GB2312" w:hAnsi="仿宋_GB2312" w:cs="仿宋_GB2312" w:eastAsia="仿宋_GB2312"/>
                <w:sz w:val="24"/>
              </w:rPr>
              <w:t>本项目共考核</w:t>
            </w:r>
            <w:r>
              <w:rPr>
                <w:rFonts w:ascii="仿宋_GB2312" w:hAnsi="仿宋_GB2312" w:cs="仿宋_GB2312" w:eastAsia="仿宋_GB2312"/>
                <w:sz w:val="24"/>
              </w:rPr>
              <w:t>2次，合同签订后服务1个月后进行首次考核，11月进行年末考核</w:t>
            </w:r>
            <w:r>
              <w:rPr>
                <w:rFonts w:ascii="仿宋_GB2312" w:hAnsi="仿宋_GB2312" w:cs="仿宋_GB2312" w:eastAsia="仿宋_GB2312"/>
                <w:sz w:val="24"/>
              </w:rPr>
              <w:t>）</w:t>
            </w:r>
            <w:r>
              <w:rPr>
                <w:rFonts w:ascii="仿宋_GB2312" w:hAnsi="仿宋_GB2312" w:cs="仿宋_GB2312" w:eastAsia="仿宋_GB2312"/>
                <w:sz w:val="24"/>
              </w:rPr>
              <w:t>，根据得分情况确定实际支付比例</w:t>
            </w:r>
            <w:r>
              <w:rPr>
                <w:rFonts w:ascii="仿宋_GB2312" w:hAnsi="仿宋_GB2312" w:cs="仿宋_GB2312" w:eastAsia="仿宋_GB2312"/>
                <w:sz w:val="24"/>
              </w:rPr>
              <w:t>（</w:t>
            </w:r>
            <w:r>
              <w:rPr>
                <w:rFonts w:ascii="仿宋_GB2312" w:hAnsi="仿宋_GB2312" w:cs="仿宋_GB2312" w:eastAsia="仿宋_GB2312"/>
                <w:sz w:val="24"/>
              </w:rPr>
              <w:t>首次考核如有出现扣除比例，与最终考核扣除比例一起叠加后进行支付</w:t>
            </w:r>
            <w:r>
              <w:rPr>
                <w:rFonts w:ascii="仿宋_GB2312" w:hAnsi="仿宋_GB2312" w:cs="仿宋_GB2312" w:eastAsia="仿宋_GB2312"/>
                <w:sz w:val="24"/>
              </w:rPr>
              <w:t>）</w:t>
            </w:r>
            <w:r>
              <w:rPr>
                <w:rFonts w:ascii="仿宋_GB2312" w:hAnsi="仿宋_GB2312" w:cs="仿宋_GB2312" w:eastAsia="仿宋_GB2312"/>
                <w:sz w:val="24"/>
              </w:rPr>
              <w:t>。付款前供应商应向采购人提供等额发票，采购人在收到发票后</w:t>
            </w:r>
            <w:r>
              <w:rPr>
                <w:rFonts w:ascii="仿宋_GB2312" w:hAnsi="仿宋_GB2312" w:cs="仿宋_GB2312" w:eastAsia="仿宋_GB2312"/>
                <w:sz w:val="24"/>
              </w:rPr>
              <w:t>10个工作日内完成付款。</w:t>
            </w:r>
          </w:p>
          <w:p>
            <w:pPr>
              <w:pStyle w:val="null3"/>
              <w:ind w:firstLine="480"/>
              <w:jc w:val="both"/>
            </w:pPr>
            <w:r>
              <w:rPr>
                <w:rFonts w:ascii="仿宋_GB2312" w:hAnsi="仿宋_GB2312" w:cs="仿宋_GB2312" w:eastAsia="仿宋_GB2312"/>
                <w:sz w:val="24"/>
              </w:rPr>
              <w:t>(1)得分大于等于95分，支付100%当</w:t>
            </w:r>
            <w:r>
              <w:rPr>
                <w:rFonts w:ascii="仿宋_GB2312" w:hAnsi="仿宋_GB2312" w:cs="仿宋_GB2312" w:eastAsia="仿宋_GB2312"/>
                <w:sz w:val="24"/>
              </w:rPr>
              <w:t>次</w:t>
            </w:r>
            <w:r>
              <w:rPr>
                <w:rFonts w:ascii="仿宋_GB2312" w:hAnsi="仿宋_GB2312" w:cs="仿宋_GB2312" w:eastAsia="仿宋_GB2312"/>
                <w:sz w:val="24"/>
              </w:rPr>
              <w:t>应付金额</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(2)得分在90分至95分之间的，扣当</w:t>
            </w:r>
            <w:r>
              <w:rPr>
                <w:rFonts w:ascii="仿宋_GB2312" w:hAnsi="仿宋_GB2312" w:cs="仿宋_GB2312" w:eastAsia="仿宋_GB2312"/>
                <w:sz w:val="24"/>
              </w:rPr>
              <w:t>次</w:t>
            </w:r>
            <w:r>
              <w:rPr>
                <w:rFonts w:ascii="仿宋_GB2312" w:hAnsi="仿宋_GB2312" w:cs="仿宋_GB2312" w:eastAsia="仿宋_GB2312"/>
                <w:sz w:val="24"/>
              </w:rPr>
              <w:t>应付金额</w:t>
            </w:r>
            <w:r>
              <w:rPr>
                <w:rFonts w:ascii="仿宋_GB2312" w:hAnsi="仿宋_GB2312" w:cs="仿宋_GB2312" w:eastAsia="仿宋_GB2312"/>
                <w:sz w:val="24"/>
              </w:rPr>
              <w:t>3%;</w:t>
            </w:r>
          </w:p>
          <w:p>
            <w:pPr>
              <w:pStyle w:val="null3"/>
              <w:ind w:firstLine="480"/>
              <w:jc w:val="both"/>
            </w:pPr>
            <w:r>
              <w:rPr>
                <w:rFonts w:ascii="仿宋_GB2312" w:hAnsi="仿宋_GB2312" w:cs="仿宋_GB2312" w:eastAsia="仿宋_GB2312"/>
                <w:sz w:val="24"/>
              </w:rPr>
              <w:t>(3)得分在85分至90分之间的，扣当</w:t>
            </w:r>
            <w:r>
              <w:rPr>
                <w:rFonts w:ascii="仿宋_GB2312" w:hAnsi="仿宋_GB2312" w:cs="仿宋_GB2312" w:eastAsia="仿宋_GB2312"/>
                <w:sz w:val="24"/>
              </w:rPr>
              <w:t>次</w:t>
            </w:r>
            <w:r>
              <w:rPr>
                <w:rFonts w:ascii="仿宋_GB2312" w:hAnsi="仿宋_GB2312" w:cs="仿宋_GB2312" w:eastAsia="仿宋_GB2312"/>
                <w:sz w:val="24"/>
              </w:rPr>
              <w:t>应付金额</w:t>
            </w:r>
            <w:r>
              <w:rPr>
                <w:rFonts w:ascii="仿宋_GB2312" w:hAnsi="仿宋_GB2312" w:cs="仿宋_GB2312" w:eastAsia="仿宋_GB2312"/>
                <w:sz w:val="24"/>
              </w:rPr>
              <w:t>6%;</w:t>
            </w:r>
          </w:p>
          <w:p>
            <w:pPr>
              <w:pStyle w:val="null3"/>
              <w:ind w:firstLine="480"/>
              <w:jc w:val="both"/>
            </w:pPr>
            <w:r>
              <w:rPr>
                <w:rFonts w:ascii="仿宋_GB2312" w:hAnsi="仿宋_GB2312" w:cs="仿宋_GB2312" w:eastAsia="仿宋_GB2312"/>
                <w:sz w:val="24"/>
              </w:rPr>
              <w:t>(4)得分在80分至85分之间的，扣当</w:t>
            </w:r>
            <w:r>
              <w:rPr>
                <w:rFonts w:ascii="仿宋_GB2312" w:hAnsi="仿宋_GB2312" w:cs="仿宋_GB2312" w:eastAsia="仿宋_GB2312"/>
                <w:sz w:val="24"/>
              </w:rPr>
              <w:t>次</w:t>
            </w:r>
            <w:r>
              <w:rPr>
                <w:rFonts w:ascii="仿宋_GB2312" w:hAnsi="仿宋_GB2312" w:cs="仿宋_GB2312" w:eastAsia="仿宋_GB2312"/>
                <w:sz w:val="24"/>
              </w:rPr>
              <w:t>应付金额</w:t>
            </w:r>
            <w:r>
              <w:rPr>
                <w:rFonts w:ascii="仿宋_GB2312" w:hAnsi="仿宋_GB2312" w:cs="仿宋_GB2312" w:eastAsia="仿宋_GB2312"/>
                <w:sz w:val="24"/>
              </w:rPr>
              <w:t>9%;</w:t>
            </w:r>
          </w:p>
          <w:p>
            <w:pPr>
              <w:pStyle w:val="null3"/>
              <w:ind w:firstLine="480"/>
              <w:jc w:val="both"/>
            </w:pPr>
            <w:r>
              <w:rPr>
                <w:rFonts w:ascii="仿宋_GB2312" w:hAnsi="仿宋_GB2312" w:cs="仿宋_GB2312" w:eastAsia="仿宋_GB2312"/>
                <w:sz w:val="24"/>
              </w:rPr>
              <w:t>(5)得分在70分至80分之间的，扣当</w:t>
            </w:r>
            <w:r>
              <w:rPr>
                <w:rFonts w:ascii="仿宋_GB2312" w:hAnsi="仿宋_GB2312" w:cs="仿宋_GB2312" w:eastAsia="仿宋_GB2312"/>
                <w:sz w:val="24"/>
              </w:rPr>
              <w:t>次</w:t>
            </w:r>
            <w:r>
              <w:rPr>
                <w:rFonts w:ascii="仿宋_GB2312" w:hAnsi="仿宋_GB2312" w:cs="仿宋_GB2312" w:eastAsia="仿宋_GB2312"/>
                <w:sz w:val="24"/>
              </w:rPr>
              <w:t>应付金额</w:t>
            </w:r>
            <w:r>
              <w:rPr>
                <w:rFonts w:ascii="仿宋_GB2312" w:hAnsi="仿宋_GB2312" w:cs="仿宋_GB2312" w:eastAsia="仿宋_GB2312"/>
                <w:sz w:val="24"/>
              </w:rPr>
              <w:t>15%;</w:t>
            </w:r>
          </w:p>
          <w:p>
            <w:pPr>
              <w:pStyle w:val="null3"/>
              <w:ind w:firstLine="480"/>
              <w:jc w:val="both"/>
            </w:pPr>
            <w:r>
              <w:rPr>
                <w:rFonts w:ascii="仿宋_GB2312" w:hAnsi="仿宋_GB2312" w:cs="仿宋_GB2312" w:eastAsia="仿宋_GB2312"/>
                <w:sz w:val="24"/>
              </w:rPr>
              <w:t>(6)得分低于70分，扣当</w:t>
            </w:r>
            <w:r>
              <w:rPr>
                <w:rFonts w:ascii="仿宋_GB2312" w:hAnsi="仿宋_GB2312" w:cs="仿宋_GB2312" w:eastAsia="仿宋_GB2312"/>
                <w:sz w:val="24"/>
              </w:rPr>
              <w:t>次</w:t>
            </w:r>
            <w:r>
              <w:rPr>
                <w:rFonts w:ascii="仿宋_GB2312" w:hAnsi="仿宋_GB2312" w:cs="仿宋_GB2312" w:eastAsia="仿宋_GB2312"/>
                <w:sz w:val="24"/>
              </w:rPr>
              <w:t>应付金额</w:t>
            </w:r>
            <w:r>
              <w:rPr>
                <w:rFonts w:ascii="仿宋_GB2312" w:hAnsi="仿宋_GB2312" w:cs="仿宋_GB2312" w:eastAsia="仿宋_GB2312"/>
                <w:sz w:val="24"/>
              </w:rPr>
              <w:t>25%。</w:t>
            </w:r>
          </w:p>
          <w:p>
            <w:pPr>
              <w:pStyle w:val="null3"/>
              <w:ind w:firstLine="482"/>
              <w:jc w:val="both"/>
            </w:pPr>
            <w:r>
              <w:rPr>
                <w:rFonts w:ascii="仿宋_GB2312" w:hAnsi="仿宋_GB2312" w:cs="仿宋_GB2312" w:eastAsia="仿宋_GB2312"/>
                <w:sz w:val="24"/>
                <w:b/>
              </w:rPr>
              <w:t>附件</w:t>
            </w:r>
            <w:r>
              <w:rPr>
                <w:rFonts w:ascii="仿宋_GB2312" w:hAnsi="仿宋_GB2312" w:cs="仿宋_GB2312" w:eastAsia="仿宋_GB2312"/>
                <w:sz w:val="24"/>
                <w:b/>
              </w:rPr>
              <w:t>:服务考核</w:t>
            </w:r>
          </w:p>
          <w:tbl>
            <w:tblPr>
              <w:tblInd w:type="dxa" w:w="120"/>
              <w:tblBorders>
                <w:top w:val="none" w:color="000000" w:sz="4"/>
                <w:left w:val="none" w:color="000000" w:sz="4"/>
                <w:bottom w:val="none" w:color="000000" w:sz="4"/>
                <w:right w:val="none" w:color="000000" w:sz="4"/>
                <w:insideH w:val="none"/>
                <w:insideV w:val="none"/>
              </w:tblBorders>
            </w:tblPr>
            <w:tblGrid>
              <w:gridCol w:w="119"/>
              <w:gridCol w:w="172"/>
              <w:gridCol w:w="904"/>
              <w:gridCol w:w="203"/>
              <w:gridCol w:w="492"/>
              <w:gridCol w:w="267"/>
              <w:gridCol w:w="129"/>
              <w:gridCol w:w="267"/>
            </w:tblGrid>
            <w:tr>
              <w:tc>
                <w:tcPr>
                  <w:tcW w:type="dxa" w:w="2553"/>
                  <w:gridSpan w:val="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80"/>
                    <w:jc w:val="right"/>
                  </w:pPr>
                  <w:r>
                    <w:rPr>
                      <w:rFonts w:ascii="仿宋_GB2312" w:hAnsi="仿宋_GB2312" w:cs="仿宋_GB2312" w:eastAsia="仿宋_GB2312"/>
                      <w:sz w:val="24"/>
                    </w:rPr>
                    <w:t>考核年月：</w:t>
                  </w:r>
                  <w:r>
                    <w:rPr>
                      <w:rFonts w:ascii="仿宋_GB2312" w:hAnsi="仿宋_GB2312" w:cs="仿宋_GB2312" w:eastAsia="仿宋_GB2312"/>
                      <w:sz w:val="24"/>
                    </w:rPr>
                    <w:t xml:space="preserve">   </w:t>
                  </w:r>
                  <w:r>
                    <w:rPr>
                      <w:rFonts w:ascii="仿宋_GB2312" w:hAnsi="仿宋_GB2312" w:cs="仿宋_GB2312" w:eastAsia="仿宋_GB2312"/>
                      <w:sz w:val="24"/>
                    </w:rPr>
                    <w:t>年</w:t>
                  </w:r>
                  <w:r>
                    <w:rPr>
                      <w:rFonts w:ascii="仿宋_GB2312" w:hAnsi="仿宋_GB2312" w:cs="仿宋_GB2312" w:eastAsia="仿宋_GB2312"/>
                      <w:sz w:val="24"/>
                    </w:rPr>
                    <w:t xml:space="preserve">   </w:t>
                  </w:r>
                  <w:r>
                    <w:rPr>
                      <w:rFonts w:ascii="仿宋_GB2312" w:hAnsi="仿宋_GB2312" w:cs="仿宋_GB2312" w:eastAsia="仿宋_GB2312"/>
                      <w:sz w:val="24"/>
                    </w:rPr>
                    <w:t>月</w:t>
                  </w:r>
                </w:p>
              </w:tc>
            </w:tr>
            <w:tr>
              <w:tc>
                <w:tcPr>
                  <w:tcW w:type="dxa" w:w="2553"/>
                  <w:gridSpan w:val="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482"/>
                    <w:jc w:val="center"/>
                  </w:pPr>
                  <w:r>
                    <w:rPr>
                      <w:rFonts w:ascii="仿宋_GB2312" w:hAnsi="仿宋_GB2312" w:cs="仿宋_GB2312" w:eastAsia="仿宋_GB2312"/>
                      <w:sz w:val="24"/>
                      <w:b/>
                    </w:rPr>
                    <w:t>指标考核</w:t>
                  </w:r>
                </w:p>
              </w:tc>
            </w:tr>
            <w:tr>
              <w:tc>
                <w:tcPr>
                  <w:tcW w:type="dxa" w:w="119"/>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序号</w:t>
                  </w:r>
                </w:p>
              </w:tc>
              <w:tc>
                <w:tcPr>
                  <w:tcW w:type="dxa" w:w="17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考核指表名称</w:t>
                  </w:r>
                </w:p>
              </w:tc>
              <w:tc>
                <w:tcPr>
                  <w:tcW w:type="dxa" w:w="904"/>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指标定义及评分标准</w:t>
                  </w:r>
                </w:p>
              </w:tc>
              <w:tc>
                <w:tcPr>
                  <w:tcW w:type="dxa" w:w="203"/>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满分值</w:t>
                  </w:r>
                </w:p>
              </w:tc>
              <w:tc>
                <w:tcPr>
                  <w:tcW w:type="dxa" w:w="49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计分标准</w:t>
                  </w:r>
                </w:p>
              </w:tc>
              <w:tc>
                <w:tcPr>
                  <w:tcW w:type="dxa" w:w="267"/>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考核依据</w:t>
                  </w:r>
                </w:p>
              </w:tc>
              <w:tc>
                <w:tcPr>
                  <w:tcW w:type="dxa" w:w="129"/>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考核得分</w:t>
                  </w:r>
                </w:p>
              </w:tc>
              <w:tc>
                <w:tcPr>
                  <w:tcW w:type="dxa" w:w="267"/>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备注</w:t>
                  </w:r>
                </w:p>
              </w:tc>
            </w:tr>
            <w:tr>
              <w:tc>
                <w:tcPr>
                  <w:tcW w:type="dxa" w:w="119"/>
                  <w:vMerge/>
                  <w:tcBorders>
                    <w:top w:val="none" w:color="000000" w:sz="4"/>
                    <w:left w:val="single" w:color="000000" w:sz="4"/>
                    <w:bottom w:val="single" w:color="000000" w:sz="4"/>
                    <w:right w:val="single" w:color="000000" w:sz="4"/>
                  </w:tcBorders>
                </w:tcPr>
                <w:p/>
              </w:tc>
              <w:tc>
                <w:tcPr>
                  <w:tcW w:type="dxa" w:w="172"/>
                  <w:vMerge/>
                  <w:tcBorders>
                    <w:top w:val="single" w:color="000000" w:sz="4"/>
                    <w:left w:val="single" w:color="000000" w:sz="4"/>
                    <w:bottom w:val="single" w:color="000000" w:sz="4"/>
                    <w:right w:val="single" w:color="000000" w:sz="4"/>
                  </w:tcBorders>
                </w:tcPr>
                <w:p/>
              </w:tc>
              <w:tc>
                <w:tcPr>
                  <w:tcW w:type="dxa" w:w="904"/>
                  <w:vMerge/>
                  <w:tcBorders>
                    <w:top w:val="single" w:color="000000" w:sz="4"/>
                    <w:left w:val="single" w:color="000000" w:sz="4"/>
                    <w:bottom w:val="single" w:color="000000" w:sz="4"/>
                    <w:right w:val="single" w:color="000000" w:sz="4"/>
                  </w:tcBorders>
                </w:tcPr>
                <w:p/>
              </w:tc>
              <w:tc>
                <w:tcPr>
                  <w:tcW w:type="dxa" w:w="203"/>
                  <w:vMerge/>
                  <w:tcBorders>
                    <w:top w:val="single" w:color="000000" w:sz="4"/>
                    <w:left w:val="single" w:color="000000" w:sz="4"/>
                    <w:bottom w:val="single" w:color="000000" w:sz="4"/>
                    <w:right w:val="single" w:color="000000" w:sz="4"/>
                  </w:tcBorders>
                </w:tcPr>
                <w:p/>
              </w:tc>
              <w:tc>
                <w:tcPr>
                  <w:tcW w:type="dxa" w:w="492"/>
                  <w:vMerge/>
                  <w:tcBorders>
                    <w:top w:val="single" w:color="000000" w:sz="4"/>
                    <w:left w:val="single" w:color="000000" w:sz="4"/>
                    <w:bottom w:val="single" w:color="000000" w:sz="4"/>
                    <w:right w:val="single" w:color="000000" w:sz="4"/>
                  </w:tcBorders>
                </w:tcPr>
                <w:p/>
              </w:tc>
              <w:tc>
                <w:tcPr>
                  <w:tcW w:type="dxa" w:w="267"/>
                  <w:vMerge/>
                  <w:tcBorders>
                    <w:top w:val="single" w:color="000000" w:sz="4"/>
                    <w:left w:val="single" w:color="000000" w:sz="4"/>
                    <w:bottom w:val="single" w:color="000000" w:sz="4"/>
                    <w:right w:val="single" w:color="000000" w:sz="4"/>
                  </w:tcBorders>
                </w:tcPr>
                <w:p/>
              </w:tc>
              <w:tc>
                <w:tcPr>
                  <w:tcW w:type="dxa" w:w="129"/>
                  <w:vMerge/>
                  <w:tcBorders>
                    <w:top w:val="single" w:color="000000" w:sz="4"/>
                    <w:left w:val="single" w:color="000000" w:sz="4"/>
                    <w:bottom w:val="single" w:color="000000" w:sz="4"/>
                    <w:right w:val="single" w:color="000000" w:sz="4"/>
                  </w:tcBorders>
                </w:tcPr>
                <w:p/>
              </w:tc>
              <w:tc>
                <w:tcPr>
                  <w:tcW w:type="dxa" w:w="267"/>
                  <w:vMerge/>
                  <w:tcBorders>
                    <w:top w:val="single" w:color="000000" w:sz="4"/>
                    <w:left w:val="single" w:color="000000" w:sz="4"/>
                    <w:bottom w:val="single" w:color="000000" w:sz="4"/>
                    <w:right w:val="single" w:color="000000" w:sz="4"/>
                  </w:tcBorders>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17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办公</w:t>
                  </w:r>
                </w:p>
                <w:p>
                  <w:pPr>
                    <w:pStyle w:val="null3"/>
                    <w:jc w:val="center"/>
                  </w:pPr>
                  <w:r>
                    <w:rPr>
                      <w:rFonts w:ascii="仿宋_GB2312" w:hAnsi="仿宋_GB2312" w:cs="仿宋_GB2312" w:eastAsia="仿宋_GB2312"/>
                      <w:sz w:val="24"/>
                    </w:rPr>
                    <w:t>环境</w:t>
                  </w: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保持办公区域各桌面干净整洁；工作通道物品摆放整齐，卫生秩序良好。</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抽检发现扣</w:t>
                  </w:r>
                  <w:r>
                    <w:rPr>
                      <w:rFonts w:ascii="仿宋_GB2312" w:hAnsi="仿宋_GB2312" w:cs="仿宋_GB2312" w:eastAsia="仿宋_GB2312"/>
                      <w:sz w:val="24"/>
                    </w:rPr>
                    <w:t>1分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172"/>
                  <w:vMerge/>
                  <w:tcBorders>
                    <w:top w:val="none" w:color="000000" w:sz="4"/>
                    <w:left w:val="single" w:color="000000" w:sz="4"/>
                    <w:bottom w:val="single" w:color="000000" w:sz="4"/>
                    <w:right w:val="single" w:color="000000" w:sz="4"/>
                  </w:tcBorders>
                </w:tcP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文件柜分类放置、资料分区放置整齐，专人专管。</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抽检发现扣</w:t>
                  </w:r>
                  <w:r>
                    <w:rPr>
                      <w:rFonts w:ascii="仿宋_GB2312" w:hAnsi="仿宋_GB2312" w:cs="仿宋_GB2312" w:eastAsia="仿宋_GB2312"/>
                      <w:sz w:val="24"/>
                    </w:rPr>
                    <w:t>1分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17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员工</w:t>
                  </w:r>
                </w:p>
                <w:p>
                  <w:pPr>
                    <w:pStyle w:val="null3"/>
                    <w:jc w:val="center"/>
                  </w:pPr>
                  <w:r>
                    <w:rPr>
                      <w:rFonts w:ascii="仿宋_GB2312" w:hAnsi="仿宋_GB2312" w:cs="仿宋_GB2312" w:eastAsia="仿宋_GB2312"/>
                      <w:sz w:val="24"/>
                    </w:rPr>
                    <w:t>要求</w:t>
                  </w: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驻点服务人员达到岗位要求，学历及相关要求的匹配度</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项目人员大专及以上学历，不符合扣</w:t>
                  </w:r>
                  <w:r>
                    <w:rPr>
                      <w:rFonts w:ascii="仿宋_GB2312" w:hAnsi="仿宋_GB2312" w:cs="仿宋_GB2312" w:eastAsia="仿宋_GB2312"/>
                      <w:sz w:val="24"/>
                    </w:rPr>
                    <w:t>0.5分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员工</w:t>
                  </w:r>
                </w:p>
                <w:p>
                  <w:pPr>
                    <w:pStyle w:val="null3"/>
                    <w:jc w:val="center"/>
                  </w:pPr>
                  <w:r>
                    <w:rPr>
                      <w:rFonts w:ascii="仿宋_GB2312" w:hAnsi="仿宋_GB2312" w:cs="仿宋_GB2312" w:eastAsia="仿宋_GB2312"/>
                      <w:sz w:val="24"/>
                    </w:rPr>
                    <w:t>档案</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172"/>
                  <w:vMerge/>
                  <w:tcBorders>
                    <w:top w:val="none" w:color="000000" w:sz="4"/>
                    <w:left w:val="single" w:color="000000" w:sz="4"/>
                    <w:bottom w:val="single" w:color="000000" w:sz="4"/>
                    <w:right w:val="single" w:color="000000" w:sz="4"/>
                  </w:tcBorders>
                </w:tcP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统一着工服</w:t>
                  </w:r>
                  <w:r>
                    <w:rPr>
                      <w:rFonts w:ascii="仿宋_GB2312" w:hAnsi="仿宋_GB2312" w:cs="仿宋_GB2312" w:eastAsia="仿宋_GB2312"/>
                      <w:sz w:val="24"/>
                    </w:rPr>
                    <w:t>,并佩戴工牌；会基本的司法礼仪，</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每抽检发现</w:t>
                  </w:r>
                  <w:r>
                    <w:rPr>
                      <w:rFonts w:ascii="仿宋_GB2312" w:hAnsi="仿宋_GB2312" w:cs="仿宋_GB2312" w:eastAsia="仿宋_GB2312"/>
                      <w:sz w:val="24"/>
                    </w:rPr>
                    <w:t>1</w:t>
                  </w:r>
                </w:p>
                <w:p>
                  <w:pPr>
                    <w:pStyle w:val="null3"/>
                    <w:jc w:val="center"/>
                  </w:pPr>
                  <w:r>
                    <w:rPr>
                      <w:rFonts w:ascii="仿宋_GB2312" w:hAnsi="仿宋_GB2312" w:cs="仿宋_GB2312" w:eastAsia="仿宋_GB2312"/>
                      <w:sz w:val="24"/>
                    </w:rPr>
                    <w:t>次扣</w:t>
                  </w:r>
                  <w:r>
                    <w:rPr>
                      <w:rFonts w:ascii="仿宋_GB2312" w:hAnsi="仿宋_GB2312" w:cs="仿宋_GB2312" w:eastAsia="仿宋_GB2312"/>
                      <w:sz w:val="24"/>
                    </w:rPr>
                    <w:t>1分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w:t>
                  </w:r>
                </w:p>
                <w:p>
                  <w:pPr>
                    <w:pStyle w:val="null3"/>
                    <w:jc w:val="center"/>
                  </w:pPr>
                  <w:r>
                    <w:rPr>
                      <w:rFonts w:ascii="仿宋_GB2312" w:hAnsi="仿宋_GB2312" w:cs="仿宋_GB2312" w:eastAsia="仿宋_GB2312"/>
                      <w:sz w:val="24"/>
                    </w:rPr>
                    <w:t>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172"/>
                  <w:vMerge/>
                  <w:tcBorders>
                    <w:top w:val="none" w:color="000000" w:sz="4"/>
                    <w:left w:val="single" w:color="000000" w:sz="4"/>
                    <w:bottom w:val="single" w:color="000000" w:sz="4"/>
                    <w:right w:val="single" w:color="000000" w:sz="4"/>
                  </w:tcBorders>
                </w:tcP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员工考勤正常，不无故缺岗、迟到、早退</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每人每次扣</w:t>
                  </w:r>
                </w:p>
                <w:p>
                  <w:pPr>
                    <w:pStyle w:val="null3"/>
                    <w:jc w:val="center"/>
                  </w:pPr>
                  <w:r>
                    <w:rPr>
                      <w:rFonts w:ascii="仿宋_GB2312" w:hAnsi="仿宋_GB2312" w:cs="仿宋_GB2312" w:eastAsia="仿宋_GB2312"/>
                      <w:sz w:val="24"/>
                    </w:rPr>
                    <w:t>0.5分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考勤表</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w:t>
                  </w:r>
                </w:p>
              </w:tc>
              <w:tc>
                <w:tcPr>
                  <w:tcW w:type="dxa" w:w="172"/>
                  <w:vMerge/>
                  <w:tcBorders>
                    <w:top w:val="none" w:color="000000" w:sz="4"/>
                    <w:left w:val="single" w:color="000000" w:sz="4"/>
                    <w:bottom w:val="single" w:color="000000" w:sz="4"/>
                    <w:right w:val="single" w:color="000000" w:sz="4"/>
                  </w:tcBorders>
                </w:tcP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工作过程中妥善使用办公设备、节约使用易耗消耗品</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蓄意毁坏扣</w:t>
                  </w:r>
                  <w:r>
                    <w:rPr>
                      <w:rFonts w:ascii="仿宋_GB2312" w:hAnsi="仿宋_GB2312" w:cs="仿宋_GB2312" w:eastAsia="仿宋_GB2312"/>
                      <w:sz w:val="24"/>
                    </w:rPr>
                    <w:t>2分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7</w:t>
                  </w:r>
                </w:p>
              </w:tc>
              <w:tc>
                <w:tcPr>
                  <w:tcW w:type="dxa" w:w="172"/>
                  <w:vMerge/>
                  <w:tcBorders>
                    <w:top w:val="none" w:color="000000" w:sz="4"/>
                    <w:left w:val="single" w:color="000000" w:sz="4"/>
                    <w:bottom w:val="single" w:color="000000" w:sz="4"/>
                    <w:right w:val="single" w:color="000000" w:sz="4"/>
                  </w:tcBorders>
                </w:tcP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所有员工的相关业务必须确保遵守国家的各项法律法规，并严格遵守甲方拟定的规章制度</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每违规一次扣</w:t>
                  </w:r>
                </w:p>
                <w:p>
                  <w:pPr>
                    <w:pStyle w:val="null3"/>
                    <w:jc w:val="center"/>
                  </w:pPr>
                  <w:r>
                    <w:rPr>
                      <w:rFonts w:ascii="仿宋_GB2312" w:hAnsi="仿宋_GB2312" w:cs="仿宋_GB2312" w:eastAsia="仿宋_GB2312"/>
                      <w:sz w:val="24"/>
                    </w:rPr>
                    <w:t>2分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8</w:t>
                  </w:r>
                </w:p>
              </w:tc>
              <w:tc>
                <w:tcPr>
                  <w:tcW w:type="dxa" w:w="172"/>
                  <w:vMerge/>
                  <w:tcBorders>
                    <w:top w:val="none" w:color="000000" w:sz="4"/>
                    <w:left w:val="single" w:color="000000" w:sz="4"/>
                    <w:bottom w:val="single" w:color="000000" w:sz="4"/>
                    <w:right w:val="single" w:color="000000" w:sz="4"/>
                  </w:tcBorders>
                </w:tcP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具备与岗位相匹配的专业知识与技能</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出错的每人每</w:t>
                  </w:r>
                </w:p>
                <w:p>
                  <w:pPr>
                    <w:pStyle w:val="null3"/>
                    <w:jc w:val="center"/>
                  </w:pPr>
                  <w:r>
                    <w:rPr>
                      <w:rFonts w:ascii="仿宋_GB2312" w:hAnsi="仿宋_GB2312" w:cs="仿宋_GB2312" w:eastAsia="仿宋_GB2312"/>
                      <w:sz w:val="24"/>
                    </w:rPr>
                    <w:t>次扣</w:t>
                  </w:r>
                  <w:r>
                    <w:rPr>
                      <w:rFonts w:ascii="仿宋_GB2312" w:hAnsi="仿宋_GB2312" w:cs="仿宋_GB2312" w:eastAsia="仿宋_GB2312"/>
                      <w:sz w:val="24"/>
                    </w:rPr>
                    <w:t>0.5分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岗位职责、甲方拟定的规章制度</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9</w:t>
                  </w:r>
                </w:p>
              </w:tc>
              <w:tc>
                <w:tcPr>
                  <w:tcW w:type="dxa" w:w="172"/>
                  <w:vMerge/>
                  <w:tcBorders>
                    <w:top w:val="none" w:color="000000" w:sz="4"/>
                    <w:left w:val="single" w:color="000000" w:sz="4"/>
                    <w:bottom w:val="single" w:color="000000" w:sz="4"/>
                    <w:right w:val="single" w:color="000000" w:sz="4"/>
                  </w:tcBorders>
                </w:tcP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擅自提供、抄录、公布属于保密范围的档案的</w:t>
                  </w:r>
                  <w:r>
                    <w:rPr>
                      <w:rFonts w:ascii="仿宋_GB2312" w:hAnsi="仿宋_GB2312" w:cs="仿宋_GB2312" w:eastAsia="仿宋_GB2312"/>
                      <w:sz w:val="24"/>
                    </w:rPr>
                    <w:t>;窃取、倒卖相关文件牟利的；有意涂改、损毁、伪造，对外泄露保密信息内容</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扣</w:t>
                  </w:r>
                  <w:r>
                    <w:rPr>
                      <w:rFonts w:ascii="仿宋_GB2312" w:hAnsi="仿宋_GB2312" w:cs="仿宋_GB2312" w:eastAsia="仿宋_GB2312"/>
                      <w:sz w:val="24"/>
                    </w:rPr>
                    <w:t>5分，并有权追究该责任员工法律责任</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保密协议、保密制度</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10</w:t>
                  </w:r>
                </w:p>
              </w:tc>
              <w:tc>
                <w:tcPr>
                  <w:tcW w:type="dxa" w:w="172"/>
                  <w:vMerge/>
                  <w:tcBorders>
                    <w:top w:val="none" w:color="000000" w:sz="4"/>
                    <w:left w:val="single" w:color="000000" w:sz="4"/>
                    <w:bottom w:val="single" w:color="000000" w:sz="4"/>
                    <w:right w:val="single" w:color="000000" w:sz="4"/>
                  </w:tcBorders>
                </w:tcP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失职导致严重影响工作质量和效率，被甲方管理层批评和投诉的</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根据关联责任大小和事故等级，每次扣</w:t>
                  </w:r>
                  <w:r>
                    <w:rPr>
                      <w:rFonts w:ascii="仿宋_GB2312" w:hAnsi="仿宋_GB2312" w:cs="仿宋_GB2312" w:eastAsia="仿宋_GB2312"/>
                      <w:sz w:val="24"/>
                    </w:rPr>
                    <w:t>1-3 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11</w:t>
                  </w:r>
                </w:p>
              </w:tc>
              <w:tc>
                <w:tcPr>
                  <w:tcW w:type="dxa" w:w="172"/>
                  <w:vMerge/>
                  <w:tcBorders>
                    <w:top w:val="none" w:color="000000" w:sz="4"/>
                    <w:left w:val="single" w:color="000000" w:sz="4"/>
                    <w:bottom w:val="single" w:color="000000" w:sz="4"/>
                    <w:right w:val="single" w:color="000000" w:sz="4"/>
                  </w:tcBorders>
                </w:tcP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对于所从事工作，将涉及到此项工作的信息控制在参与工作的项目人员之内</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根据泄露情</w:t>
                  </w:r>
                </w:p>
                <w:p>
                  <w:pPr>
                    <w:pStyle w:val="null3"/>
                    <w:jc w:val="center"/>
                  </w:pPr>
                  <w:r>
                    <w:rPr>
                      <w:rFonts w:ascii="仿宋_GB2312" w:hAnsi="仿宋_GB2312" w:cs="仿宋_GB2312" w:eastAsia="仿宋_GB2312"/>
                      <w:sz w:val="24"/>
                    </w:rPr>
                    <w:t>况，每次扣</w:t>
                  </w:r>
                  <w:r>
                    <w:rPr>
                      <w:rFonts w:ascii="仿宋_GB2312" w:hAnsi="仿宋_GB2312" w:cs="仿宋_GB2312" w:eastAsia="仿宋_GB2312"/>
                      <w:sz w:val="24"/>
                    </w:rPr>
                    <w:t>1-2</w:t>
                  </w:r>
                </w:p>
                <w:p>
                  <w:pPr>
                    <w:pStyle w:val="null3"/>
                    <w:jc w:val="center"/>
                  </w:pPr>
                  <w:r>
                    <w:rPr>
                      <w:rFonts w:ascii="仿宋_GB2312" w:hAnsi="仿宋_GB2312" w:cs="仿宋_GB2312" w:eastAsia="仿宋_GB2312"/>
                      <w:sz w:val="24"/>
                    </w:rPr>
                    <w:t>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12</w:t>
                  </w:r>
                </w:p>
              </w:tc>
              <w:tc>
                <w:tcPr>
                  <w:tcW w:type="dxa" w:w="17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工作</w:t>
                  </w:r>
                </w:p>
                <w:p>
                  <w:pPr>
                    <w:pStyle w:val="null3"/>
                    <w:jc w:val="center"/>
                  </w:pPr>
                  <w:r>
                    <w:rPr>
                      <w:rFonts w:ascii="仿宋_GB2312" w:hAnsi="仿宋_GB2312" w:cs="仿宋_GB2312" w:eastAsia="仿宋_GB2312"/>
                      <w:sz w:val="24"/>
                    </w:rPr>
                    <w:t>要求</w:t>
                  </w: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岗位配置齐全，满足服务要求且在服务期内避免出现缺岗情况</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缺岗</w:t>
                  </w:r>
                  <w:r>
                    <w:rPr>
                      <w:rFonts w:ascii="仿宋_GB2312" w:hAnsi="仿宋_GB2312" w:cs="仿宋_GB2312" w:eastAsia="仿宋_GB2312"/>
                      <w:sz w:val="24"/>
                    </w:rPr>
                    <w:t>3</w:t>
                  </w:r>
                  <w:r>
                    <w:rPr>
                      <w:rFonts w:ascii="仿宋_GB2312" w:hAnsi="仿宋_GB2312" w:cs="仿宋_GB2312" w:eastAsia="仿宋_GB2312"/>
                      <w:sz w:val="24"/>
                    </w:rPr>
                    <w:t>天未补齐，每天扣</w:t>
                  </w:r>
                  <w:r>
                    <w:rPr>
                      <w:rFonts w:ascii="仿宋_GB2312" w:hAnsi="仿宋_GB2312" w:cs="仿宋_GB2312" w:eastAsia="仿宋_GB2312"/>
                      <w:sz w:val="24"/>
                    </w:rPr>
                    <w:t>1分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13</w:t>
                  </w:r>
                </w:p>
              </w:tc>
              <w:tc>
                <w:tcPr>
                  <w:tcW w:type="dxa" w:w="172"/>
                  <w:vMerge/>
                  <w:tcBorders>
                    <w:top w:val="none" w:color="000000" w:sz="4"/>
                    <w:left w:val="single" w:color="000000" w:sz="4"/>
                    <w:bottom w:val="single" w:color="000000" w:sz="4"/>
                    <w:right w:val="single" w:color="000000" w:sz="4"/>
                  </w:tcBorders>
                </w:tcP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对员工管理体现高效、专业、科学有效、有规模，能高效完成辅助事务性工作</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实际管理混乱，影响工作进度，扣</w:t>
                  </w:r>
                  <w:r>
                    <w:rPr>
                      <w:rFonts w:ascii="仿宋_GB2312" w:hAnsi="仿宋_GB2312" w:cs="仿宋_GB2312" w:eastAsia="仿宋_GB2312"/>
                      <w:sz w:val="24"/>
                    </w:rPr>
                    <w:t>2分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14</w:t>
                  </w:r>
                </w:p>
              </w:tc>
              <w:tc>
                <w:tcPr>
                  <w:tcW w:type="dxa" w:w="172"/>
                  <w:vMerge/>
                  <w:tcBorders>
                    <w:top w:val="none" w:color="000000" w:sz="4"/>
                    <w:left w:val="single" w:color="000000" w:sz="4"/>
                    <w:bottom w:val="single" w:color="000000" w:sz="4"/>
                    <w:right w:val="single" w:color="000000" w:sz="4"/>
                  </w:tcBorders>
                </w:tcP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对于院方的各项整改及意见指令快速响应及落实</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落实延误每</w:t>
                  </w:r>
                  <w:r>
                    <w:rPr>
                      <w:rFonts w:ascii="仿宋_GB2312" w:hAnsi="仿宋_GB2312" w:cs="仿宋_GB2312" w:eastAsia="仿宋_GB2312"/>
                      <w:sz w:val="24"/>
                    </w:rPr>
                    <w:t>2天扣1分，落实不力扣1分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15</w:t>
                  </w:r>
                </w:p>
              </w:tc>
              <w:tc>
                <w:tcPr>
                  <w:tcW w:type="dxa" w:w="172"/>
                  <w:vMerge/>
                  <w:tcBorders>
                    <w:top w:val="none" w:color="000000" w:sz="4"/>
                    <w:left w:val="single" w:color="000000" w:sz="4"/>
                    <w:bottom w:val="single" w:color="000000" w:sz="4"/>
                    <w:right w:val="single" w:color="000000" w:sz="4"/>
                  </w:tcBorders>
                </w:tcP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对接收的所有案件的信息录入及时率达到</w:t>
                  </w:r>
                  <w:r>
                    <w:rPr>
                      <w:rFonts w:ascii="仿宋_GB2312" w:hAnsi="仿宋_GB2312" w:cs="仿宋_GB2312" w:eastAsia="仿宋_GB2312"/>
                      <w:sz w:val="24"/>
                    </w:rPr>
                    <w:t>100% ，录入正确率达到100%</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录入不及时或出现错误每人每项扣</w:t>
                  </w:r>
                  <w:r>
                    <w:rPr>
                      <w:rFonts w:ascii="仿宋_GB2312" w:hAnsi="仿宋_GB2312" w:cs="仿宋_GB2312" w:eastAsia="仿宋_GB2312"/>
                      <w:sz w:val="24"/>
                    </w:rPr>
                    <w:t>1分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月末统计</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16</w:t>
                  </w:r>
                </w:p>
              </w:tc>
              <w:tc>
                <w:tcPr>
                  <w:tcW w:type="dxa" w:w="172"/>
                  <w:vMerge/>
                  <w:tcBorders>
                    <w:top w:val="none" w:color="000000" w:sz="4"/>
                    <w:left w:val="single" w:color="000000" w:sz="4"/>
                    <w:bottom w:val="single" w:color="000000" w:sz="4"/>
                    <w:right w:val="single" w:color="000000" w:sz="4"/>
                  </w:tcBorders>
                </w:tcP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导诉工作群众解答未达到</w:t>
                  </w:r>
                  <w:r>
                    <w:rPr>
                      <w:rFonts w:ascii="仿宋_GB2312" w:hAnsi="仿宋_GB2312" w:cs="仿宋_GB2312" w:eastAsia="仿宋_GB2312"/>
                      <w:sz w:val="24"/>
                    </w:rPr>
                    <w:t>80%以上</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扣</w:t>
                  </w:r>
                  <w:r>
                    <w:rPr>
                      <w:rFonts w:ascii="仿宋_GB2312" w:hAnsi="仿宋_GB2312" w:cs="仿宋_GB2312" w:eastAsia="仿宋_GB2312"/>
                      <w:sz w:val="24"/>
                    </w:rPr>
                    <w:t>1分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月末统计</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17</w:t>
                  </w:r>
                </w:p>
              </w:tc>
              <w:tc>
                <w:tcPr>
                  <w:tcW w:type="dxa" w:w="172"/>
                  <w:vMerge/>
                  <w:tcBorders>
                    <w:top w:val="none" w:color="000000" w:sz="4"/>
                    <w:left w:val="single" w:color="000000" w:sz="4"/>
                    <w:bottom w:val="single" w:color="000000" w:sz="4"/>
                    <w:right w:val="single" w:color="000000" w:sz="4"/>
                  </w:tcBorders>
                </w:tcP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12368电话接通率未达到96%以上</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扣</w:t>
                  </w:r>
                  <w:r>
                    <w:rPr>
                      <w:rFonts w:ascii="仿宋_GB2312" w:hAnsi="仿宋_GB2312" w:cs="仿宋_GB2312" w:eastAsia="仿宋_GB2312"/>
                      <w:sz w:val="24"/>
                    </w:rPr>
                    <w:t>1分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月末统计</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18</w:t>
                  </w:r>
                </w:p>
              </w:tc>
              <w:tc>
                <w:tcPr>
                  <w:tcW w:type="dxa" w:w="17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工作</w:t>
                  </w:r>
                </w:p>
                <w:p>
                  <w:pPr>
                    <w:pStyle w:val="null3"/>
                    <w:jc w:val="center"/>
                  </w:pPr>
                  <w:r>
                    <w:rPr>
                      <w:rFonts w:ascii="仿宋_GB2312" w:hAnsi="仿宋_GB2312" w:cs="仿宋_GB2312" w:eastAsia="仿宋_GB2312"/>
                      <w:sz w:val="24"/>
                    </w:rPr>
                    <w:t>要求</w:t>
                  </w: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完成服务事项的完整性、准确性要求，如发生错误应加以及时纠正</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8</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一般失误扣</w:t>
                  </w:r>
                  <w:r>
                    <w:rPr>
                      <w:rFonts w:ascii="仿宋_GB2312" w:hAnsi="仿宋_GB2312" w:cs="仿宋_GB2312" w:eastAsia="仿宋_GB2312"/>
                      <w:sz w:val="24"/>
                    </w:rPr>
                    <w:t>0.5分/次，重大失误扣2分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出错记录表</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19</w:t>
                  </w:r>
                </w:p>
              </w:tc>
              <w:tc>
                <w:tcPr>
                  <w:tcW w:type="dxa" w:w="172"/>
                  <w:vMerge/>
                  <w:tcBorders>
                    <w:top w:val="none" w:color="000000" w:sz="4"/>
                    <w:left w:val="single" w:color="000000" w:sz="4"/>
                    <w:bottom w:val="single" w:color="000000" w:sz="4"/>
                    <w:right w:val="single" w:color="000000" w:sz="4"/>
                  </w:tcBorders>
                </w:tcP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准时发放项目员工标准工资</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延迟</w:t>
                  </w:r>
                  <w:r>
                    <w:rPr>
                      <w:rFonts w:ascii="仿宋_GB2312" w:hAnsi="仿宋_GB2312" w:cs="仿宋_GB2312" w:eastAsia="仿宋_GB2312"/>
                      <w:sz w:val="24"/>
                    </w:rPr>
                    <w:t>1天扣0.5分(节假日及特殊情况除外)如未在当月提供本月工资发放记录，扣4分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工资表</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20</w:t>
                  </w:r>
                </w:p>
              </w:tc>
              <w:tc>
                <w:tcPr>
                  <w:tcW w:type="dxa" w:w="1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培训</w:t>
                  </w:r>
                </w:p>
                <w:p>
                  <w:pPr>
                    <w:pStyle w:val="null3"/>
                    <w:jc w:val="center"/>
                  </w:pPr>
                  <w:r>
                    <w:rPr>
                      <w:rFonts w:ascii="仿宋_GB2312" w:hAnsi="仿宋_GB2312" w:cs="仿宋_GB2312" w:eastAsia="仿宋_GB2312"/>
                      <w:sz w:val="24"/>
                    </w:rPr>
                    <w:t>要求</w:t>
                  </w: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岗前培训，之后每季度至少进行一次技能提升培训</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未进行培训扣</w:t>
                  </w:r>
                  <w:r>
                    <w:rPr>
                      <w:rFonts w:ascii="仿宋_GB2312" w:hAnsi="仿宋_GB2312" w:cs="仿宋_GB2312" w:eastAsia="仿宋_GB2312"/>
                      <w:sz w:val="24"/>
                    </w:rPr>
                    <w:t>1分/次</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培训纪要</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21</w:t>
                  </w:r>
                </w:p>
              </w:tc>
              <w:tc>
                <w:tcPr>
                  <w:tcW w:type="dxa" w:w="17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工作</w:t>
                  </w:r>
                </w:p>
                <w:p>
                  <w:pPr>
                    <w:pStyle w:val="null3"/>
                    <w:jc w:val="center"/>
                  </w:pPr>
                  <w:r>
                    <w:rPr>
                      <w:rFonts w:ascii="仿宋_GB2312" w:hAnsi="仿宋_GB2312" w:cs="仿宋_GB2312" w:eastAsia="仿宋_GB2312"/>
                      <w:sz w:val="24"/>
                    </w:rPr>
                    <w:t>汇报</w:t>
                  </w: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指定项目人员专门负责与贵单位之间文件的现场传送工作，并规定严格的交收和专人保管办法</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发生遗漏延迟扣</w:t>
                  </w:r>
                  <w:r>
                    <w:rPr>
                      <w:rFonts w:ascii="仿宋_GB2312" w:hAnsi="仿宋_GB2312" w:cs="仿宋_GB2312" w:eastAsia="仿宋_GB2312"/>
                      <w:sz w:val="24"/>
                    </w:rPr>
                    <w:t>1分/次</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2</w:t>
                  </w:r>
                </w:p>
              </w:tc>
              <w:tc>
                <w:tcPr>
                  <w:tcW w:type="dxa" w:w="172"/>
                  <w:vMerge/>
                  <w:tcBorders>
                    <w:top w:val="none" w:color="000000" w:sz="4"/>
                    <w:left w:val="single" w:color="000000" w:sz="4"/>
                    <w:bottom w:val="single" w:color="000000" w:sz="4"/>
                    <w:right w:val="single" w:color="000000" w:sz="4"/>
                  </w:tcBorders>
                </w:tcP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积极配合甲方监督、安全排查工作</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抽检发现扣</w:t>
                  </w:r>
                  <w:r>
                    <w:rPr>
                      <w:rFonts w:ascii="仿宋_GB2312" w:hAnsi="仿宋_GB2312" w:cs="仿宋_GB2312" w:eastAsia="仿宋_GB2312"/>
                      <w:sz w:val="24"/>
                    </w:rPr>
                    <w:t>1分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3</w:t>
                  </w:r>
                </w:p>
              </w:tc>
              <w:tc>
                <w:tcPr>
                  <w:tcW w:type="dxa" w:w="172"/>
                  <w:vMerge/>
                  <w:tcBorders>
                    <w:top w:val="none" w:color="000000" w:sz="4"/>
                    <w:left w:val="single" w:color="000000" w:sz="4"/>
                    <w:bottom w:val="single" w:color="000000" w:sz="4"/>
                    <w:right w:val="single" w:color="000000" w:sz="4"/>
                  </w:tcBorders>
                </w:tcP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上交整改意见及配套管理制度及时</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满意度评分，扣分最高不超</w:t>
                  </w:r>
                  <w:r>
                    <w:rPr>
                      <w:rFonts w:ascii="仿宋_GB2312" w:hAnsi="仿宋_GB2312" w:cs="仿宋_GB2312" w:eastAsia="仿宋_GB2312"/>
                      <w:sz w:val="24"/>
                    </w:rPr>
                    <w:t>5分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w:t>
                  </w:r>
                </w:p>
                <w:p>
                  <w:pPr>
                    <w:pStyle w:val="null3"/>
                    <w:jc w:val="center"/>
                  </w:pPr>
                  <w:r>
                    <w:rPr>
                      <w:rFonts w:ascii="仿宋_GB2312" w:hAnsi="仿宋_GB2312" w:cs="仿宋_GB2312" w:eastAsia="仿宋_GB2312"/>
                      <w:sz w:val="24"/>
                    </w:rPr>
                    <w:t>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4</w:t>
                  </w:r>
                </w:p>
              </w:tc>
              <w:tc>
                <w:tcPr>
                  <w:tcW w:type="dxa" w:w="172"/>
                  <w:vMerge/>
                  <w:tcBorders>
                    <w:top w:val="none" w:color="000000" w:sz="4"/>
                    <w:left w:val="single" w:color="000000" w:sz="4"/>
                    <w:bottom w:val="single" w:color="000000" w:sz="4"/>
                    <w:right w:val="single" w:color="000000" w:sz="4"/>
                  </w:tcBorders>
                </w:tcP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每月根据院方反馈建议对员工业务能力、纪律作风进行提升督导</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督导未见实效，扣</w:t>
                  </w:r>
                  <w:r>
                    <w:rPr>
                      <w:rFonts w:ascii="仿宋_GB2312" w:hAnsi="仿宋_GB2312" w:cs="仿宋_GB2312" w:eastAsia="仿宋_GB2312"/>
                      <w:sz w:val="24"/>
                    </w:rPr>
                    <w:t>2分。 未开展督导工作，扣5分。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会议纪要</w:t>
                  </w:r>
                </w:p>
                <w:p>
                  <w:pPr>
                    <w:pStyle w:val="null3"/>
                    <w:jc w:val="center"/>
                  </w:pPr>
                  <w:r>
                    <w:rPr>
                      <w:rFonts w:ascii="仿宋_GB2312" w:hAnsi="仿宋_GB2312" w:cs="仿宋_GB2312" w:eastAsia="仿宋_GB2312"/>
                      <w:sz w:val="24"/>
                    </w:rPr>
                    <w:t>提交情况</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5</w:t>
                  </w:r>
                </w:p>
              </w:tc>
              <w:tc>
                <w:tcPr>
                  <w:tcW w:type="dxa" w:w="172"/>
                  <w:vMerge/>
                  <w:tcBorders>
                    <w:top w:val="none" w:color="000000" w:sz="4"/>
                    <w:left w:val="single" w:color="000000" w:sz="4"/>
                    <w:bottom w:val="single" w:color="000000" w:sz="4"/>
                    <w:right w:val="single" w:color="000000" w:sz="4"/>
                  </w:tcBorders>
                </w:tcP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每月</w:t>
                  </w:r>
                  <w:r>
                    <w:rPr>
                      <w:rFonts w:ascii="仿宋_GB2312" w:hAnsi="仿宋_GB2312" w:cs="仿宋_GB2312" w:eastAsia="仿宋_GB2312"/>
                      <w:sz w:val="24"/>
                    </w:rPr>
                    <w:t>20号提交上月工作总结报告</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延迟</w:t>
                  </w:r>
                  <w:r>
                    <w:rPr>
                      <w:rFonts w:ascii="仿宋_GB2312" w:hAnsi="仿宋_GB2312" w:cs="仿宋_GB2312" w:eastAsia="仿宋_GB2312"/>
                      <w:sz w:val="24"/>
                    </w:rPr>
                    <w:t>1天扣0.5分，当月未提交扣2分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工作总结报告提交情况</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6</w:t>
                  </w:r>
                </w:p>
              </w:tc>
              <w:tc>
                <w:tcPr>
                  <w:tcW w:type="dxa" w:w="1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出现舆论情况事件</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7</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出现一次舆论情况事件，扣</w:t>
                  </w:r>
                  <w:r>
                    <w:rPr>
                      <w:rFonts w:ascii="仿宋_GB2312" w:hAnsi="仿宋_GB2312" w:cs="仿宋_GB2312" w:eastAsia="仿宋_GB2312"/>
                      <w:sz w:val="24"/>
                    </w:rPr>
                    <w:t>7分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月末统计</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5"/>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合计</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100</w:t>
                  </w:r>
                </w:p>
              </w:tc>
              <w:tc>
                <w:tcPr>
                  <w:tcW w:type="dxa" w:w="1155"/>
                  <w:gridSpan w:val="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17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加分</w:t>
                  </w: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服务团队人员在岗稳定情况，管理工作有序</w:t>
                  </w:r>
                </w:p>
              </w:tc>
              <w:tc>
                <w:tcPr>
                  <w:tcW w:type="dxa" w:w="20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49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转正后人员无人离岗加</w:t>
                  </w:r>
                  <w:r>
                    <w:rPr>
                      <w:rFonts w:ascii="仿宋_GB2312" w:hAnsi="仿宋_GB2312" w:cs="仿宋_GB2312" w:eastAsia="仿宋_GB2312"/>
                      <w:sz w:val="24"/>
                    </w:rPr>
                    <w:t>1分</w:t>
                  </w:r>
                </w:p>
              </w:tc>
              <w:tc>
                <w:tcPr>
                  <w:tcW w:type="dxa" w:w="26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关键事件记录法</w:t>
                  </w:r>
                </w:p>
              </w:tc>
              <w:tc>
                <w:tcPr>
                  <w:tcW w:type="dxa" w:w="12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172"/>
                  <w:vMerge/>
                  <w:tcBorders>
                    <w:top w:val="none" w:color="000000" w:sz="4"/>
                    <w:left w:val="single" w:color="000000" w:sz="4"/>
                    <w:bottom w:val="single" w:color="000000" w:sz="4"/>
                    <w:right w:val="single" w:color="000000" w:sz="4"/>
                  </w:tcBorders>
                </w:tcPr>
                <w:p/>
              </w:tc>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超出合同范围提供了额外的服务或支撑，并正确理解院方临时相关工作要求以致能及时高效配合完成</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49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每事项加</w:t>
                  </w:r>
                  <w:r>
                    <w:rPr>
                      <w:rFonts w:ascii="仿宋_GB2312" w:hAnsi="仿宋_GB2312" w:cs="仿宋_GB2312" w:eastAsia="仿宋_GB2312"/>
                      <w:sz w:val="24"/>
                    </w:rPr>
                    <w:t>1分</w:t>
                  </w: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关键事件记录法</w:t>
                  </w:r>
                </w:p>
              </w:tc>
              <w:tc>
                <w:tcPr>
                  <w:tcW w:type="dxa" w:w="12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r>
            <w:tr>
              <w:tc>
                <w:tcPr>
                  <w:tcW w:type="dxa" w:w="1195"/>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合计</w:t>
                  </w:r>
                </w:p>
              </w:tc>
              <w:tc>
                <w:tcPr>
                  <w:tcW w:type="dxa" w:w="2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105</w:t>
                  </w:r>
                </w:p>
              </w:tc>
              <w:tc>
                <w:tcPr>
                  <w:tcW w:type="dxa" w:w="1155"/>
                  <w:gridSpan w:val="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553"/>
                  <w:gridSpan w:val="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考核说明：</w:t>
                  </w:r>
                  <w:r>
                    <w:br/>
                  </w:r>
                  <w:r>
                    <w:rPr>
                      <w:rFonts w:ascii="仿宋_GB2312" w:hAnsi="仿宋_GB2312" w:cs="仿宋_GB2312" w:eastAsia="仿宋_GB2312"/>
                      <w:sz w:val="24"/>
                    </w:rPr>
                    <w:t>1</w:t>
                  </w:r>
                  <w:r>
                    <w:rPr>
                      <w:rFonts w:ascii="仿宋_GB2312" w:hAnsi="仿宋_GB2312" w:cs="仿宋_GB2312" w:eastAsia="仿宋_GB2312"/>
                      <w:sz w:val="24"/>
                    </w:rPr>
                    <w:t>、按照考核标准评估得分，根据得分情况确定实际支付比例。</w:t>
                  </w:r>
                </w:p>
                <w:p>
                  <w:pPr>
                    <w:pStyle w:val="null3"/>
                    <w:jc w:val="both"/>
                  </w:pPr>
                  <w:r>
                    <w:rPr>
                      <w:rFonts w:ascii="仿宋_GB2312" w:hAnsi="仿宋_GB2312" w:cs="仿宋_GB2312" w:eastAsia="仿宋_GB2312"/>
                      <w:sz w:val="24"/>
                    </w:rPr>
                    <w:t>每次</w:t>
                  </w:r>
                  <w:r>
                    <w:rPr>
                      <w:rFonts w:ascii="仿宋_GB2312" w:hAnsi="仿宋_GB2312" w:cs="仿宋_GB2312" w:eastAsia="仿宋_GB2312"/>
                      <w:sz w:val="24"/>
                    </w:rPr>
                    <w:t>付款前乙方应向甲方提供等额发票，甲方在收到发票后</w:t>
                  </w:r>
                  <w:r>
                    <w:rPr>
                      <w:rFonts w:ascii="仿宋_GB2312" w:hAnsi="仿宋_GB2312" w:cs="仿宋_GB2312" w:eastAsia="仿宋_GB2312"/>
                      <w:sz w:val="24"/>
                    </w:rPr>
                    <w:t>10个工作日内完成付款。</w:t>
                  </w:r>
                  <w:r>
                    <w:br/>
                  </w:r>
                  <w:r>
                    <w:rPr>
                      <w:rFonts w:ascii="仿宋_GB2312" w:hAnsi="仿宋_GB2312" w:cs="仿宋_GB2312" w:eastAsia="仿宋_GB2312"/>
                      <w:sz w:val="24"/>
                    </w:rPr>
                    <w:t>2</w:t>
                  </w:r>
                  <w:r>
                    <w:rPr>
                      <w:rFonts w:ascii="仿宋_GB2312" w:hAnsi="仿宋_GB2312" w:cs="仿宋_GB2312" w:eastAsia="仿宋_GB2312"/>
                      <w:sz w:val="24"/>
                    </w:rPr>
                    <w:t>、根据下文载明的评分方法，甲方按照考核结果进行支付。</w:t>
                  </w:r>
                </w:p>
              </w:tc>
            </w:tr>
            <w:tr>
              <w:tc>
                <w:tcPr>
                  <w:tcW w:type="dxa" w:w="2553"/>
                  <w:gridSpan w:val="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(1)得分大于等于95分，支付100%当</w:t>
                  </w:r>
                  <w:r>
                    <w:rPr>
                      <w:rFonts w:ascii="仿宋_GB2312" w:hAnsi="仿宋_GB2312" w:cs="仿宋_GB2312" w:eastAsia="仿宋_GB2312"/>
                      <w:sz w:val="24"/>
                    </w:rPr>
                    <w:t>次</w:t>
                  </w:r>
                  <w:r>
                    <w:rPr>
                      <w:rFonts w:ascii="仿宋_GB2312" w:hAnsi="仿宋_GB2312" w:cs="仿宋_GB2312" w:eastAsia="仿宋_GB2312"/>
                      <w:sz w:val="24"/>
                    </w:rPr>
                    <w:t>应付金额；</w:t>
                  </w:r>
                </w:p>
              </w:tc>
            </w:tr>
            <w:tr>
              <w:tc>
                <w:tcPr>
                  <w:tcW w:type="dxa" w:w="2553"/>
                  <w:gridSpan w:val="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(2)得分在90分至95分之间的，扣当</w:t>
                  </w:r>
                  <w:r>
                    <w:rPr>
                      <w:rFonts w:ascii="仿宋_GB2312" w:hAnsi="仿宋_GB2312" w:cs="仿宋_GB2312" w:eastAsia="仿宋_GB2312"/>
                      <w:sz w:val="24"/>
                    </w:rPr>
                    <w:t>次</w:t>
                  </w:r>
                  <w:r>
                    <w:rPr>
                      <w:rFonts w:ascii="仿宋_GB2312" w:hAnsi="仿宋_GB2312" w:cs="仿宋_GB2312" w:eastAsia="仿宋_GB2312"/>
                      <w:sz w:val="24"/>
                    </w:rPr>
                    <w:t>应付金额</w:t>
                  </w:r>
                  <w:r>
                    <w:rPr>
                      <w:rFonts w:ascii="仿宋_GB2312" w:hAnsi="仿宋_GB2312" w:cs="仿宋_GB2312" w:eastAsia="仿宋_GB2312"/>
                      <w:sz w:val="24"/>
                    </w:rPr>
                    <w:t>3%；</w:t>
                  </w:r>
                </w:p>
              </w:tc>
            </w:tr>
            <w:tr>
              <w:tc>
                <w:tcPr>
                  <w:tcW w:type="dxa" w:w="2553"/>
                  <w:gridSpan w:val="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(3)得分在85分至90分之间的，扣当</w:t>
                  </w:r>
                  <w:r>
                    <w:rPr>
                      <w:rFonts w:ascii="仿宋_GB2312" w:hAnsi="仿宋_GB2312" w:cs="仿宋_GB2312" w:eastAsia="仿宋_GB2312"/>
                      <w:sz w:val="24"/>
                    </w:rPr>
                    <w:t>次</w:t>
                  </w:r>
                  <w:r>
                    <w:rPr>
                      <w:rFonts w:ascii="仿宋_GB2312" w:hAnsi="仿宋_GB2312" w:cs="仿宋_GB2312" w:eastAsia="仿宋_GB2312"/>
                      <w:sz w:val="24"/>
                    </w:rPr>
                    <w:t>应付金额</w:t>
                  </w:r>
                  <w:r>
                    <w:rPr>
                      <w:rFonts w:ascii="仿宋_GB2312" w:hAnsi="仿宋_GB2312" w:cs="仿宋_GB2312" w:eastAsia="仿宋_GB2312"/>
                      <w:sz w:val="24"/>
                    </w:rPr>
                    <w:t>6%；</w:t>
                  </w:r>
                </w:p>
              </w:tc>
            </w:tr>
            <w:tr>
              <w:tc>
                <w:tcPr>
                  <w:tcW w:type="dxa" w:w="2553"/>
                  <w:gridSpan w:val="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(4)得分在80分至85分之间的，扣当</w:t>
                  </w:r>
                  <w:r>
                    <w:rPr>
                      <w:rFonts w:ascii="仿宋_GB2312" w:hAnsi="仿宋_GB2312" w:cs="仿宋_GB2312" w:eastAsia="仿宋_GB2312"/>
                      <w:sz w:val="24"/>
                    </w:rPr>
                    <w:t>次</w:t>
                  </w:r>
                  <w:r>
                    <w:rPr>
                      <w:rFonts w:ascii="仿宋_GB2312" w:hAnsi="仿宋_GB2312" w:cs="仿宋_GB2312" w:eastAsia="仿宋_GB2312"/>
                      <w:sz w:val="24"/>
                    </w:rPr>
                    <w:t>应付金额</w:t>
                  </w:r>
                  <w:r>
                    <w:rPr>
                      <w:rFonts w:ascii="仿宋_GB2312" w:hAnsi="仿宋_GB2312" w:cs="仿宋_GB2312" w:eastAsia="仿宋_GB2312"/>
                      <w:sz w:val="24"/>
                    </w:rPr>
                    <w:t>9%；</w:t>
                  </w:r>
                </w:p>
              </w:tc>
            </w:tr>
            <w:tr>
              <w:tc>
                <w:tcPr>
                  <w:tcW w:type="dxa" w:w="2553"/>
                  <w:gridSpan w:val="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(5)得分在70分至80分之间的，扣当</w:t>
                  </w:r>
                  <w:r>
                    <w:rPr>
                      <w:rFonts w:ascii="仿宋_GB2312" w:hAnsi="仿宋_GB2312" w:cs="仿宋_GB2312" w:eastAsia="仿宋_GB2312"/>
                      <w:sz w:val="24"/>
                    </w:rPr>
                    <w:t>次</w:t>
                  </w:r>
                  <w:r>
                    <w:rPr>
                      <w:rFonts w:ascii="仿宋_GB2312" w:hAnsi="仿宋_GB2312" w:cs="仿宋_GB2312" w:eastAsia="仿宋_GB2312"/>
                      <w:sz w:val="24"/>
                    </w:rPr>
                    <w:t>应付金额</w:t>
                  </w:r>
                  <w:r>
                    <w:rPr>
                      <w:rFonts w:ascii="仿宋_GB2312" w:hAnsi="仿宋_GB2312" w:cs="仿宋_GB2312" w:eastAsia="仿宋_GB2312"/>
                      <w:sz w:val="24"/>
                    </w:rPr>
                    <w:t>15%;；</w:t>
                  </w:r>
                </w:p>
              </w:tc>
            </w:tr>
            <w:tr>
              <w:tc>
                <w:tcPr>
                  <w:tcW w:type="dxa" w:w="2553"/>
                  <w:gridSpan w:val="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(6))得分低于70分，扣当</w:t>
                  </w:r>
                  <w:r>
                    <w:rPr>
                      <w:rFonts w:ascii="仿宋_GB2312" w:hAnsi="仿宋_GB2312" w:cs="仿宋_GB2312" w:eastAsia="仿宋_GB2312"/>
                      <w:sz w:val="24"/>
                    </w:rPr>
                    <w:t>次</w:t>
                  </w:r>
                  <w:r>
                    <w:rPr>
                      <w:rFonts w:ascii="仿宋_GB2312" w:hAnsi="仿宋_GB2312" w:cs="仿宋_GB2312" w:eastAsia="仿宋_GB2312"/>
                      <w:sz w:val="24"/>
                    </w:rPr>
                    <w:t>应付金额</w:t>
                  </w:r>
                  <w:r>
                    <w:rPr>
                      <w:rFonts w:ascii="仿宋_GB2312" w:hAnsi="仿宋_GB2312" w:cs="仿宋_GB2312" w:eastAsia="仿宋_GB2312"/>
                      <w:sz w:val="24"/>
                    </w:rPr>
                    <w:t>25%。</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预算及最高限价为81.34万元，费用包含人员薪酬、社保、福利、管理费、保险、税金、现场管理等完成本项目全部服务内容的所有费用，采购人不另行支付任何费用。因预算下达延迟等原因，2026年4月8日起至本次合同签订之日，该项目所产生的相关费由成交供应商签订合同后代为支付，剩余费用作为本项目总包服务费用。合同期满，因预算未下达等原因采购人可要求成交供应商延续提供1-4个月的服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自合同签订之日至2027年4月7日。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1.验收方式：由采购人对项目进行整体验收，供应商协助配合。 2.验收内容：内容包括采购文件以及响应文件中所有服务内容，以及质量是否达到现行国家有关验收规范“合格”标准、是否按照采购人要求实施、是否按照采购人要求提供相关培训、是否在规定时间内完成工作。 3.验收标准：服务内容和质量最终验收达不到采购文件要求和响应文件承诺的，或在项目实施中发现采购人不能容忍的缺陷等，将视为验收不合格，供应商应在采购人要求的时间内无条件免费进行整改。 4.验收依据：（1）合同文本（2）国内相应的标准、规范（3）磋商文件、响应文件、响应承诺及澄清函。验收合格后，填写验收单，双方签字生效。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其他，12月底之前，达到付款条件起10个工作日内，支付合同总金额的50.0%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1.本项目采用合同总价报价，合同总价一次性包死，不受市场价格变化等因素的影响。 2.为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纸质版响应文件递交截止时间同开标截止时间，递交地点为西安市经济技术开发区凤城3路3号巍然大厦1号楼B座6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本项目不接受联合体磋商，提供非联合体磋商声明；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磋商响应报价表.docx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磋商响应报价表.docx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符合采购文件商务条款，无重大保留或偏差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响应承诺书.docx 供应商认为有必要说明的其他资料.docx 响应函 服务偏离表.docx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项目理解、重难点分析</w:t>
            </w:r>
          </w:p>
        </w:tc>
        <w:tc>
          <w:tcPr>
            <w:tcW w:type="dxa" w:w="2492"/>
          </w:tcPr>
          <w:p>
            <w:pPr>
              <w:pStyle w:val="null3"/>
            </w:pPr>
            <w:r>
              <w:rPr>
                <w:rFonts w:ascii="仿宋_GB2312" w:hAnsi="仿宋_GB2312" w:cs="仿宋_GB2312" w:eastAsia="仿宋_GB2312"/>
              </w:rPr>
              <w:t>针对本项目提供项目理解、重难点分析，包括但不限于①项目背景、项目需求理解、项目需求分析、项目目标；②项目重点难点分析、应对措施。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整体服务措施</w:t>
            </w:r>
          </w:p>
        </w:tc>
        <w:tc>
          <w:tcPr>
            <w:tcW w:type="dxa" w:w="2492"/>
          </w:tcPr>
          <w:p>
            <w:pPr>
              <w:pStyle w:val="null3"/>
            </w:pPr>
            <w:r>
              <w:rPr>
                <w:rFonts w:ascii="仿宋_GB2312" w:hAnsi="仿宋_GB2312" w:cs="仿宋_GB2312" w:eastAsia="仿宋_GB2312"/>
              </w:rPr>
              <w:t>针对本项目提供整体服务措施，包括但不限于①总体服务方案；②工作流程；③服务能力；④项目进度安排方案；⑤项目实施科学方案。 评审标准：方案各部分内容全面详细、阐述条理清晰详尽、符合本项目采购需求，能保障本项目实施得15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项目人员管理制度</w:t>
            </w:r>
          </w:p>
        </w:tc>
        <w:tc>
          <w:tcPr>
            <w:tcW w:type="dxa" w:w="2492"/>
          </w:tcPr>
          <w:p>
            <w:pPr>
              <w:pStyle w:val="null3"/>
            </w:pPr>
            <w:r>
              <w:rPr>
                <w:rFonts w:ascii="仿宋_GB2312" w:hAnsi="仿宋_GB2312" w:cs="仿宋_GB2312" w:eastAsia="仿宋_GB2312"/>
              </w:rPr>
              <w:t>针对本项目人员管理制度，包括但不限于①人员管理制度（入职与异动管理、考勤与休假管理、人才储备及行为规范等）；②内控制度（组织机构、内部管理制度、监督机制、投诉处理等）；③岗位制度（岗位职责、服务标准、作业流程等）；④招聘制度；⑤薪酬绩效管理制度；⑥人员培训制度。 评审标准：方案各部分内容全面详细、阐述条理清晰详尽、符合本项目采购需求，能保障本项目实施得18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针对本项目提供服务质量保障措施，包括但不限于①案件信息录入正确率保障；②案件信息录入及时性、完整性保障。③群众满意度保障措施。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1、项目团队人员每具有一个法律、法学、信息化、档案专业本科（含）及以上学历的，得1分，满分5分； 2、项目团队中每有1人具有法律、法学、信息化、档案专业中级及以上职称证书或法律职业资格证书的，得2分，满分4分； 注：未提供或提供不全等其他情况的不得分。人员须提供单位近半年内任意1个月社保缴纳证明材料。</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针对本项目提供项目团队人员配备方案，包括但不限于：①项目服务团队架构；（包含但不限于人员数量、年龄、经验等）②项目人员岗位划分及职责；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针对本项目提供针对性的应急预案，包括但不限于： ①人员流失、劳动纠纷应急预案；②系统故障应急预案；③材料丢失/损毁应急预案；④突发投诉应急预案。 评审标准：方案各部分内容全面详细、阐述条理清晰详尽、符合本项目采购需求，能保障本项目实施得6分；评审内容每缺一项扣1.5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保密措施方案</w:t>
            </w:r>
          </w:p>
        </w:tc>
        <w:tc>
          <w:tcPr>
            <w:tcW w:type="dxa" w:w="2492"/>
          </w:tcPr>
          <w:p>
            <w:pPr>
              <w:pStyle w:val="null3"/>
            </w:pPr>
            <w:r>
              <w:rPr>
                <w:rFonts w:ascii="仿宋_GB2312" w:hAnsi="仿宋_GB2312" w:cs="仿宋_GB2312" w:eastAsia="仿宋_GB2312"/>
              </w:rPr>
              <w:t>针对本项目提供完善的保密措施方案，包括但不限于：①案件信息保密方案；②材料泄露保密方案；③人员保密制度及保密培训； 评审标准：方案各部分内容全面详细、阐述条理清晰详尽、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针对本项目提供服务承诺方案，包括但不限于：①管理人员风险承诺；②人员补充时效性响应承诺；③服务质量保证承诺。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供应商提供2023年5月1日至今类似业绩（以合同签订日期为准），每提供1个得2分，满分6分。 注：业绩证明材料以合同的复印件或扫描件加盖公章为准，复印件或扫描件必须清晰体现签约主体和日期、项目名称及内容、合同金额等核心要素，否则不计为有效业绩。</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详见附件：响应承诺书.docx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