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版本号：XHZB-26-08120260819006</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笼式足球场新改建项目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XHZB-26-081</w:t>
      </w:r>
      <w:r>
        <w:br/>
      </w:r>
      <w:r>
        <w:br/>
      </w:r>
      <w:r>
        <w:br/>
      </w:r>
    </w:p>
    <w:p>
      <w:pPr>
        <w:pStyle w:val="null3"/>
        <w:jc w:val="center"/>
        <w:outlineLvl w:val="2"/>
      </w:pPr>
      <w:r>
        <w:rPr>
          <w:rFonts w:ascii="仿宋_GB2312" w:hAnsi="仿宋_GB2312" w:cs="仿宋_GB2312" w:eastAsia="仿宋_GB2312"/>
          <w:sz w:val="28"/>
          <w:b/>
        </w:rPr>
        <w:t>汉中市汉台区体育运动中心</w:t>
      </w:r>
    </w:p>
    <w:p>
      <w:pPr>
        <w:pStyle w:val="null3"/>
        <w:jc w:val="center"/>
        <w:outlineLvl w:val="2"/>
      </w:pPr>
      <w:r>
        <w:rPr>
          <w:rFonts w:ascii="仿宋_GB2312" w:hAnsi="仿宋_GB2312" w:cs="仿宋_GB2312" w:eastAsia="仿宋_GB2312"/>
          <w:sz w:val="28"/>
          <w:b/>
        </w:rPr>
        <w:t>信宏工程咨询有限公司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信宏工程咨询有限公司</w:t>
      </w:r>
      <w:r>
        <w:rPr>
          <w:rFonts w:ascii="仿宋_GB2312" w:hAnsi="仿宋_GB2312" w:cs="仿宋_GB2312" w:eastAsia="仿宋_GB2312"/>
        </w:rPr>
        <w:t>（以下简称“代理机构”）受</w:t>
      </w:r>
      <w:r>
        <w:rPr>
          <w:rFonts w:ascii="仿宋_GB2312" w:hAnsi="仿宋_GB2312" w:cs="仿宋_GB2312" w:eastAsia="仿宋_GB2312"/>
        </w:rPr>
        <w:t>汉中市汉台区体育运动中心</w:t>
      </w:r>
      <w:r>
        <w:rPr>
          <w:rFonts w:ascii="仿宋_GB2312" w:hAnsi="仿宋_GB2312" w:cs="仿宋_GB2312" w:eastAsia="仿宋_GB2312"/>
        </w:rPr>
        <w:t>委托，拟对</w:t>
      </w:r>
      <w:r>
        <w:rPr>
          <w:rFonts w:ascii="仿宋_GB2312" w:hAnsi="仿宋_GB2312" w:cs="仿宋_GB2312" w:eastAsia="仿宋_GB2312"/>
        </w:rPr>
        <w:t>笼式足球场新改建项目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XHZB-26-081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笼式足球场新改建项目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笼式足球场新改建项目，详见工程量清单。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采购包1（笼式足球场新改建项目）：属于专门面向中小企业采购。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项目经理资质要求：①供应商须具有建设行政主管部门颁发的市政公用工程施工总承包三级及以上资质，具有有效的安全生产许可证；②拟派项目经理须具有市政公用工程专业注册建造师二级及以上资格和安全生产考核合格B证，且无在建项目；③企业基本信息及项目经理的基本信息在“陕西建设网-陕西省建筑市场监管与诚信信息发布平台”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汉中市汉台区体育运动中心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汉中市汉台区虎桥西路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汉中市汉台区体育运动中心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15129163134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信宏工程咨询有限公司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陕西省西安市雁塔区西安曲江新区雁塔南路金辉环球中心C座514室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15691605558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采购包1：983,200.00元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参照原《招标代理服务收费管理暂行办法》、《招标代理服务收费有关问题的通知》（发改办价格[2003]857号）和《降低部分建设项目收费标准规范收费行为等有关问题的通知》（发改价格[2011]534号）文件的相关规定。 2、采购代理服务费的缴纳方式：在领取《成交通知书》时向采购代理机构一次性全额缴纳采购代理服务费。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汉中市汉台区体育运动中心</w:t>
      </w:r>
      <w:r>
        <w:rPr>
          <w:rFonts w:ascii="仿宋_GB2312" w:hAnsi="仿宋_GB2312" w:cs="仿宋_GB2312" w:eastAsia="仿宋_GB2312"/>
        </w:rPr>
        <w:t>和</w:t>
      </w:r>
      <w:r>
        <w:rPr>
          <w:rFonts w:ascii="仿宋_GB2312" w:hAnsi="仿宋_GB2312" w:cs="仿宋_GB2312" w:eastAsia="仿宋_GB2312"/>
        </w:rPr>
        <w:t>信宏工程咨询有限公司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汉中市汉台区体育运动中心</w:t>
      </w:r>
      <w:r>
        <w:rPr>
          <w:rFonts w:ascii="仿宋_GB2312" w:hAnsi="仿宋_GB2312" w:cs="仿宋_GB2312" w:eastAsia="仿宋_GB2312"/>
        </w:rPr>
        <w:t>负责解释。除上述磋商文件内容，其他内容由</w:t>
      </w:r>
      <w:r>
        <w:rPr>
          <w:rFonts w:ascii="仿宋_GB2312" w:hAnsi="仿宋_GB2312" w:cs="仿宋_GB2312" w:eastAsia="仿宋_GB2312"/>
        </w:rPr>
        <w:t>信宏工程咨询有限公司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汉中市汉台区体育运动中心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信宏工程咨询有限公司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依据合同签订时国家及行业现行的标准和技术规范。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联系人：马蕊</w:t>
      </w:r>
    </w:p>
    <w:p>
      <w:pPr>
        <w:pStyle w:val="null3"/>
      </w:pPr>
      <w:r>
        <w:rPr>
          <w:rFonts w:ascii="仿宋_GB2312" w:hAnsi="仿宋_GB2312" w:cs="仿宋_GB2312" w:eastAsia="仿宋_GB2312"/>
        </w:rPr>
        <w:t>联系电话：15691605558</w:t>
      </w:r>
    </w:p>
    <w:p>
      <w:pPr>
        <w:pStyle w:val="null3"/>
      </w:pPr>
      <w:r>
        <w:rPr>
          <w:rFonts w:ascii="仿宋_GB2312" w:hAnsi="仿宋_GB2312" w:cs="仿宋_GB2312" w:eastAsia="仿宋_GB2312"/>
        </w:rPr>
        <w:t>地址：陕西省西安市雁塔区西安曲江新区雁塔南路金辉环球中心C座514室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983,200.00</w:t>
      </w:r>
    </w:p>
    <w:p>
      <w:pPr>
        <w:pStyle w:val="null3"/>
      </w:pPr>
      <w:r>
        <w:rPr>
          <w:rFonts w:ascii="仿宋_GB2312" w:hAnsi="仿宋_GB2312" w:cs="仿宋_GB2312" w:eastAsia="仿宋_GB2312"/>
        </w:rPr>
        <w:t>采购包最高限价（元）: 955,165.13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983,200.00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具体详见工程量清单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工程质量等级达到合格或以上标准。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（一）工期：60日 （二）施工地点：汉中市汉台区体育运动中心 （三）质量保修范围和保修期：自甲方最终验收合格之日起不少于2年。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领取成交通知书时，提交纸质响应文件正本壹份、副本贰份、电子版贰份（U盘壹份注明单位名称），内容和通过电子化交易平台实施的政府采购项目提交的响应文件一致。纸质响应文件正副本分别胶装（响应文件建议采用双面打印）。3、本项目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（1）供应商为具有独立承担民事责任能力的企业法人、负责人或其他组织或自然人，并出具有效的营业执照（事业法人证）或证明文件或自然人的身份证明； （2）根据汉财办采管〔2024〕20号的文件要求，供应商只需在资格审查环节提供满足相应条件的资格承诺函（式样见响应文件格式），不再需要提供以下证明资料：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响应文件-资格.docx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(1)法定代表人（负责人）参加磋商的：法定代表人（负责人）身份证明及身份证 (2)授权代表参加磋商的：授权委托书及授权代表身份证</w:t>
            </w:r>
          </w:p>
        </w:tc>
        <w:tc>
          <w:tcPr>
            <w:tcW w:type="dxa" w:w="1661"/>
          </w:tcPr>
          <w:p>
            <w:pPr>
              <w:pStyle w:val="null3"/>
            </w:pPr>
            <w:r>
              <w:rPr>
                <w:rFonts w:ascii="仿宋_GB2312" w:hAnsi="仿宋_GB2312" w:cs="仿宋_GB2312" w:eastAsia="仿宋_GB2312"/>
              </w:rPr>
              <w:t>响应文件-资格.docx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企业、项目经理资质要求</w:t>
            </w:r>
          </w:p>
        </w:tc>
        <w:tc>
          <w:tcPr>
            <w:tcW w:type="dxa" w:w="3322"/>
          </w:tcPr>
          <w:p>
            <w:pPr>
              <w:pStyle w:val="null3"/>
            </w:pPr>
            <w:r>
              <w:rPr>
                <w:rFonts w:ascii="仿宋_GB2312" w:hAnsi="仿宋_GB2312" w:cs="仿宋_GB2312" w:eastAsia="仿宋_GB2312"/>
              </w:rPr>
              <w:t>①供应商须具有建设行政主管部门颁发的市政公用工程施工总承包三级及以上资质，具有有效的安全生产许可证；②拟派项目经理须具有市政公用工程专业注册建造师二级及以上资格和安全生产考核合格B证，且无在建项目；③企业基本信息及项目经理的基本信息在“陕西建设网-陕西省建筑市场监管与诚信信息发布平台”可查询。</w:t>
            </w:r>
          </w:p>
        </w:tc>
        <w:tc>
          <w:tcPr>
            <w:tcW w:type="dxa" w:w="1661"/>
          </w:tcPr>
          <w:p>
            <w:pPr>
              <w:pStyle w:val="null3"/>
            </w:pPr>
            <w:r>
              <w:rPr>
                <w:rFonts w:ascii="仿宋_GB2312" w:hAnsi="仿宋_GB2312" w:cs="仿宋_GB2312" w:eastAsia="仿宋_GB2312"/>
              </w:rPr>
              <w:t>响应文件-资格.docx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技术方案.docx 报价函 技术服务合同条款及其他商务要求应答表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技术方案.docx 报价函 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自甲方最终验收合格之日起不少于2年</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磋商总报价</w:t>
            </w:r>
          </w:p>
        </w:tc>
        <w:tc>
          <w:tcPr>
            <w:tcW w:type="dxa" w:w="3322"/>
          </w:tcPr>
          <w:p>
            <w:pPr>
              <w:pStyle w:val="null3"/>
            </w:pPr>
            <w:r>
              <w:rPr>
                <w:rFonts w:ascii="仿宋_GB2312" w:hAnsi="仿宋_GB2312" w:cs="仿宋_GB2312" w:eastAsia="仿宋_GB2312"/>
              </w:rPr>
              <w:t>报价唯一，且未超过最高限价。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响应文件封面 项目管理机构组成表 残疾人福利性单位声明函 响应文件-资格.docx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响应文件封面 项目管理机构组成表 残疾人福利性单位声明函 响应文件-资格.docx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机械设备、机具准备③施工平面布置与安排：现场围挡及出入口管理、交通组织安排、消防及道路安排、施工平面布置图。 二、评审标准 1、完整性：方案必须全面，对评审内容中的各项要求有详细描述； 2、可实施性：切合本项目实际情况，提出步骤清晰、合理的方案； 3、针对性：方案能够紧扣项目实际情况，内容科学合理。 三、赋分标准（针对每条评审标准，如存在不合理的方面扣0.5分） ①施工目标：每完全满足一个评审标准得0.5分，满分1.5分； ②施工准备：每完全满足一个评审标准得0.5分，满分1.5分； ③施工平面布置与安排：每完全满足一个评审标准得0.5分，满分1.5分。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施工总进度计划</w:t>
            </w:r>
          </w:p>
        </w:tc>
        <w:tc>
          <w:tcPr>
            <w:tcW w:type="dxa" w:w="2492"/>
          </w:tcPr>
          <w:p>
            <w:pPr>
              <w:pStyle w:val="null3"/>
            </w:pPr>
            <w:r>
              <w:rPr>
                <w:rFonts w:ascii="仿宋_GB2312" w:hAnsi="仿宋_GB2312" w:cs="仿宋_GB2312" w:eastAsia="仿宋_GB2312"/>
              </w:rPr>
              <w:t>一、评审内容 供应商编制完善的施工总进度计划，内容包含：①施工总进度：施工进度目标和施工总进度计划表②施工进度保障措施。 二、评审标准 1、完整性：方案须全面，对评审内容中的各项要求有详细描述及说明； 2、可实施性：切合本项目实际情况，实施步骤清晰、合理； 3、针对性：方案能够紧扣项目实际情况，内容科学合理。 三、赋分标准（针对每条评审标准，如存在不合理的方面扣0.5分） ①施工总进度：每完全满足一个评审标准得0.5分，满分1.5分； ②施工进度保障措施：每完全满足一个评审标准得0.5分，满分1.5分。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 3、针对性：方案能够紧扣项目实际情况，内容科学合理。 三、赋分标准（针对每条评审标准，如存在不合理的方面扣0.5分） ①质量管理目标：每完全满足一个评审标准得0.5分，满分1.5分； ②施工质量保障措施：每完全满足一个评审标准得1分，满分3分； ③施工质量检验制度：每完全满足一个评审标准得0.5分，满分1.5分。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三、赋分标准（针对每条评审标准，如存在不合理的方面扣0.5分） ①安全管理制度：每完全满足一个评审标准得0.5分，满分1.5分； ②安全责任归属划分：每完全满足一个评审标准得0.5分，满1.5分； ③安全标识：每完全满足一个评审标准得0.5分，满分1.5分； ④安全教育培训：每完全满足一个评审标准得0.5分，满分1.5分。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 3、针对性：方案能够紧扣项目实际情况，内容科学合理。 三、赋分标准（针对每条评审标准，如存在不合理的方面扣0.5分） ①材料、半成品和机具的堆放管理：每完全满足一个评审标准得0.5分，满分1.5分； ②文明施工检查措施：每完全满足一个评审标准得0.5分，满分1.5分。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三、赋分标准（针对每条评审标准，如存在不合理的方面扣0.5分） ①噪音控制措施：每完全满足一个评审标准0.5分，满分1.5分； ②防尘及扬尘的控制措施：每完全满足一个评审标准得0.5分，满分1.5分。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供应商针对本项目编制主要管理措施，内容包含：①分部分项工程施工方法②成品保护措施③季节性施工措施④工程重难点及解决措施⑤施工质量通病防治措施⑥为完成本项目所涉及的所有应急方案。 二、评审标准 1、完整性：方案须全面，对评审内容中的各项要求有详细描述及说明； 2、可实施性：切合本项目实际情况，实施步骤清晰、合理； 3、针对性：方案能够紧扣项目实际情况，内容科学合理。 三、赋分标准（针对每条评审标准，如存在不合理的方面扣0.5分） ①分部分项工程施工方法：每完全满足一个评审标准得1分，满分3分； ②成品保护措施：每完全满足一个评审标准得0.5分，满分1.5分； ③季节性施工措施：每完全满足一个评审标准得0.5分，满1.5分； ④工程重难点及解决措施：每完全满足一个评审标准得0.5分，满分1.5分； ⑤施工质量通病防治措施：每完全满足一个评审标准得0.5分，满分1.5分。 ⑥为完成本项目所涉及的所有应急方案：每完全满足一个评审标准得0.5分，满分1.5分。</w:t>
            </w:r>
          </w:p>
        </w:tc>
        <w:tc>
          <w:tcPr>
            <w:tcW w:type="dxa" w:w="831"/>
          </w:tcPr>
          <w:p>
            <w:pPr>
              <w:pStyle w:val="null3"/>
              <w:jc w:val="right"/>
            </w:pPr>
            <w:r>
              <w:rPr>
                <w:rFonts w:ascii="仿宋_GB2312" w:hAnsi="仿宋_GB2312" w:cs="仿宋_GB2312" w:eastAsia="仿宋_GB2312"/>
              </w:rPr>
              <w:t>10.5000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1、学历要求（满分2分）项目经理具有大专学历得1分；具有本科及以上学历得2分。（取最高学历计分，不重复计分） 赋分依据：须提供学信网经查证的《教育部学历证书电子注册备案表》，不提供或不满足学历要求不得分。 2、经验要求（满分3分） 具有3年工程建设相关管理经验得1分，每增加一年工程建设相关管理经验额外增加1分，最多增加2分，满分3分。 赋分依据：需提供建设单位加盖公章的项目经理管理经验证明材料，不提供或不能证明的不得分。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提供针对本项目拟派的人员（施工员、质量员、安全员、材料员、资料员）配备清单（至少包含具体成员姓名、年龄、学历、职业资格证书、从业工作年限、岗位），每个人员得1分，满分5分。缺项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落实政府采购政策</w:t>
            </w:r>
          </w:p>
        </w:tc>
        <w:tc>
          <w:tcPr>
            <w:tcW w:type="dxa" w:w="2492"/>
          </w:tcPr>
          <w:p>
            <w:pPr>
              <w:pStyle w:val="null3"/>
            </w:pPr>
            <w:r>
              <w:rPr>
                <w:rFonts w:ascii="仿宋_GB2312" w:hAnsi="仿宋_GB2312" w:cs="仿宋_GB2312" w:eastAsia="仿宋_GB2312"/>
              </w:rPr>
              <w:t>本工程项目的主要材料与设备需要落实政府采购政策（优先采购或强制采购）的，对符合规定条件的供应商，按下列情形加分： 主要材料与设备为节能产品的0--1分，每种产品得0.5分，最高得1分，没有不得分；属强制节能产品的不再得分，未提供该产品的按无效响应文件处理。 主要材料与设备为环境标志产品的0--1分，每种产品得0.5分，最高得1分，没有不得分。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根据项目实际需求提供售后服务方案。内容包含：①售后服务范围及保障措施②故障处理时限与措施③故障补救时限与措施④定期回访维护及培训措施。 一、评审标准 1.完整性：方案须全面，对评审内容中的各项要求有详细描述； 2.可实施性：切合本项目实际情况，提出步骤清晰、合理的方案； 3.针对性：方案能够紧扣项目实际情况，内容科学合理。 二、赋分依据（针对每条评审标准，如存在不合理的方面扣0.5分） ①售后服务范围及保障措施：每完全满足一个评审标准得0.5分，满分1.5分； ②故障处理时限与措施：每完全满足一个评审标准得0.5分，满分1.5分； ③故障补救时限与措施：每完全满足一个评审标准得0.5分，满分1.5分； ④定期回访维护及培训措施：每完全满足一个评审标准得0.5分，满分1.5分。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针对本项目提供资源配置计划，内容包括①拟投入的主要施工机械设备计划②主要材料进场计划③劳动力投入计划。 二、评审标准 1、完整性：方案须全面，对评审内容中的各项要求有详细描述及说明； 2、可实施性：切合本项目实际情况，实施步骤清晰、合理； 3、针对性：方案能够紧扣项目实际情况，内容科学合理。 三、赋分标准（针对每条评审标准，如存在不合理的方面扣0.5分） ①拟投入的主要施工机械设备计划：每完全满足一个评审标准得1分，满分3分； ②主要材料进场计划：每完全满足一个评审标准得1分，满分3分； ③劳动力投入计划：每完全满足一个评审标准得1分，满分3分。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材料质量保证方案</w:t>
            </w:r>
          </w:p>
        </w:tc>
        <w:tc>
          <w:tcPr>
            <w:tcW w:type="dxa" w:w="2492"/>
          </w:tcPr>
          <w:p>
            <w:pPr>
              <w:pStyle w:val="null3"/>
            </w:pPr>
            <w:r>
              <w:rPr>
                <w:rFonts w:ascii="仿宋_GB2312" w:hAnsi="仿宋_GB2312" w:cs="仿宋_GB2312" w:eastAsia="仿宋_GB2312"/>
              </w:rPr>
              <w:t>一、评审内容 根据项目实际需求，提供质量保证方案。内容包含：材料的性能、使用寿命及效果。 二、评审标准 1、完整性：方案须全面，对评审内容中的各项要求有详细描述； 2、可实施性：切合本项目实际情况，实施步骤清晰、合理； 3、针对性：方案能够紧扣项目实际情况，内容科学合理。 三、赋分依据（针对每条评审标准，如存在不合理的方面扣0.5分） 材料的性能、使用寿命及效果：每完全满足一个评审标准得1分，满分3分。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以来（以合同签订时间为准）的同类项目业绩，每提供一个业绩得1分，最多得4分，没有不得分；（注：响应文件中提供中标通知书或合同扫描件，若合同中无法体现签订时间、合同金额、项目内容的，须另附证明等相关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最后磋商报价为有效磋商报价，满足磋商文件要求且磋商价格最低的最后磋商报价为评标基准价,其价格分为满分。价格分按照下列公式计算。磋商报价得分=（评标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详见附件：响应文件-资格.docx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