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版本号：GXZB2026-044Z20260509001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“三区两带”困难立地植被恢复项目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GXZB2026-044Z</w:t>
      </w:r>
      <w:r>
        <w:br/>
      </w:r>
      <w:r>
        <w:br/>
      </w:r>
      <w:r>
        <w:br/>
      </w:r>
    </w:p>
    <w:p>
      <w:pPr>
        <w:pStyle w:val="null3"/>
        <w:jc w:val="center"/>
        <w:outlineLvl w:val="2"/>
      </w:pPr>
      <w:r>
        <w:rPr>
          <w:rFonts w:ascii="仿宋_GB2312" w:hAnsi="仿宋_GB2312" w:cs="仿宋_GB2312" w:eastAsia="仿宋_GB2312"/>
          <w:sz w:val="28"/>
          <w:b/>
        </w:rPr>
        <w:t>西安市鄠邑秦岭生态环境保护和综合执法局（区林业局）</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西安市鄠邑秦岭生态环境保护和综合执法局（区林业局）</w:t>
      </w:r>
      <w:r>
        <w:rPr>
          <w:rFonts w:ascii="仿宋_GB2312" w:hAnsi="仿宋_GB2312" w:cs="仿宋_GB2312" w:eastAsia="仿宋_GB2312"/>
        </w:rPr>
        <w:t>委托，拟对</w:t>
      </w:r>
      <w:r>
        <w:rPr>
          <w:rFonts w:ascii="仿宋_GB2312" w:hAnsi="仿宋_GB2312" w:cs="仿宋_GB2312" w:eastAsia="仿宋_GB2312"/>
        </w:rPr>
        <w:t>“三区两带”困难立地植被恢复项目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GXZB2026-044Z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“三区两带”困难立地植被恢复项目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“三区两带”困难立地植被恢复项目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采购包1（“三区两带”困难立地植被恢复项目）：属于专门面向中小企业采购。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身份证明/法定代表人（或负责人）授权委托书：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3、供应商提供参与磋商的承诺函：合竞争性磋商文件要求。</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西安市鄠邑秦岭生态环境保护和综合执法局（区林业局）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鄠邑区沣京路42号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029-84886169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 B 座 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张景伟、高丹、孙翠、张晓筱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参照参照国家计委颁发的《招标代理服务收费管理暂行办法》（计价格[2002]1980号）和国家发展和改革委员会办公厅颁发的《关于招标代理服务收费有关问题的通知》（发改办价格[2003]857号）的有关规定标准下浮20%，不足捌仟的按捌仟元收取，由中标（成交）单位在领取中标（成交）通知书前一次性向乙方支付。2、成交单位在领取成交通知书之前，须向采购代理机构支付招标代理服务费。 招标代理服务费以转账或现金形式缴纳至以下账户： 开户名称：陕西国信招标有限公司 开户银行：西安银行股份有限公司咸宁中路支行 账号：4120 1158 00000 61474 备 注：转账时请注明项目编号信息“GXZB2026- 项目招标代理服务费”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西安市鄠邑秦岭生态环境保护和综合执法局（区林业局）</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西安市鄠邑秦岭生态环境保护和综合执法局（区林业局）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西安市鄠邑秦岭生态环境保护和综合执法局（区林业局）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联系人：张景伟、高丹、孙翠、张晓筱</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 B 座 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1,921,513.27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三区两带困难立地植被恢复</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标的名称：三区两带困难立地植被恢复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both"/>
            </w:pPr>
            <w:r>
              <w:rPr>
                <w:rFonts w:ascii="仿宋_GB2312" w:hAnsi="仿宋_GB2312" w:cs="仿宋_GB2312" w:eastAsia="仿宋_GB2312"/>
                <w:sz w:val="21"/>
              </w:rPr>
              <w:t>一、项目概况</w:t>
            </w:r>
          </w:p>
          <w:p>
            <w:pPr>
              <w:pStyle w:val="null3"/>
              <w:spacing w:before="120" w:after="120"/>
              <w:jc w:val="both"/>
            </w:pPr>
            <w:r>
              <w:rPr>
                <w:rFonts w:ascii="仿宋_GB2312" w:hAnsi="仿宋_GB2312" w:cs="仿宋_GB2312" w:eastAsia="仿宋_GB2312"/>
                <w:sz w:val="21"/>
              </w:rPr>
              <w:t xml:space="preserve">  本项目主要包括：道路绿化和河流绿化。道路绿化涉及永保路、东西一号路、围棋寨路1、2、3、南北四号路、涝机路、南北三号路、108引线道路、东西三号路道路两侧绿化，河流绿化涉及涝惠渠、甘河河流两侧绿化。项目区总面积523亩，可作业长度146966米，可作业面积500亩。共计栽植各类苗木25007株，水杉、海棠、黄杨球、木槿、大叶女贞、七叶树1、七叶树2、银杏、石楠、国槐、栾树、樱花、白蜡、枇杷、紫薇、古桩月季、杨树、红叶李、贴梗海棠、石楠球等。其中：道路绿化可作业面积387亩，共设计栽植水杉、海棠、七叶树、贴梗海棠、国槐、红叶李、白蜡苗木22830株；河流绿化可作业面积113亩，共设计栽植枇杷、海棠、七叶树1、银杏、国槐、紫薇、黄杨球、石楠等各类苗木2177株。</w:t>
            </w:r>
          </w:p>
          <w:p>
            <w:pPr>
              <w:pStyle w:val="null3"/>
              <w:spacing w:before="120" w:after="120"/>
              <w:jc w:val="both"/>
            </w:pPr>
            <w:r>
              <w:rPr>
                <w:rFonts w:ascii="仿宋_GB2312" w:hAnsi="仿宋_GB2312" w:cs="仿宋_GB2312" w:eastAsia="仿宋_GB2312"/>
                <w:sz w:val="21"/>
              </w:rPr>
              <w:t>二、工程内容和施工地点、计划工期、养护期</w:t>
            </w:r>
          </w:p>
          <w:p>
            <w:pPr>
              <w:pStyle w:val="null3"/>
              <w:spacing w:before="120" w:after="120"/>
              <w:jc w:val="both"/>
            </w:pPr>
            <w:r>
              <w:rPr>
                <w:rFonts w:ascii="仿宋_GB2312" w:hAnsi="仿宋_GB2312" w:cs="仿宋_GB2312" w:eastAsia="仿宋_GB2312"/>
                <w:sz w:val="21"/>
              </w:rPr>
              <w:t>（一）工程内容：本项目主要包括：道路绿化和河流绿化。道路绿化涉及永保路、东西一号路、围棋寨路1、2、3、南北四号路、涝机路、南北三号路、108引线道路、东西三号路道路两侧绿化，河流绿化涉及涝惠渠、甘河河流两侧绿化。项目区总面积523亩，可作业长度146966米，可作业面积500亩。共计栽植各类苗木25007株。</w:t>
            </w:r>
          </w:p>
          <w:p>
            <w:pPr>
              <w:pStyle w:val="null3"/>
              <w:spacing w:before="120" w:after="120"/>
              <w:jc w:val="both"/>
            </w:pPr>
            <w:r>
              <w:rPr>
                <w:rFonts w:ascii="仿宋_GB2312" w:hAnsi="仿宋_GB2312" w:cs="仿宋_GB2312" w:eastAsia="仿宋_GB2312"/>
                <w:sz w:val="21"/>
              </w:rPr>
              <w:t>（二）工程地点：项目区位于鄠邑区，选取石井街办涝惠渠、祖庵街办甘河、涝店街办永保路、东西一号路、东西三号路、南北四号路、南北三号路、甘河街办围棋寨路1、2、3、甘亭街办和涝店街办涝机路、甘亭街办108引线道路十二个地点开展绿化作业。</w:t>
            </w:r>
          </w:p>
          <w:p>
            <w:pPr>
              <w:pStyle w:val="null3"/>
              <w:spacing w:before="120" w:after="120"/>
              <w:jc w:val="both"/>
            </w:pPr>
            <w:r>
              <w:rPr>
                <w:rFonts w:ascii="仿宋_GB2312" w:hAnsi="仿宋_GB2312" w:cs="仿宋_GB2312" w:eastAsia="仿宋_GB2312"/>
                <w:sz w:val="21"/>
              </w:rPr>
              <w:t>（1）道路绿化</w:t>
            </w:r>
          </w:p>
          <w:p>
            <w:pPr>
              <w:pStyle w:val="null3"/>
              <w:spacing w:before="120" w:after="120"/>
              <w:jc w:val="both"/>
            </w:pPr>
            <w:r>
              <w:rPr>
                <w:rFonts w:ascii="仿宋_GB2312" w:hAnsi="仿宋_GB2312" w:cs="仿宋_GB2312" w:eastAsia="仿宋_GB2312"/>
                <w:sz w:val="21"/>
              </w:rPr>
              <w:t xml:space="preserve">  道路绿化涉及永保路、东西一号路、围棋寨路1、2、3、南北四号路、涝机路、南北三号路、108引线道路、东西三号路道路两侧绿化，可作业长度146966米，可作业面积387亩，共设计栽植水杉、海棠、黄杨球、贴梗海棠、木槿、大叶女贞、七叶树2、石楠、栾树、樱花、白蜡、枇杷、紫薇、古桩月季、杨树、红叶李苗木22830株。</w:t>
            </w:r>
          </w:p>
          <w:p>
            <w:pPr>
              <w:pStyle w:val="null3"/>
              <w:spacing w:before="120" w:after="120"/>
              <w:jc w:val="both"/>
            </w:pPr>
            <w:r>
              <w:rPr>
                <w:rFonts w:ascii="仿宋_GB2312" w:hAnsi="仿宋_GB2312" w:cs="仿宋_GB2312" w:eastAsia="仿宋_GB2312"/>
                <w:sz w:val="21"/>
              </w:rPr>
              <w:t xml:space="preserve">  永保路可作业长度5370米，可作业面积20亩，共设计栽植大叶女贞苗木100株，贴梗海棠1株。</w:t>
            </w:r>
          </w:p>
          <w:p>
            <w:pPr>
              <w:pStyle w:val="null3"/>
              <w:spacing w:before="120" w:after="120"/>
              <w:jc w:val="both"/>
            </w:pPr>
            <w:r>
              <w:rPr>
                <w:rFonts w:ascii="仿宋_GB2312" w:hAnsi="仿宋_GB2312" w:cs="仿宋_GB2312" w:eastAsia="仿宋_GB2312"/>
                <w:sz w:val="21"/>
              </w:rPr>
              <w:t>东西一号路可作业长度32053米，可作业面积95亩，共设计栽植苗木1209株，其中水杉苗木40株、海棠苗木1045株、黄杨球苗木54株、木槿苗木70株。</w:t>
            </w:r>
          </w:p>
          <w:p>
            <w:pPr>
              <w:pStyle w:val="null3"/>
              <w:spacing w:before="120" w:after="120"/>
              <w:jc w:val="both"/>
            </w:pPr>
            <w:r>
              <w:rPr>
                <w:rFonts w:ascii="仿宋_GB2312" w:hAnsi="仿宋_GB2312" w:cs="仿宋_GB2312" w:eastAsia="仿宋_GB2312"/>
                <w:sz w:val="21"/>
              </w:rPr>
              <w:t xml:space="preserve">  围棋寨路1可作业长度1342米，可作业面积7亩，共设计栽植海棠苗木130株。</w:t>
            </w:r>
          </w:p>
          <w:p>
            <w:pPr>
              <w:pStyle w:val="null3"/>
              <w:spacing w:before="120" w:after="120"/>
              <w:jc w:val="both"/>
            </w:pPr>
            <w:r>
              <w:rPr>
                <w:rFonts w:ascii="仿宋_GB2312" w:hAnsi="仿宋_GB2312" w:cs="仿宋_GB2312" w:eastAsia="仿宋_GB2312"/>
                <w:sz w:val="21"/>
              </w:rPr>
              <w:t xml:space="preserve">  围棋寨路2可作业长度1646米，可作业面积8亩，共设计栽植七叶树2号苗木100株。</w:t>
            </w:r>
          </w:p>
          <w:p>
            <w:pPr>
              <w:pStyle w:val="null3"/>
              <w:spacing w:before="120" w:after="120"/>
              <w:jc w:val="both"/>
            </w:pPr>
            <w:r>
              <w:rPr>
                <w:rFonts w:ascii="仿宋_GB2312" w:hAnsi="仿宋_GB2312" w:cs="仿宋_GB2312" w:eastAsia="仿宋_GB2312"/>
                <w:sz w:val="21"/>
              </w:rPr>
              <w:t xml:space="preserve">  围棋寨路3可作业长度1645米，可作业面积8亩，共设计栽植海棠苗木120株。</w:t>
            </w:r>
          </w:p>
          <w:p>
            <w:pPr>
              <w:pStyle w:val="null3"/>
              <w:spacing w:before="120" w:after="120"/>
              <w:jc w:val="both"/>
            </w:pPr>
            <w:r>
              <w:rPr>
                <w:rFonts w:ascii="仿宋_GB2312" w:hAnsi="仿宋_GB2312" w:cs="仿宋_GB2312" w:eastAsia="仿宋_GB2312"/>
                <w:sz w:val="21"/>
              </w:rPr>
              <w:t xml:space="preserve">  南北四号路可作业长度24437米，可作业面积80亩，共设计栽植苗木7642株，其中石楠苗木2020株、栾树苗木711株、大叶女贞苗木3644株、樱花苗木1267株。</w:t>
            </w:r>
          </w:p>
          <w:p>
            <w:pPr>
              <w:pStyle w:val="null3"/>
              <w:spacing w:before="120" w:after="120"/>
              <w:jc w:val="both"/>
            </w:pPr>
            <w:r>
              <w:rPr>
                <w:rFonts w:ascii="仿宋_GB2312" w:hAnsi="仿宋_GB2312" w:cs="仿宋_GB2312" w:eastAsia="仿宋_GB2312"/>
                <w:sz w:val="21"/>
              </w:rPr>
              <w:t xml:space="preserve">  涝机路可作业长度10546米，可作业面31亩，共设计栽植苗木510株，其中白蜡苗木30株、枇杷苗木245株、紫薇苗木235株。</w:t>
            </w:r>
          </w:p>
          <w:p>
            <w:pPr>
              <w:pStyle w:val="null3"/>
              <w:spacing w:before="120" w:after="120"/>
              <w:jc w:val="both"/>
            </w:pPr>
            <w:r>
              <w:rPr>
                <w:rFonts w:ascii="仿宋_GB2312" w:hAnsi="仿宋_GB2312" w:cs="仿宋_GB2312" w:eastAsia="仿宋_GB2312"/>
                <w:sz w:val="21"/>
              </w:rPr>
              <w:t xml:space="preserve">  南北三号路可作业长度12310米，可作业面积37亩，共设计栽植苗木4252株，其中古桩月季苗木14株、杨树苗木30株、海棠苗木1280株、大叶女贞苗木2928株。</w:t>
            </w:r>
          </w:p>
          <w:p>
            <w:pPr>
              <w:pStyle w:val="null3"/>
              <w:spacing w:before="120" w:after="120"/>
              <w:jc w:val="both"/>
            </w:pPr>
            <w:r>
              <w:rPr>
                <w:rFonts w:ascii="仿宋_GB2312" w:hAnsi="仿宋_GB2312" w:cs="仿宋_GB2312" w:eastAsia="仿宋_GB2312"/>
                <w:sz w:val="21"/>
              </w:rPr>
              <w:t xml:space="preserve">  108引线道路可作业长度9572米，可作业面29亩，共设计栽植大叶女贞苗木2680株。</w:t>
            </w:r>
          </w:p>
          <w:p>
            <w:pPr>
              <w:pStyle w:val="null3"/>
              <w:spacing w:before="120" w:after="120"/>
              <w:jc w:val="both"/>
            </w:pPr>
            <w:r>
              <w:rPr>
                <w:rFonts w:ascii="仿宋_GB2312" w:hAnsi="仿宋_GB2312" w:cs="仿宋_GB2312" w:eastAsia="仿宋_GB2312"/>
                <w:sz w:val="21"/>
              </w:rPr>
              <w:t xml:space="preserve">  东西三号路可作业长度23007米，可作业面积72亩，共设计栽植苗木6086株，其中海棠苗木858株、樱花苗木1385株、红叶李苗1130株、杨树苗木63株，大叶女贞苗木2650株。</w:t>
            </w:r>
          </w:p>
          <w:p>
            <w:pPr>
              <w:pStyle w:val="null3"/>
              <w:spacing w:before="120" w:after="120"/>
              <w:jc w:val="both"/>
            </w:pPr>
            <w:r>
              <w:rPr>
                <w:rFonts w:ascii="仿宋_GB2312" w:hAnsi="仿宋_GB2312" w:cs="仿宋_GB2312" w:eastAsia="仿宋_GB2312"/>
                <w:sz w:val="21"/>
              </w:rPr>
              <w:t>（2）河流绿化</w:t>
            </w:r>
          </w:p>
          <w:p>
            <w:pPr>
              <w:pStyle w:val="null3"/>
              <w:spacing w:before="120" w:after="120"/>
              <w:jc w:val="both"/>
            </w:pPr>
            <w:r>
              <w:rPr>
                <w:rFonts w:ascii="仿宋_GB2312" w:hAnsi="仿宋_GB2312" w:cs="仿宋_GB2312" w:eastAsia="仿宋_GB2312"/>
                <w:sz w:val="21"/>
              </w:rPr>
              <w:t xml:space="preserve">  河流绿化涉及涝惠渠、甘河河流两侧绿化。可作业长度25038米，作业面积113亩，共设计栽植枇杷、海棠、七叶树1、银杏、国槐、紫薇、黄杨球、石楠球等各类苗木2177株。</w:t>
            </w:r>
          </w:p>
          <w:p>
            <w:pPr>
              <w:pStyle w:val="null3"/>
              <w:spacing w:before="120" w:after="120"/>
              <w:jc w:val="both"/>
            </w:pPr>
            <w:r>
              <w:rPr>
                <w:rFonts w:ascii="仿宋_GB2312" w:hAnsi="仿宋_GB2312" w:cs="仿宋_GB2312" w:eastAsia="仿宋_GB2312"/>
                <w:sz w:val="21"/>
              </w:rPr>
              <w:t xml:space="preserve">  涝惠渠可作业长度10365米，可作业面积61亩，共设计栽植苗木2051株，其中海棠苗木802株，七叶树1号苗木100株，七叶树2号苗木302株、银杏苗木502株，国槐苗木345株。</w:t>
            </w:r>
          </w:p>
          <w:p>
            <w:pPr>
              <w:pStyle w:val="null3"/>
              <w:spacing w:before="120" w:after="120"/>
              <w:jc w:val="both"/>
            </w:pPr>
            <w:r>
              <w:rPr>
                <w:rFonts w:ascii="仿宋_GB2312" w:hAnsi="仿宋_GB2312" w:cs="仿宋_GB2312" w:eastAsia="仿宋_GB2312"/>
                <w:sz w:val="21"/>
              </w:rPr>
              <w:t xml:space="preserve">  甘河可作业长度14673米，可作业面积52亩，共设计栽植苗木126株，其中枇杷苗木16株、海棠苗木54株、紫薇苗木32株、黄杨球苗木9株、石楠球苗木15株。</w:t>
            </w:r>
          </w:p>
          <w:p>
            <w:pPr>
              <w:pStyle w:val="null3"/>
              <w:spacing w:before="120" w:after="120"/>
              <w:jc w:val="both"/>
            </w:pPr>
            <w:r>
              <w:rPr>
                <w:rFonts w:ascii="仿宋_GB2312" w:hAnsi="仿宋_GB2312" w:cs="仿宋_GB2312" w:eastAsia="仿宋_GB2312"/>
                <w:sz w:val="21"/>
              </w:rPr>
              <w:t>（三）计划工期：自进场之日起30个日历日内完成栽植，栽植结束后进行日常养护。</w:t>
            </w:r>
          </w:p>
          <w:p>
            <w:pPr>
              <w:pStyle w:val="null3"/>
              <w:spacing w:before="120" w:after="120"/>
              <w:jc w:val="both"/>
            </w:pPr>
            <w:r>
              <w:rPr>
                <w:rFonts w:ascii="仿宋_GB2312" w:hAnsi="仿宋_GB2312" w:cs="仿宋_GB2312" w:eastAsia="仿宋_GB2312"/>
                <w:sz w:val="21"/>
              </w:rPr>
              <w:t>（四）养护期：在项目建设栽植结束后，对所有苗木进行为期一年的日常养护。</w:t>
            </w:r>
          </w:p>
          <w:p>
            <w:pPr>
              <w:pStyle w:val="null3"/>
              <w:spacing w:before="120" w:after="120"/>
              <w:jc w:val="both"/>
            </w:pPr>
            <w:r>
              <w:rPr>
                <w:rFonts w:ascii="仿宋_GB2312" w:hAnsi="仿宋_GB2312" w:cs="仿宋_GB2312" w:eastAsia="仿宋_GB2312"/>
                <w:sz w:val="21"/>
              </w:rPr>
              <w:t>三、工程量清单和计价依据</w:t>
            </w:r>
          </w:p>
          <w:p>
            <w:pPr>
              <w:pStyle w:val="null3"/>
              <w:spacing w:before="120" w:after="120"/>
              <w:jc w:val="both"/>
            </w:pPr>
            <w:r>
              <w:rPr>
                <w:rFonts w:ascii="仿宋_GB2312" w:hAnsi="仿宋_GB2312" w:cs="仿宋_GB2312" w:eastAsia="仿宋_GB2312"/>
                <w:sz w:val="21"/>
              </w:rPr>
              <w:t xml:space="preserve">  1、依据西安市鄂邑区2025年“三区两带”困难立地植被恢复项目作业设计;</w:t>
            </w:r>
          </w:p>
          <w:p>
            <w:pPr>
              <w:pStyle w:val="null3"/>
              <w:spacing w:before="120" w:after="120"/>
              <w:jc w:val="both"/>
            </w:pPr>
            <w:r>
              <w:rPr>
                <w:rFonts w:ascii="仿宋_GB2312" w:hAnsi="仿宋_GB2312" w:cs="仿宋_GB2312" w:eastAsia="仿宋_GB2312"/>
                <w:sz w:val="21"/>
              </w:rPr>
              <w:t xml:space="preserve">  2、依据;陕西省建设工程费用规则(2025);陕西省园林绿化工程计价表(2025);陕西省园林绿化消耗量定额(2025);</w:t>
            </w:r>
          </w:p>
          <w:p>
            <w:pPr>
              <w:pStyle w:val="null3"/>
              <w:spacing w:before="120" w:after="120"/>
              <w:jc w:val="both"/>
            </w:pPr>
            <w:r>
              <w:rPr>
                <w:rFonts w:ascii="仿宋_GB2312" w:hAnsi="仿宋_GB2312" w:cs="仿宋_GB2312" w:eastAsia="仿宋_GB2312"/>
                <w:sz w:val="21"/>
              </w:rPr>
              <w:t xml:space="preserve">  3、主要苗木材料价格执行《陕西省建设工程材料造价信息》(2026年第1期)及市场价编制;</w:t>
            </w:r>
          </w:p>
          <w:p>
            <w:pPr>
              <w:pStyle w:val="null3"/>
              <w:spacing w:before="120" w:after="120"/>
              <w:jc w:val="both"/>
            </w:pPr>
            <w:r>
              <w:rPr>
                <w:rFonts w:ascii="仿宋_GB2312" w:hAnsi="仿宋_GB2312" w:cs="仿宋_GB2312" w:eastAsia="仿宋_GB2312"/>
                <w:sz w:val="21"/>
              </w:rPr>
              <w:t xml:space="preserve">  4、采用广联达云计价平台GCCP7.0(版本:7.5000.23.1;);</w:t>
            </w:r>
          </w:p>
          <w:p>
            <w:pPr>
              <w:pStyle w:val="null3"/>
              <w:jc w:val="both"/>
            </w:pPr>
            <w:r>
              <w:rPr>
                <w:rFonts w:ascii="仿宋_GB2312" w:hAnsi="仿宋_GB2312" w:cs="仿宋_GB2312" w:eastAsia="仿宋_GB2312"/>
                <w:sz w:val="21"/>
              </w:rPr>
              <w:t>（三）工程量清单：</w:t>
            </w:r>
          </w:p>
          <w:tbl>
            <w:tblPr>
              <w:tblInd w:type="dxa" w:w="210"/>
              <w:tblBorders>
                <w:top w:val="none" w:color="000000" w:sz="4"/>
                <w:left w:val="none" w:color="000000" w:sz="4"/>
                <w:bottom w:val="none" w:color="000000" w:sz="4"/>
                <w:right w:val="none" w:color="000000" w:sz="4"/>
                <w:insideH w:val="none"/>
                <w:insideV w:val="none"/>
              </w:tblBorders>
            </w:tblPr>
            <w:tblGrid>
              <w:gridCol w:w="377"/>
              <w:gridCol w:w="481"/>
              <w:gridCol w:w="1783"/>
              <w:gridCol w:w="802"/>
              <w:gridCol w:w="1656"/>
            </w:tblGrid>
            <w:tr>
              <w:tc>
                <w:tcPr>
                  <w:tcW w:type="dxa" w:w="37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项目编码</w:t>
                  </w:r>
                </w:p>
              </w:tc>
              <w:tc>
                <w:tcPr>
                  <w:tcW w:type="dxa" w:w="1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80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计量单位</w:t>
                  </w:r>
                </w:p>
              </w:tc>
              <w:tc>
                <w:tcPr>
                  <w:tcW w:type="dxa" w:w="16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工程数量</w:t>
                  </w:r>
                </w:p>
              </w:tc>
            </w:tr>
            <w:tr>
              <w:tc>
                <w:tcPr>
                  <w:tcW w:type="dxa" w:w="377"/>
                  <w:vMerge/>
                  <w:tcBorders>
                    <w:top w:val="single" w:color="000000" w:sz="4"/>
                    <w:left w:val="single" w:color="000000" w:sz="4"/>
                    <w:bottom w:val="single" w:color="000000" w:sz="4"/>
                    <w:right w:val="single" w:color="000000" w:sz="4"/>
                  </w:tcBorders>
                </w:tcPr>
                <w:p/>
              </w:tc>
              <w:tc>
                <w:tcPr>
                  <w:tcW w:type="dxa" w:w="481"/>
                  <w:vMerge/>
                  <w:tcBorders>
                    <w:top w:val="single" w:color="000000" w:sz="4"/>
                    <w:left w:val="none" w:color="000000" w:sz="4"/>
                    <w:bottom w:val="single" w:color="000000" w:sz="4"/>
                    <w:right w:val="single" w:color="000000" w:sz="4"/>
                  </w:tcBorders>
                </w:tcPr>
                <w:p/>
              </w:tc>
              <w:tc>
                <w:tcPr>
                  <w:tcW w:type="dxa" w:w="1783"/>
                  <w:vMerge/>
                  <w:tcBorders>
                    <w:top w:val="single" w:color="000000" w:sz="4"/>
                    <w:left w:val="none" w:color="000000" w:sz="4"/>
                    <w:bottom w:val="single" w:color="000000" w:sz="4"/>
                    <w:right w:val="single" w:color="000000" w:sz="4"/>
                  </w:tcBorders>
                </w:tcPr>
                <w:p/>
              </w:tc>
              <w:tc>
                <w:tcPr>
                  <w:tcW w:type="dxa" w:w="802"/>
                  <w:vMerge/>
                  <w:tcBorders>
                    <w:top w:val="single" w:color="000000" w:sz="4"/>
                    <w:left w:val="none" w:color="000000" w:sz="4"/>
                    <w:bottom w:val="single" w:color="000000" w:sz="4"/>
                    <w:right w:val="single" w:color="000000" w:sz="4"/>
                  </w:tcBorders>
                </w:tcPr>
                <w:p/>
              </w:tc>
              <w:tc>
                <w:tcPr>
                  <w:tcW w:type="dxa" w:w="1656"/>
                  <w:vMerge/>
                  <w:tcBorders>
                    <w:top w:val="single" w:color="000000" w:sz="4"/>
                    <w:left w:val="none" w:color="000000" w:sz="4"/>
                    <w:bottom w:val="single" w:color="000000" w:sz="4"/>
                    <w:right w:val="single" w:color="000000" w:sz="4"/>
                  </w:tcBorders>
                </w:tcP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整地</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工日</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750</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各类绿化苗木（水杉、海棠、黄杨球、木槿、大叶女贞、七叶树、银杏、石楠、国槐、栾树、樱花、白蜡、贴梗海棠、枇杷、紫薇、古桩月季、杨树、红叶李、石楠球）</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株</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25007</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栽植</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工日</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补植</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工日</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750</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抚育灌水</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工日</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苗木养护，抚育管护期一年</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亩</w:t>
                  </w: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r>
          </w:tbl>
          <w:p>
            <w:pPr>
              <w:pStyle w:val="null3"/>
              <w:jc w:val="both"/>
            </w:pPr>
            <w:r>
              <w:rPr>
                <w:rFonts w:ascii="仿宋_GB2312" w:hAnsi="仿宋_GB2312" w:cs="仿宋_GB2312" w:eastAsia="仿宋_GB2312"/>
                <w:sz w:val="21"/>
              </w:rPr>
              <w:t>四、施工要求</w:t>
            </w:r>
          </w:p>
          <w:p>
            <w:pPr>
              <w:pStyle w:val="null3"/>
              <w:spacing w:before="120" w:after="120"/>
              <w:jc w:val="both"/>
            </w:pPr>
            <w:r>
              <w:rPr>
                <w:rFonts w:ascii="仿宋_GB2312" w:hAnsi="仿宋_GB2312" w:cs="仿宋_GB2312" w:eastAsia="仿宋_GB2312"/>
                <w:sz w:val="21"/>
              </w:rPr>
              <w:t xml:space="preserve">  在施工期间，中标供应商必须注意院内人员安全，加强安全措施，并对施工人员进行安全教育。</w:t>
            </w:r>
          </w:p>
          <w:p>
            <w:pPr>
              <w:pStyle w:val="null3"/>
              <w:spacing w:before="120" w:after="120"/>
              <w:jc w:val="both"/>
            </w:pPr>
            <w:r>
              <w:rPr>
                <w:rFonts w:ascii="仿宋_GB2312" w:hAnsi="仿宋_GB2312" w:cs="仿宋_GB2312" w:eastAsia="仿宋_GB2312"/>
                <w:sz w:val="21"/>
              </w:rPr>
              <w:t>五、商务要求</w:t>
            </w:r>
          </w:p>
          <w:p>
            <w:pPr>
              <w:pStyle w:val="null3"/>
              <w:spacing w:before="120" w:after="120"/>
              <w:jc w:val="both"/>
            </w:pPr>
            <w:r>
              <w:rPr>
                <w:rFonts w:ascii="仿宋_GB2312" w:hAnsi="仿宋_GB2312" w:cs="仿宋_GB2312" w:eastAsia="仿宋_GB2312"/>
                <w:sz w:val="21"/>
              </w:rPr>
              <w:t xml:space="preserve">  1、本项目为绿化工程。</w:t>
            </w:r>
          </w:p>
          <w:p>
            <w:pPr>
              <w:pStyle w:val="null3"/>
              <w:spacing w:before="120" w:after="120"/>
              <w:jc w:val="both"/>
            </w:pPr>
            <w:r>
              <w:rPr>
                <w:rFonts w:ascii="仿宋_GB2312" w:hAnsi="仿宋_GB2312" w:cs="仿宋_GB2312" w:eastAsia="仿宋_GB2312"/>
                <w:sz w:val="21"/>
              </w:rPr>
              <w:t xml:space="preserve">  2、款项结算：</w:t>
            </w:r>
          </w:p>
          <w:p>
            <w:pPr>
              <w:pStyle w:val="null3"/>
              <w:spacing w:before="120" w:after="120"/>
              <w:jc w:val="both"/>
            </w:pPr>
            <w:r>
              <w:rPr>
                <w:rFonts w:ascii="仿宋_GB2312" w:hAnsi="仿宋_GB2312" w:cs="仿宋_GB2312" w:eastAsia="仿宋_GB2312"/>
                <w:sz w:val="21"/>
              </w:rPr>
              <w:t xml:space="preserve"> （1）合同签订后人员机械进场后支付总价款50%作为预付款；</w:t>
            </w:r>
          </w:p>
          <w:p>
            <w:pPr>
              <w:pStyle w:val="null3"/>
              <w:spacing w:before="120" w:after="120"/>
              <w:jc w:val="both"/>
            </w:pPr>
            <w:r>
              <w:rPr>
                <w:rFonts w:ascii="仿宋_GB2312" w:hAnsi="仿宋_GB2312" w:cs="仿宋_GB2312" w:eastAsia="仿宋_GB2312"/>
                <w:sz w:val="21"/>
              </w:rPr>
              <w:t xml:space="preserve"> （2）工程施工竣工初验合格后，甲方向乙方支付30%；</w:t>
            </w:r>
          </w:p>
          <w:p>
            <w:pPr>
              <w:pStyle w:val="null3"/>
              <w:spacing w:before="120" w:after="120"/>
              <w:jc w:val="both"/>
            </w:pPr>
            <w:r>
              <w:rPr>
                <w:rFonts w:ascii="仿宋_GB2312" w:hAnsi="仿宋_GB2312" w:cs="仿宋_GB2312" w:eastAsia="仿宋_GB2312"/>
                <w:sz w:val="21"/>
              </w:rPr>
              <w:t xml:space="preserve"> （3）养护期满竣工验收合格且结算审计完成后，甲方向乙方支付剩余款项金额。</w:t>
            </w:r>
          </w:p>
          <w:p>
            <w:pPr>
              <w:pStyle w:val="null3"/>
              <w:spacing w:before="120" w:after="120"/>
              <w:jc w:val="both"/>
            </w:pPr>
            <w:r>
              <w:rPr>
                <w:rFonts w:ascii="仿宋_GB2312" w:hAnsi="仿宋_GB2312" w:cs="仿宋_GB2312" w:eastAsia="仿宋_GB2312"/>
                <w:sz w:val="21"/>
              </w:rPr>
              <w:t>六、其他要求</w:t>
            </w:r>
          </w:p>
          <w:p>
            <w:pPr>
              <w:pStyle w:val="null3"/>
              <w:spacing w:before="120" w:after="120"/>
              <w:jc w:val="both"/>
            </w:pPr>
            <w:r>
              <w:rPr>
                <w:rFonts w:ascii="仿宋_GB2312" w:hAnsi="仿宋_GB2312" w:cs="仿宋_GB2312" w:eastAsia="仿宋_GB2312"/>
                <w:sz w:val="21"/>
              </w:rPr>
              <w:t xml:space="preserve"> （一）施工标准及质量验收标准或规范</w:t>
            </w:r>
          </w:p>
          <w:p>
            <w:pPr>
              <w:pStyle w:val="null3"/>
              <w:spacing w:before="120" w:after="120"/>
              <w:jc w:val="both"/>
            </w:pPr>
            <w:r>
              <w:rPr>
                <w:rFonts w:ascii="仿宋_GB2312" w:hAnsi="仿宋_GB2312" w:cs="仿宋_GB2312" w:eastAsia="仿宋_GB2312"/>
                <w:sz w:val="21"/>
              </w:rPr>
              <w:t xml:space="preserve">  施工标准：严格按照本项目最终审定的作业设计实施方案要求进行施工。</w:t>
            </w:r>
          </w:p>
          <w:p>
            <w:pPr>
              <w:pStyle w:val="null3"/>
              <w:spacing w:before="120" w:after="120"/>
              <w:jc w:val="both"/>
            </w:pPr>
            <w:r>
              <w:rPr>
                <w:rFonts w:ascii="仿宋_GB2312" w:hAnsi="仿宋_GB2312" w:cs="仿宋_GB2312" w:eastAsia="仿宋_GB2312"/>
                <w:sz w:val="21"/>
              </w:rPr>
              <w:t xml:space="preserve">  验收要求及标准：现行的国家标准或国家行政部门颁布的法律法规、规章制度等，是项目验收的另一个重要依据。没有国家标准的，可以参考行业标准。</w:t>
            </w:r>
          </w:p>
          <w:p>
            <w:pPr>
              <w:pStyle w:val="null3"/>
            </w:pPr>
            <w:r>
              <w:rPr>
                <w:rFonts w:ascii="仿宋_GB2312" w:hAnsi="仿宋_GB2312" w:cs="仿宋_GB2312" w:eastAsia="仿宋_GB2312"/>
                <w:sz w:val="21"/>
              </w:rPr>
              <w:t xml:space="preserve">  严格按照国家现行有关技术标准、技术规范、工程质量、检查验收标准及操作规程进行施工，健全工程建设档案，确保苗木成活率和项目建设成效。施工单位在完成施工合同约定的栽植、补植、抚育等建设任务后，由区林业局要求对项目进行自查验收，苗木成活率≥90%，项目验收通过后，后期抚育管护交付相关街办或单位进行长期管理。经过一个生长季节，树木的成活率应达到90%以上。</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满足国家行业相关标准及采购文件相关要求。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参与本项目采购的供应商应通过陕西省政府采购综合管理平台的项目电子化交易系统在线实施响应、磋商、报价等操作，磋商响应时无需供应商现场提供纸质响应文件，但在中标（成交）后中标（成交）供应商需在2个工作日内提供纸质响应文件正本一套、副本一套（电子版文件一份含完整的电子文件PDF版本），纸质响应文件应通过专用制作软件直接打印，确保与项目电子化交易系统中的电子响应文件保持一致，不允许修改和补充。递交文件地点：陕西省西安市曲江新区旺座曲江 B 座 3105。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《响应函》完成承诺并进行电子签章。①、供应商须具备独立承担民事责任能力的法人、其他 组织或自然人，提供营业执照或事业单位法人证书；自然人参与的提供其身份证明；②、提供首次响应文件递交截止时间前6个月内任意时段的纳税证明或完税证明（除印花税外任意税种），纳税证明或完税证明上应有代收机构或税务机关的公章或业务专用章。依法免税的供应商应提供相关文件证明；提供首次响应文件递交截止时间前6个月内任意时段的缴纳证明。依法不需要交纳社会保障资金的供应商应提供相关文件证明；③、供应商参加政府采购活动前3年内在经营活动中没有重大违法记录的书面声明；④、提供履行合同所必需的设备和专业技术能力的承诺。</w:t>
            </w:r>
          </w:p>
        </w:tc>
        <w:tc>
          <w:tcPr>
            <w:tcW w:type="dxa" w:w="1661"/>
          </w:tcPr>
          <w:p>
            <w:pPr>
              <w:pStyle w:val="null3"/>
            </w:pPr>
            <w:r>
              <w:rPr>
                <w:rFonts w:ascii="仿宋_GB2312" w:hAnsi="仿宋_GB2312" w:cs="仿宋_GB2312" w:eastAsia="仿宋_GB2312"/>
              </w:rPr>
              <w:t>资格性证明文件.docx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资格性证明文件.docx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资格性证明文件.docx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资格性证明文件.docx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w:t>
            </w:r>
          </w:p>
        </w:tc>
        <w:tc>
          <w:tcPr>
            <w:tcW w:type="dxa" w:w="1661"/>
          </w:tcPr>
          <w:p>
            <w:pPr>
              <w:pStyle w:val="null3"/>
            </w:pPr>
            <w:r>
              <w:rPr>
                <w:rFonts w:ascii="仿宋_GB2312" w:hAnsi="仿宋_GB2312" w:cs="仿宋_GB2312" w:eastAsia="仿宋_GB2312"/>
              </w:rPr>
              <w:t>资格性证明文件.docx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 提供《供应商信用记录书面声明函》（按格式填写，提供原件）。经查，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资格性证明文件.docx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供应商提供参与磋商的承诺函</w:t>
            </w:r>
          </w:p>
        </w:tc>
        <w:tc>
          <w:tcPr>
            <w:tcW w:type="dxa" w:w="3322"/>
          </w:tcPr>
          <w:p>
            <w:pPr>
              <w:pStyle w:val="null3"/>
            </w:pPr>
            <w:r>
              <w:rPr>
                <w:rFonts w:ascii="仿宋_GB2312" w:hAnsi="仿宋_GB2312" w:cs="仿宋_GB2312" w:eastAsia="仿宋_GB2312"/>
              </w:rPr>
              <w:t>合竞争性磋商文件要求。</w:t>
            </w:r>
          </w:p>
        </w:tc>
        <w:tc>
          <w:tcPr>
            <w:tcW w:type="dxa" w:w="1661"/>
          </w:tcPr>
          <w:p>
            <w:pPr>
              <w:pStyle w:val="null3"/>
            </w:pPr>
            <w:r>
              <w:rPr>
                <w:rFonts w:ascii="仿宋_GB2312" w:hAnsi="仿宋_GB2312" w:cs="仿宋_GB2312" w:eastAsia="仿宋_GB2312"/>
              </w:rPr>
              <w:t>资格性证明文件.docx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资格性证明文件.docx 报价函 标的清单 符合性证明文件.docx 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资格性证明文件.docx 已标价工程量清单 报价函 标的清单 符合性证明文件.docx 响应函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 报价函 标的清单 符合性证明文件.docx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工期及养护期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符合性证明文件.docx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资格性证明文件.docx 符合性证明文件.docx 服务方案.docx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绿化施工方案</w:t>
            </w:r>
          </w:p>
        </w:tc>
        <w:tc>
          <w:tcPr>
            <w:tcW w:type="dxa" w:w="2492"/>
          </w:tcPr>
          <w:p>
            <w:pPr>
              <w:pStyle w:val="null3"/>
            </w:pPr>
            <w:r>
              <w:rPr>
                <w:rFonts w:ascii="仿宋_GB2312" w:hAnsi="仿宋_GB2312" w:cs="仿宋_GB2312" w:eastAsia="仿宋_GB2312"/>
              </w:rPr>
              <w:t>针对本项目各项要求制定施工方案。 方案全面、具体，科学合理，可行性强，得6分； 方案相对全面、具体、科学，可行性相对较强，得5分； 方案基本全面、具体，有一定的可行性，得4分； 方案不够全面、具体，可行性相对较弱，得3分； 方案不全面、具体，可行性较差，得2分； 方案笼统，可行性有待考究的，得1分；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针对本项目有确保工程质量的技术组织措施。 措施内容全面、具体、科学，可行性强，得6分； 措施内容相对全面、具体、科学，可行性相对较强，得5分； 措施内容基本全面、具体，有一定的可行性，得4分； 措施内容不够全面、具体，可行性相对较弱，得3分； 措施内容不全面、具体，可行性较差，得2分； 措施内容笼统，可行性有待考究的，得1分；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针对本项目拟投入项目经理部组成人员结构合理，人员配备齐全，责任明确，佐证材料齐全得6分； 针对本项目拟投入项目经理部组成人员结构相对合理，人员配备相对齐全，责任相对明确，有相关佐证材料得5分； 针对本项目拟投入项目经理部组成人员结构基本合理，人员配备基本齐全，责任基本明确，有相关佐证材料得4分； 针对本项目拟投入项目经理部组成人员结构不够合理，人员配备不够齐全，责任不太明确，相关佐证材料缺失得3分； 针对本项目拟投入项目经理部组成人员结构不合理，人员配备不齐全，责任不明确，相关佐证材料缺失得2分； 针对本项目拟投入项目经理部组成人员内容笼统，可行性有待考究的，得1分；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确保工程的安全保证措施</w:t>
            </w:r>
          </w:p>
        </w:tc>
        <w:tc>
          <w:tcPr>
            <w:tcW w:type="dxa" w:w="2492"/>
          </w:tcPr>
          <w:p>
            <w:pPr>
              <w:pStyle w:val="null3"/>
            </w:pPr>
            <w:r>
              <w:rPr>
                <w:rFonts w:ascii="仿宋_GB2312" w:hAnsi="仿宋_GB2312" w:cs="仿宋_GB2312" w:eastAsia="仿宋_GB2312"/>
              </w:rPr>
              <w:t>针对本项目有切实可行的确保工程的安全保证措施。 措施内容全面、具体、科学，可行性强，得6分； 措施内容相对全面、具体、科学，可行性相对较强，得5分； 措施内容基本全面、具体，有一定的可行性，得4分； 措施内容不够全面、具体，可行性相对较弱，得3分； 措施内容不全面、具体，可行性较差，得2分； 措施内容笼统，可行性有待考究的，得1分；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措施内容全面、具体、科学，可行性强，得6分； 措施内容相对全面、具体、科学，可行性相对较强，得5分； 措施内容基本全面、具体，有一定的可行性，得4分； 措施内容不够全面、具体，可行性相对较弱，得3分； 措施内容不全面、具体，可行性较差，得2分； 措施内容笼统，可行性有待考究的，得1分；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 措施内容全面、具体、科学，可行性强，得6分； 措施内容相对全面、具体、科学，可行性相对较强，得5分； 措施内容基本全面、具体，有一定的可行性，得4分； 措施内容不够全面、具体，可行性相对较弱，得3分； 措施内容不全面、具体，可行性较差，得2分； 措施内容笼统，可行性有待考究的，得1分；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措施内容全面、具体、科学，可行性强，得6分； 措施内容相对全面、具体、科学，可行性相对较强，得5分； 措施内容基本全面、具体，有一定的可行性，得4分； 措施内容不够全面、具体，可行性相对较弱，得3分； 措施内容不全面、具体，可行性较差，得2分； 措施内容笼统，可行性有待考究的，得1分；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绿化养护实施方案</w:t>
            </w:r>
          </w:p>
        </w:tc>
        <w:tc>
          <w:tcPr>
            <w:tcW w:type="dxa" w:w="2492"/>
          </w:tcPr>
          <w:p>
            <w:pPr>
              <w:pStyle w:val="null3"/>
            </w:pPr>
            <w:r>
              <w:rPr>
                <w:rFonts w:ascii="仿宋_GB2312" w:hAnsi="仿宋_GB2312" w:cs="仿宋_GB2312" w:eastAsia="仿宋_GB2312"/>
              </w:rPr>
              <w:t>根据本项目的具体情况，设置合理的绿化养护方案，制定周到、全面、具体的绿化养护方案。 绿化养护方案全面、科学、合理性强，得6分； 绿化养护方案相对全面、科学、合理性较强，得5分； 绿化养护方案基本全面、较科学、有一定的合理性，得4分； 绿化养护方案不够全面、科学、合理性相对较弱，得3分； 绿化养护方案不全面、科学、合理性较差，得2分； 绿化养护方案笼统，合理性有待考究的，得1分；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拟投入主要施工机具、设备、耗材（如燃油、化肥、有机肥、农药等）配备情况</w:t>
            </w:r>
          </w:p>
        </w:tc>
        <w:tc>
          <w:tcPr>
            <w:tcW w:type="dxa" w:w="2492"/>
          </w:tcPr>
          <w:p>
            <w:pPr>
              <w:pStyle w:val="null3"/>
            </w:pPr>
            <w:r>
              <w:rPr>
                <w:rFonts w:ascii="仿宋_GB2312" w:hAnsi="仿宋_GB2312" w:cs="仿宋_GB2312" w:eastAsia="仿宋_GB2312"/>
              </w:rPr>
              <w:t>针对本项目拟投入的主要施工机具、设备、耗材配备，先进、合理可行，得5分； 针对本项目拟投入的主要施工机具、设备、耗材配备，相对先进、相对合理可行，得4分； 针对本项目拟投入的主要施工机具、设备、耗材配备，较先进、基本合理可行，得3分； 针对本项目拟投入的主要施工机具、设备、耗材配备，不够合理可行，得2分； 针对本项目拟投入的主要施工机具、设备、耗材配备，不合理，需在采购人要求下完善后才能实施的，得1分； 无内容不得分。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施工现场扬尘、噪音保障措施</w:t>
            </w:r>
          </w:p>
        </w:tc>
        <w:tc>
          <w:tcPr>
            <w:tcW w:type="dxa" w:w="2492"/>
          </w:tcPr>
          <w:p>
            <w:pPr>
              <w:pStyle w:val="null3"/>
            </w:pPr>
            <w:r>
              <w:rPr>
                <w:rFonts w:ascii="仿宋_GB2312" w:hAnsi="仿宋_GB2312" w:cs="仿宋_GB2312" w:eastAsia="仿宋_GB2312"/>
              </w:rPr>
              <w:t>提供避免或减小噪音、粉尘扬尘及震动的相关措施。 措施内容全面、具体、科学，可行性强，得6分； 措施内容相对全面、具体、科学，可行性相对较强，得5分； 措施内容基本全面、具体，有一定的可行性，得4分； 措施内容不够全面、具体，可行性相对较弱，得3分； 措施内容不全面、具体，可行性较差，得2分； 措施内容笼统，可行性有待考究的，得1分；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承诺上岗人员固定，不随意更换，若出现服务人员因事、病等不能工作的，能及时调整其他人员补充，确保服务工作的正常进行，以及储备可调度人员，调度人员可保障临时性工作需要及突发事件处置。 承诺内容全面、具体、科学，可行性强，得5分； 承诺内容相对全面、具体、科学，可行性相对较强，得4分； 承诺内容基本全面、具体，有一定的可行性，得3分； 承诺内容不够全面、具体，可行性相对较弱，得2分； 承诺内容不全面、具体，可行性较差，得1分； 无内容不得分。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提供2023年1月1日以来类似项目业绩。以合同签订日期为准，并加盖投标单位公章的合同关键页复印件为计分依据，每份合格业绩合同计2分，满分6分。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 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详见附件：资格性证明文件.docx</w:t>
      </w:r>
    </w:p>
    <w:p>
      <w:pPr>
        <w:pStyle w:val="null3"/>
        <w:ind w:firstLine="960"/>
      </w:pPr>
      <w:r>
        <w:rPr>
          <w:rFonts w:ascii="仿宋_GB2312" w:hAnsi="仿宋_GB2312" w:cs="仿宋_GB2312" w:eastAsia="仿宋_GB2312"/>
        </w:rPr>
        <w:t>详见附件：符合性证明文件.docx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